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923374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923374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923374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923374">
              <w:rPr>
                <w:rFonts w:ascii="Verdana" w:hAnsi="Verdana"/>
                <w:rtl/>
              </w:rPr>
              <w:t xml:space="preserve">الإضافة </w:t>
            </w:r>
            <w:r w:rsidRPr="00923374">
              <w:rPr>
                <w:rFonts w:ascii="Verdana" w:hAnsi="Verdana"/>
              </w:rPr>
              <w:t>8</w:t>
            </w:r>
            <w:r w:rsidRPr="00923374">
              <w:rPr>
                <w:rFonts w:ascii="Verdana" w:hAnsi="Verdana"/>
              </w:rPr>
              <w:br/>
            </w:r>
            <w:r w:rsidRPr="00923374">
              <w:rPr>
                <w:rFonts w:ascii="Verdana" w:hAnsi="Verdana"/>
                <w:rtl/>
              </w:rPr>
              <w:t xml:space="preserve">للوثيقة </w:t>
            </w:r>
            <w:r w:rsidRPr="00923374">
              <w:rPr>
                <w:rFonts w:ascii="Verdana" w:hAnsi="Verdana"/>
              </w:rPr>
              <w:t>66-</w:t>
            </w:r>
            <w:r w:rsidR="00923374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923374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923374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923374">
              <w:rPr>
                <w:rFonts w:ascii="Verdana" w:eastAsia="SimSun" w:hAnsi="Verdana"/>
              </w:rPr>
              <w:t>15</w:t>
            </w:r>
            <w:r w:rsidRPr="00923374">
              <w:rPr>
                <w:rFonts w:ascii="Verdana" w:eastAsia="SimSun" w:hAnsi="Verdana"/>
                <w:rtl/>
              </w:rPr>
              <w:t xml:space="preserve"> أكتوبر </w:t>
            </w:r>
            <w:r w:rsidRPr="00923374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923374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923374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923374">
              <w:rPr>
                <w:rFonts w:ascii="Verdana" w:eastAsia="SimSun" w:hAnsi="Verdana"/>
                <w:rtl/>
              </w:rPr>
              <w:t>الأصل: بالإسبانية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923374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كوبـا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5C0E0F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مقترحات بشأن أعمال </w:t>
            </w:r>
            <w:proofErr w:type="spellStart"/>
            <w:r>
              <w:rPr>
                <w:rFonts w:hint="cs"/>
                <w:rtl/>
              </w:rPr>
              <w:t>المؤت‍م</w:t>
            </w:r>
            <w:bookmarkStart w:id="1" w:name="_GoBack"/>
            <w:bookmarkEnd w:id="1"/>
            <w:r w:rsidR="00923374">
              <w:rPr>
                <w:rFonts w:hint="cs"/>
                <w:rtl/>
              </w:rPr>
              <w:t>ر</w:t>
            </w:r>
            <w:proofErr w:type="spellEnd"/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923374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923374">
              <w:rPr>
                <w:lang w:val="en-US"/>
              </w:rPr>
              <w:t>8.1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B9436B" w:rsidP="00923374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8.1</w:t>
      </w:r>
      <w:r w:rsidRPr="00431196">
        <w:rPr>
          <w:rFonts w:eastAsia="SimSun" w:hint="cs"/>
          <w:rtl/>
        </w:rPr>
        <w:tab/>
        <w:t>استعراض الأحكام المتعلقة بالمحطات الأرضية المقامة على متن السفن </w:t>
      </w:r>
      <w:r w:rsidRPr="00431196">
        <w:rPr>
          <w:rFonts w:eastAsia="SimSun"/>
        </w:rPr>
        <w:t>(ESV)</w:t>
      </w:r>
      <w:r w:rsidRPr="00431196">
        <w:rPr>
          <w:rFonts w:eastAsia="SimSun" w:hint="cs"/>
          <w:rtl/>
        </w:rPr>
        <w:t xml:space="preserve">، استناداً إلى الدراسات التي أُجريت وفقاً للقرار </w:t>
      </w:r>
      <w:r w:rsidRPr="00431196">
        <w:rPr>
          <w:rFonts w:eastAsia="SimSun"/>
          <w:b/>
          <w:bCs/>
        </w:rPr>
        <w:t>909 (WRC</w:t>
      </w:r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12)</w:t>
      </w:r>
      <w:r w:rsidRPr="00431196">
        <w:rPr>
          <w:rFonts w:eastAsia="SimSun" w:hint="cs"/>
          <w:rtl/>
        </w:rPr>
        <w:t>؛</w:t>
      </w:r>
    </w:p>
    <w:p w:rsidR="00F16602" w:rsidRDefault="00923374" w:rsidP="00923374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923374" w:rsidRDefault="002878D6" w:rsidP="005C0E0F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اعتمد المؤتمر العالمي للاتصالات الراديوية لعام </w:t>
      </w:r>
      <w:r>
        <w:rPr>
          <w:lang w:bidi="ar-EG"/>
        </w:rPr>
        <w:t>2003</w:t>
      </w:r>
      <w:r>
        <w:rPr>
          <w:rFonts w:hint="cs"/>
          <w:rtl/>
          <w:lang w:bidi="ar-EG"/>
        </w:rPr>
        <w:t xml:space="preserve"> أحكاماً تسمح باستعمال المحطات الأرضية المقامة على متن السفن</w:t>
      </w:r>
      <w:r w:rsidR="005C0E0F">
        <w:rPr>
          <w:rFonts w:hint="eastAsia"/>
          <w:rtl/>
          <w:lang w:bidi="ar-EG"/>
        </w:rPr>
        <w:t> </w:t>
      </w:r>
      <w:r w:rsidRPr="00431196">
        <w:rPr>
          <w:rFonts w:eastAsia="SimSun"/>
        </w:rPr>
        <w:t>(ESV)</w:t>
      </w:r>
      <w:r>
        <w:rPr>
          <w:rFonts w:eastAsia="SimSun" w:hint="cs"/>
          <w:rtl/>
        </w:rPr>
        <w:t xml:space="preserve"> والعاملة في نطاقي التردد</w:t>
      </w:r>
      <w:r w:rsidR="00636088">
        <w:rPr>
          <w:rFonts w:hint="eastAsia"/>
          <w:rtl/>
        </w:rPr>
        <w:t> </w:t>
      </w:r>
      <w:r>
        <w:t>MHz</w:t>
      </w:r>
      <w:r w:rsidR="00636088">
        <w:t> 6 425</w:t>
      </w:r>
      <w:r w:rsidR="00636088">
        <w:noBreakHyphen/>
        <w:t>5 925</w:t>
      </w:r>
      <w:r>
        <w:rPr>
          <w:rFonts w:hint="cs"/>
          <w:rtl/>
        </w:rPr>
        <w:t xml:space="preserve"> و</w:t>
      </w:r>
      <w:r>
        <w:t>GHz</w:t>
      </w:r>
      <w:r w:rsidR="00636088">
        <w:t> 14,5</w:t>
      </w:r>
      <w:r w:rsidR="00636088">
        <w:noBreakHyphen/>
        <w:t>14</w:t>
      </w:r>
      <w:r>
        <w:rPr>
          <w:rFonts w:hint="cs"/>
          <w:rtl/>
        </w:rPr>
        <w:t xml:space="preserve"> بهدف ضمان الحماية المناسبة لمحطات خدمات الأرض العاملة في</w:t>
      </w:r>
      <w:r w:rsidR="005C0E0F">
        <w:rPr>
          <w:rFonts w:hint="eastAsia"/>
          <w:rtl/>
        </w:rPr>
        <w:t> </w:t>
      </w:r>
      <w:r>
        <w:rPr>
          <w:rFonts w:hint="cs"/>
          <w:rtl/>
        </w:rPr>
        <w:t>هذين النطاقين. ويحدد القرار</w:t>
      </w:r>
      <w:r w:rsidR="005C0E0F">
        <w:rPr>
          <w:rFonts w:hint="eastAsia"/>
          <w:rtl/>
        </w:rPr>
        <w:t> </w:t>
      </w:r>
      <w:r>
        <w:t>902 (WRC</w:t>
      </w:r>
      <w:r>
        <w:noBreakHyphen/>
        <w:t>03)</w:t>
      </w:r>
      <w:r>
        <w:rPr>
          <w:rFonts w:hint="cs"/>
          <w:rtl/>
        </w:rPr>
        <w:t xml:space="preserve"> المسافات الدنيا عن خط الساحل </w:t>
      </w:r>
      <w:r w:rsidR="002611EE">
        <w:rPr>
          <w:rFonts w:hint="cs"/>
          <w:rtl/>
        </w:rPr>
        <w:t xml:space="preserve">فضلاً عن الحدود التقنية المطبقة على </w:t>
      </w:r>
      <w:r w:rsidR="002611EE">
        <w:rPr>
          <w:rFonts w:hint="cs"/>
          <w:rtl/>
          <w:lang w:bidi="ar-EG"/>
        </w:rPr>
        <w:t xml:space="preserve">المحطات الأرضية المقامة على متن السفن </w:t>
      </w:r>
      <w:r w:rsidR="00636088">
        <w:rPr>
          <w:rFonts w:hint="cs"/>
          <w:rtl/>
          <w:lang w:bidi="ar-EG"/>
        </w:rPr>
        <w:t>التي ترسل في النطاقين المعنيين.</w:t>
      </w:r>
    </w:p>
    <w:p w:rsidR="002611EE" w:rsidRDefault="002611EE" w:rsidP="00636088">
      <w:pPr>
        <w:rPr>
          <w:rtl/>
        </w:rPr>
      </w:pPr>
      <w:r>
        <w:rPr>
          <w:rFonts w:hint="cs"/>
          <w:rtl/>
          <w:lang w:bidi="ar-EG"/>
        </w:rPr>
        <w:t xml:space="preserve">وقد أخذت </w:t>
      </w:r>
      <w:r w:rsidR="00A75B60">
        <w:rPr>
          <w:rFonts w:hint="cs"/>
          <w:rtl/>
          <w:lang w:bidi="ar-EG"/>
        </w:rPr>
        <w:t>الدراسات</w:t>
      </w:r>
      <w:r>
        <w:rPr>
          <w:rFonts w:hint="cs"/>
          <w:rtl/>
          <w:lang w:bidi="ar-EG"/>
        </w:rPr>
        <w:t xml:space="preserve"> التي أجريت بشأن هذه المسألة في الاعتبار تطو</w:t>
      </w:r>
      <w:r w:rsidR="00342198">
        <w:rPr>
          <w:rFonts w:hint="cs"/>
          <w:rtl/>
          <w:lang w:bidi="ar-EG"/>
        </w:rPr>
        <w:t xml:space="preserve">ر التكنولوجيا وزيادة </w:t>
      </w:r>
      <w:r>
        <w:rPr>
          <w:rFonts w:hint="cs"/>
          <w:rtl/>
          <w:lang w:bidi="ar-EG"/>
        </w:rPr>
        <w:t xml:space="preserve">حركة السفن </w:t>
      </w:r>
      <w:r w:rsidR="00342198">
        <w:rPr>
          <w:rFonts w:hint="cs"/>
          <w:rtl/>
          <w:lang w:bidi="ar-EG"/>
        </w:rPr>
        <w:t>التي تستعمل هذه الخدمة وخلصت إلى استنتاجات مختلفة فيما يتعلق بالحاجة إلى تقليص أو زيادة المسافات المشار إليها في القرار</w:t>
      </w:r>
      <w:r w:rsidR="00636088">
        <w:rPr>
          <w:rFonts w:hint="eastAsia"/>
          <w:rtl/>
          <w:lang w:bidi="ar-EG"/>
        </w:rPr>
        <w:t> </w:t>
      </w:r>
      <w:r w:rsidR="00342198">
        <w:t>902</w:t>
      </w:r>
      <w:r w:rsidR="00342198">
        <w:rPr>
          <w:rFonts w:hint="cs"/>
          <w:rtl/>
        </w:rPr>
        <w:t>.</w:t>
      </w:r>
    </w:p>
    <w:p w:rsidR="00342198" w:rsidRDefault="00342198" w:rsidP="0063608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وفي ضوء هذه الحالة، إضافةً إلى العديد من الجوانب التي لا تزال تقتضي </w:t>
      </w:r>
      <w:r w:rsidR="00A75B60">
        <w:rPr>
          <w:rFonts w:hint="cs"/>
          <w:rtl/>
          <w:lang w:bidi="ar-EG"/>
        </w:rPr>
        <w:t>أن يُنظر</w:t>
      </w:r>
      <w:r>
        <w:rPr>
          <w:rFonts w:hint="cs"/>
          <w:rtl/>
          <w:lang w:bidi="ar-EG"/>
        </w:rPr>
        <w:t xml:space="preserve"> فيها </w:t>
      </w:r>
      <w:r w:rsidR="00A75B60">
        <w:rPr>
          <w:rFonts w:hint="cs"/>
          <w:rtl/>
          <w:lang w:bidi="ar-EG"/>
        </w:rPr>
        <w:t>وأن يُجرى</w:t>
      </w:r>
      <w:r>
        <w:rPr>
          <w:rFonts w:hint="cs"/>
          <w:rtl/>
          <w:lang w:bidi="ar-EG"/>
        </w:rPr>
        <w:t xml:space="preserve"> </w:t>
      </w:r>
      <w:r w:rsidR="00A75B60">
        <w:rPr>
          <w:rFonts w:hint="cs"/>
          <w:rtl/>
          <w:lang w:bidi="ar-EG"/>
        </w:rPr>
        <w:t>المزيد من الدراسات</w:t>
      </w:r>
      <w:r>
        <w:rPr>
          <w:rFonts w:hint="cs"/>
          <w:rtl/>
          <w:lang w:bidi="ar-EG"/>
        </w:rPr>
        <w:t xml:space="preserve"> المفصلة بشأنها، بما في ذلك العناصر ذات الصلة بالإجراءات والمسائل التنظيمية، ترى الإدارة الكوبية أن من غير المناسب تعديل </w:t>
      </w:r>
      <w:r w:rsidR="00A75B60">
        <w:rPr>
          <w:rFonts w:hint="cs"/>
          <w:rtl/>
          <w:lang w:bidi="ar-EG"/>
        </w:rPr>
        <w:t>الشروط الحالية الواردة في القرار</w:t>
      </w:r>
      <w:r w:rsidR="00636088">
        <w:rPr>
          <w:rFonts w:hint="eastAsia"/>
          <w:rtl/>
          <w:lang w:bidi="ar-EG"/>
        </w:rPr>
        <w:t> </w:t>
      </w:r>
      <w:r w:rsidR="00A75B60">
        <w:t>902 (WRC-03)</w:t>
      </w:r>
      <w:r w:rsidR="00636088">
        <w:rPr>
          <w:rFonts w:hint="cs"/>
          <w:rtl/>
        </w:rPr>
        <w:t>، وبناءً عليه تقرح ما يلي: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3D33C9" w:rsidRDefault="00B9436B">
      <w:pPr>
        <w:pStyle w:val="Proposal"/>
      </w:pPr>
      <w:r>
        <w:rPr>
          <w:u w:val="single"/>
        </w:rPr>
        <w:lastRenderedPageBreak/>
        <w:t>NOC</w:t>
      </w:r>
      <w:r>
        <w:tab/>
        <w:t>CUB/66A8/1</w:t>
      </w:r>
    </w:p>
    <w:p w:rsidR="007E381E" w:rsidRDefault="00B9436B" w:rsidP="007E381E">
      <w:pPr>
        <w:pStyle w:val="ResNo"/>
      </w:pPr>
      <w:bookmarkStart w:id="2" w:name="_Toc327956797"/>
      <w:r>
        <w:rPr>
          <w:rFonts w:hint="cs"/>
          <w:rtl/>
          <w:lang w:val="en-GB"/>
        </w:rPr>
        <w:t xml:space="preserve">القـرار </w:t>
      </w:r>
      <w:r w:rsidRPr="002625A2">
        <w:t>902</w:t>
      </w:r>
      <w:r>
        <w:t xml:space="preserve"> (WRC-03)</w:t>
      </w:r>
      <w:bookmarkEnd w:id="2"/>
    </w:p>
    <w:p w:rsidR="007E381E" w:rsidRDefault="00B9436B" w:rsidP="007E381E">
      <w:pPr>
        <w:pStyle w:val="Restitle"/>
      </w:pPr>
      <w:bookmarkStart w:id="3" w:name="_Toc327956798"/>
      <w:r>
        <w:rPr>
          <w:rFonts w:hint="cs"/>
          <w:rtl/>
        </w:rPr>
        <w:t>أحكام تنطبق على المحطات الأرضية المقامة على متن السفن المشغلة في شبكات</w:t>
      </w:r>
      <w:r>
        <w:rPr>
          <w:rFonts w:hint="cs"/>
          <w:rtl/>
        </w:rPr>
        <w:br/>
        <w:t xml:space="preserve">الخدمة الثابتة الساتلية </w:t>
      </w:r>
      <w:r w:rsidRPr="00AA101A">
        <w:rPr>
          <w:rFonts w:hint="cs"/>
          <w:rtl/>
        </w:rPr>
        <w:t>العاملة</w:t>
      </w:r>
      <w:r>
        <w:rPr>
          <w:rFonts w:hint="cs"/>
          <w:rtl/>
        </w:rPr>
        <w:t xml:space="preserve"> في نطاقي الوصلات الصاعدة</w:t>
      </w:r>
      <w:r>
        <w:rPr>
          <w:rtl/>
        </w:rPr>
        <w:br/>
      </w:r>
      <w:r>
        <w:t>MHz 6 425-5 925</w:t>
      </w:r>
      <w:r>
        <w:rPr>
          <w:rFonts w:hint="cs"/>
          <w:rtl/>
        </w:rPr>
        <w:t xml:space="preserve"> و</w:t>
      </w:r>
      <w:r>
        <w:t>GHz 14,5-14</w:t>
      </w:r>
      <w:bookmarkEnd w:id="3"/>
    </w:p>
    <w:p w:rsidR="003D33C9" w:rsidRPr="00A75B60" w:rsidRDefault="00B9436B" w:rsidP="00A75B60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A75B60" w:rsidRPr="00A75B60">
        <w:rPr>
          <w:rFonts w:hint="cs"/>
          <w:b w:val="0"/>
          <w:bCs w:val="0"/>
          <w:rtl/>
        </w:rPr>
        <w:t xml:space="preserve">استمرار العمل بالأحكام الحالية للقرار </w:t>
      </w:r>
      <w:r w:rsidR="00A75B60" w:rsidRPr="00A75B60">
        <w:rPr>
          <w:b w:val="0"/>
          <w:bCs w:val="0"/>
        </w:rPr>
        <w:t>902 (WRC</w:t>
      </w:r>
      <w:r w:rsidR="00A75B60" w:rsidRPr="00A75B60">
        <w:rPr>
          <w:b w:val="0"/>
          <w:bCs w:val="0"/>
        </w:rPr>
        <w:noBreakHyphen/>
        <w:t>03)</w:t>
      </w:r>
      <w:r w:rsidR="00636088">
        <w:rPr>
          <w:rFonts w:hint="cs"/>
          <w:b w:val="0"/>
          <w:bCs w:val="0"/>
          <w:rtl/>
        </w:rPr>
        <w:t>.</w:t>
      </w:r>
    </w:p>
    <w:p w:rsidR="003D33C9" w:rsidRDefault="00B9436B">
      <w:pPr>
        <w:pStyle w:val="Proposal"/>
      </w:pPr>
      <w:r>
        <w:t>SUP</w:t>
      </w:r>
      <w:r>
        <w:tab/>
        <w:t>CUB/66A8/2</w:t>
      </w:r>
    </w:p>
    <w:p w:rsidR="0090043D" w:rsidRPr="00636088" w:rsidRDefault="00B9436B" w:rsidP="005C0E0F">
      <w:pPr>
        <w:pStyle w:val="ResNo"/>
        <w:rPr>
          <w:szCs w:val="28"/>
          <w:rtl/>
        </w:rPr>
      </w:pPr>
      <w:bookmarkStart w:id="4" w:name="_Toc327956809"/>
      <w:r w:rsidRPr="00636088">
        <w:rPr>
          <w:rtl/>
          <w:lang w:val="en-GB"/>
        </w:rPr>
        <w:t>القـرار</w:t>
      </w:r>
      <w:r w:rsidR="005C0E0F">
        <w:rPr>
          <w:rFonts w:hint="cs"/>
          <w:rtl/>
          <w:lang w:val="en-GB"/>
        </w:rPr>
        <w:t> </w:t>
      </w:r>
      <w:r w:rsidRPr="00636088">
        <w:rPr>
          <w:lang w:val="en-GB"/>
        </w:rPr>
        <w:t>909 (WRC-12)</w:t>
      </w:r>
      <w:bookmarkEnd w:id="4"/>
    </w:p>
    <w:p w:rsidR="0090043D" w:rsidRDefault="00B9436B" w:rsidP="0090043D">
      <w:pPr>
        <w:pStyle w:val="Restitle"/>
      </w:pPr>
      <w:bookmarkStart w:id="5" w:name="_Toc327956810"/>
      <w:r>
        <w:rPr>
          <w:rFonts w:hint="cs"/>
          <w:rtl/>
        </w:rPr>
        <w:t xml:space="preserve">أحكام متعلقة بالمحطات الأرضية المقامة على متن السفن </w:t>
      </w:r>
      <w:r>
        <w:rPr>
          <w:rtl/>
        </w:rPr>
        <w:br/>
      </w:r>
      <w:r>
        <w:rPr>
          <w:rFonts w:hint="cs"/>
          <w:rtl/>
        </w:rPr>
        <w:t xml:space="preserve">المشغلة في شبكات الخدمة الثابتة الساتلية في نطاقي </w:t>
      </w:r>
      <w:r>
        <w:rPr>
          <w:rtl/>
        </w:rPr>
        <w:br/>
      </w:r>
      <w:r>
        <w:rPr>
          <w:rFonts w:hint="cs"/>
          <w:rtl/>
        </w:rPr>
        <w:t>الوصلة</w:t>
      </w:r>
      <w:r>
        <w:rPr>
          <w:rFonts w:hint="eastAsia"/>
          <w:rtl/>
        </w:rPr>
        <w:t> </w:t>
      </w:r>
      <w:r>
        <w:rPr>
          <w:rFonts w:hint="cs"/>
          <w:rtl/>
        </w:rPr>
        <w:t>الصاعدة</w:t>
      </w:r>
      <w:r>
        <w:rPr>
          <w:rFonts w:hint="eastAsia"/>
          <w:rtl/>
        </w:rPr>
        <w:t> </w:t>
      </w:r>
      <w:r>
        <w:t>MHz 6 425</w:t>
      </w:r>
      <w:r>
        <w:sym w:font="Symbol" w:char="F02D"/>
      </w:r>
      <w:r>
        <w:t>5 925</w:t>
      </w:r>
      <w:r>
        <w:rPr>
          <w:rFonts w:hint="cs"/>
          <w:rtl/>
        </w:rPr>
        <w:t xml:space="preserve"> و</w:t>
      </w:r>
      <w:r>
        <w:t>GHz 14,5</w:t>
      </w:r>
      <w:r>
        <w:sym w:font="Symbol" w:char="F02D"/>
      </w:r>
      <w:r>
        <w:t>14</w:t>
      </w:r>
      <w:bookmarkEnd w:id="5"/>
      <w:r>
        <w:rPr>
          <w:rFonts w:hint="cs"/>
          <w:rtl/>
        </w:rPr>
        <w:t xml:space="preserve"> </w:t>
      </w:r>
    </w:p>
    <w:p w:rsidR="003D33C9" w:rsidRDefault="00B9436B" w:rsidP="00A75B60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A75B60" w:rsidRPr="00A75B60">
        <w:rPr>
          <w:rFonts w:hint="cs"/>
          <w:b w:val="0"/>
          <w:bCs w:val="0"/>
          <w:rtl/>
        </w:rPr>
        <w:t>لم تعد ضرورية</w:t>
      </w:r>
      <w:r w:rsidR="00A75B60">
        <w:rPr>
          <w:rFonts w:hint="cs"/>
          <w:b w:val="0"/>
          <w:bCs w:val="0"/>
          <w:rtl/>
        </w:rPr>
        <w:t>.</w:t>
      </w:r>
    </w:p>
    <w:p w:rsidR="00E20763" w:rsidRDefault="00E20763" w:rsidP="00E20763">
      <w:pPr>
        <w:pStyle w:val="Reasons"/>
      </w:pPr>
    </w:p>
    <w:p w:rsidR="00E20763" w:rsidRPr="00E20763" w:rsidRDefault="00E20763" w:rsidP="00E20763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E20763" w:rsidRPr="00E20763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B9436B">
    <w:pPr>
      <w:pStyle w:val="Footer"/>
      <w:tabs>
        <w:tab w:val="clear" w:pos="5812"/>
        <w:tab w:val="left" w:pos="6379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5C0E0F">
      <w:rPr>
        <w:noProof/>
        <w:lang w:val="es-ES"/>
      </w:rPr>
      <w:t>P:\ARA\ITU-R\CONF-R\CMR15\000\066ADD08A.docx</w:t>
    </w:r>
    <w:r w:rsidRPr="00CB4300">
      <w:fldChar w:fldCharType="end"/>
    </w:r>
    <w:r w:rsidRPr="00CB4300">
      <w:rPr>
        <w:lang w:val="es-ES"/>
      </w:rPr>
      <w:t xml:space="preserve">  (</w:t>
    </w:r>
    <w:r w:rsidR="00B9436B">
      <w:rPr>
        <w:rFonts w:hint="cs"/>
        <w:rtl/>
        <w:lang w:val="es-ES"/>
      </w:rPr>
      <w:t>388387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636088">
      <w:rPr>
        <w:noProof/>
      </w:rPr>
      <w:t>30.10.15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B9436B">
    <w:pPr>
      <w:pStyle w:val="Footer"/>
      <w:tabs>
        <w:tab w:val="clear" w:pos="5812"/>
        <w:tab w:val="left" w:pos="6379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5C0E0F">
      <w:rPr>
        <w:noProof/>
        <w:lang w:val="es-ES"/>
      </w:rPr>
      <w:t>P:\ARA\ITU-R\CONF-R\CMR15\000\066ADD08A.docx</w:t>
    </w:r>
    <w:r>
      <w:fldChar w:fldCharType="end"/>
    </w:r>
    <w:r w:rsidRPr="00CB4300">
      <w:rPr>
        <w:lang w:val="es-ES"/>
      </w:rPr>
      <w:t xml:space="preserve">   (</w:t>
    </w:r>
    <w:r w:rsidR="00B9436B">
      <w:rPr>
        <w:rFonts w:hint="cs"/>
        <w:rtl/>
        <w:lang w:val="es-ES"/>
      </w:rPr>
      <w:t>388387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636088">
      <w:rPr>
        <w:noProof/>
      </w:rPr>
      <w:t>30.10.15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B9436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5C0E0F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66(Add.8)-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1EE"/>
    <w:rsid w:val="00261EF7"/>
    <w:rsid w:val="0027069F"/>
    <w:rsid w:val="00270A09"/>
    <w:rsid w:val="00277869"/>
    <w:rsid w:val="00280E04"/>
    <w:rsid w:val="00281F5F"/>
    <w:rsid w:val="002843E4"/>
    <w:rsid w:val="002878D6"/>
    <w:rsid w:val="00290DB1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42198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D33C9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0E0F"/>
    <w:rsid w:val="005C29C8"/>
    <w:rsid w:val="005C5D25"/>
    <w:rsid w:val="005D6D48"/>
    <w:rsid w:val="005D72A4"/>
    <w:rsid w:val="005F05CC"/>
    <w:rsid w:val="005F65DE"/>
    <w:rsid w:val="00613492"/>
    <w:rsid w:val="006315B5"/>
    <w:rsid w:val="00636088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23374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75B60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436B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0763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1ADD845-6E6E-4966-8E15-379C2BB2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R15-WRC15-C-0066!A8!MSW-A</DPM_x0020_File_x0020_name>
    <DPM_x0020_Author xmlns="32a1a8c5-2265-4ebc-b7a0-2071e2c5c9bb" xsi:nil="false">Documents Proposals Manager (DPM)</DPM_x0020_Author>
    <DPM_x0020_Version xmlns="32a1a8c5-2265-4ebc-b7a0-2071e2c5c9bb" xsi:nil="false">DPM_v5.2015.10.21_prod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DE9F3-0572-4B92-988B-8A84C6B2674B}">
  <ds:schemaRefs>
    <ds:schemaRef ds:uri="http://schemas.microsoft.com/office/2006/documentManagement/types"/>
    <ds:schemaRef ds:uri="32a1a8c5-2265-4ebc-b7a0-2071e2c5c9bb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A7055A-10A0-4AD0-9153-8F18F1BB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R15-WRC15-C-0066!A8!MSW-A</vt:lpstr>
    </vt:vector>
  </TitlesOfParts>
  <Manager>General Secretariat - Pool</Manager>
  <Company>International Telecommunication Union (ITU)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R15-WRC15-C-0066!A8!MSW-A</dc:title>
  <dc:creator>Documents Proposals Manager (DPM)</dc:creator>
  <cp:keywords>DPM_v5.2015.10.21_prod</cp:keywords>
  <cp:lastModifiedBy>Aly, Abdullah</cp:lastModifiedBy>
  <cp:revision>3</cp:revision>
  <cp:lastPrinted>2015-10-29T23:21:00Z</cp:lastPrinted>
  <dcterms:created xsi:type="dcterms:W3CDTF">2015-10-30T21:28:00Z</dcterms:created>
  <dcterms:modified xsi:type="dcterms:W3CDTF">2015-10-30T21:32:00Z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