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EA4637" w:rsidTr="0050008E">
        <w:trPr>
          <w:cantSplit/>
        </w:trPr>
        <w:tc>
          <w:tcPr>
            <w:tcW w:w="6911" w:type="dxa"/>
          </w:tcPr>
          <w:p w:rsidR="00BB1D82" w:rsidRPr="00EA4637" w:rsidRDefault="00851625" w:rsidP="00362F27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A4637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EA4637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EA463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EA463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EA463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EA4637" w:rsidRDefault="002C28A4" w:rsidP="00362F27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EA4637"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A463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EA4637" w:rsidRDefault="002C28A4" w:rsidP="00362F27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  <w:r w:rsidRPr="00EA4637">
              <w:rPr>
                <w:rFonts w:ascii="Verdana" w:hAnsi="Verdana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EA4637" w:rsidRDefault="00BB1D82" w:rsidP="00362F27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A463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EA4637" w:rsidRDefault="00BB1D82" w:rsidP="00362F2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EA4637" w:rsidRDefault="00BB1D82" w:rsidP="00362F27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A4637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EA4637" w:rsidRDefault="006D4724" w:rsidP="00362F27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A4637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EA4637" w:rsidRDefault="006D4724" w:rsidP="00362F27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EA4637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5 au</w:t>
            </w:r>
            <w:r w:rsidRPr="00EA4637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66</w:t>
            </w:r>
            <w:r w:rsidR="00BB1D82" w:rsidRPr="00EA4637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A4637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EA4637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EA4637" w:rsidRDefault="00690C7B" w:rsidP="00362F27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EA4637" w:rsidRDefault="00690C7B" w:rsidP="00362F27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A4637">
              <w:rPr>
                <w:rFonts w:ascii="Verdana" w:hAnsi="Verdana"/>
                <w:b/>
                <w:sz w:val="20"/>
                <w:lang w:val="fr-CH"/>
              </w:rPr>
              <w:t>15 octobre 2015</w:t>
            </w:r>
          </w:p>
        </w:tc>
      </w:tr>
      <w:tr w:rsidR="00690C7B" w:rsidRPr="00EA4637" w:rsidTr="00BB1D82">
        <w:trPr>
          <w:cantSplit/>
        </w:trPr>
        <w:tc>
          <w:tcPr>
            <w:tcW w:w="6911" w:type="dxa"/>
          </w:tcPr>
          <w:p w:rsidR="00690C7B" w:rsidRPr="00EA4637" w:rsidRDefault="00690C7B" w:rsidP="00362F2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690C7B" w:rsidRPr="00EA4637" w:rsidRDefault="00690C7B" w:rsidP="00362F27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A4637">
              <w:rPr>
                <w:rFonts w:ascii="Verdana" w:hAnsi="Verdana"/>
                <w:b/>
                <w:sz w:val="20"/>
                <w:lang w:val="fr-CH"/>
              </w:rPr>
              <w:t>Original: espagnol</w:t>
            </w:r>
          </w:p>
        </w:tc>
      </w:tr>
      <w:tr w:rsidR="00690C7B" w:rsidRPr="00EA4637" w:rsidTr="00C11970">
        <w:trPr>
          <w:cantSplit/>
        </w:trPr>
        <w:tc>
          <w:tcPr>
            <w:tcW w:w="10031" w:type="dxa"/>
            <w:gridSpan w:val="2"/>
          </w:tcPr>
          <w:p w:rsidR="00690C7B" w:rsidRPr="00EA4637" w:rsidRDefault="00690C7B" w:rsidP="00362F27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A4637" w:rsidTr="0050008E">
        <w:trPr>
          <w:cantSplit/>
        </w:trPr>
        <w:tc>
          <w:tcPr>
            <w:tcW w:w="10031" w:type="dxa"/>
            <w:gridSpan w:val="2"/>
          </w:tcPr>
          <w:p w:rsidR="00690C7B" w:rsidRPr="00EA4637" w:rsidRDefault="00690C7B" w:rsidP="00362F27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A4637">
              <w:rPr>
                <w:lang w:val="fr-CH"/>
              </w:rPr>
              <w:t>Cuba</w:t>
            </w:r>
            <w:bookmarkStart w:id="3" w:name="_GoBack"/>
            <w:bookmarkEnd w:id="3"/>
          </w:p>
        </w:tc>
      </w:tr>
      <w:tr w:rsidR="00690C7B" w:rsidRPr="00EA4637" w:rsidTr="0050008E">
        <w:trPr>
          <w:cantSplit/>
        </w:trPr>
        <w:tc>
          <w:tcPr>
            <w:tcW w:w="10031" w:type="dxa"/>
            <w:gridSpan w:val="2"/>
          </w:tcPr>
          <w:p w:rsidR="00690C7B" w:rsidRPr="00EA4637" w:rsidRDefault="008544FA" w:rsidP="00362F27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2"/>
            <w:r w:rsidRPr="00EA4637">
              <w:rPr>
                <w:lang w:val="fr-CH"/>
              </w:rPr>
              <w:t>PROPOSITIONS POUR LES TRAVAUX DE LA CONFÉRENCE</w:t>
            </w:r>
          </w:p>
        </w:tc>
      </w:tr>
      <w:tr w:rsidR="00690C7B" w:rsidRPr="00EA4637" w:rsidTr="0050008E">
        <w:trPr>
          <w:cantSplit/>
        </w:trPr>
        <w:tc>
          <w:tcPr>
            <w:tcW w:w="10031" w:type="dxa"/>
            <w:gridSpan w:val="2"/>
          </w:tcPr>
          <w:p w:rsidR="00690C7B" w:rsidRPr="00EA4637" w:rsidRDefault="00690C7B" w:rsidP="00362F27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RPr="00EA4637" w:rsidTr="0050008E">
        <w:trPr>
          <w:cantSplit/>
        </w:trPr>
        <w:tc>
          <w:tcPr>
            <w:tcW w:w="10031" w:type="dxa"/>
            <w:gridSpan w:val="2"/>
          </w:tcPr>
          <w:p w:rsidR="00690C7B" w:rsidRPr="00EA4637" w:rsidRDefault="00690C7B" w:rsidP="00362F27">
            <w:pPr>
              <w:pStyle w:val="Agendaitem"/>
            </w:pPr>
            <w:bookmarkStart w:id="6" w:name="dtitle3" w:colFirst="0" w:colLast="0"/>
            <w:bookmarkEnd w:id="5"/>
            <w:r w:rsidRPr="00EA4637">
              <w:t>Point 1.5 de l'ordre du jour</w:t>
            </w:r>
          </w:p>
        </w:tc>
      </w:tr>
    </w:tbl>
    <w:bookmarkEnd w:id="6"/>
    <w:p w:rsidR="001C0E40" w:rsidRPr="00EA4637" w:rsidRDefault="00C17DBB" w:rsidP="00362F27">
      <w:pPr>
        <w:rPr>
          <w:lang w:val="fr-CH"/>
        </w:rPr>
      </w:pPr>
      <w:r w:rsidRPr="00EA4637">
        <w:rPr>
          <w:lang w:val="fr-CH"/>
        </w:rPr>
        <w:t>1.5</w:t>
      </w:r>
      <w:r w:rsidRPr="00EA4637">
        <w:rPr>
          <w:lang w:val="fr-CH"/>
        </w:rPr>
        <w:tab/>
        <w:t xml:space="preserve">examiner l'utilisation des bandes de fréquences attribuées au service fixe par satellite qui ne relèvent pas des Appendices </w:t>
      </w:r>
      <w:r w:rsidRPr="00EA4637">
        <w:rPr>
          <w:b/>
          <w:bCs/>
          <w:lang w:val="fr-CH"/>
        </w:rPr>
        <w:t>30</w:t>
      </w:r>
      <w:r w:rsidRPr="00EA4637">
        <w:rPr>
          <w:lang w:val="fr-CH"/>
        </w:rPr>
        <w:t xml:space="preserve">, </w:t>
      </w:r>
      <w:r w:rsidRPr="00EA4637">
        <w:rPr>
          <w:b/>
          <w:bCs/>
          <w:lang w:val="fr-CH"/>
        </w:rPr>
        <w:t>30A</w:t>
      </w:r>
      <w:r w:rsidRPr="00EA4637">
        <w:rPr>
          <w:lang w:val="fr-CH"/>
        </w:rPr>
        <w:t xml:space="preserve"> et </w:t>
      </w:r>
      <w:r w:rsidRPr="00EA4637">
        <w:rPr>
          <w:b/>
          <w:bCs/>
          <w:lang w:val="fr-CH"/>
        </w:rPr>
        <w:t>30B</w:t>
      </w:r>
      <w:r w:rsidRPr="00EA4637">
        <w:rPr>
          <w:lang w:val="fr-CH"/>
        </w:rPr>
        <w:t xml:space="preserve"> pour les communications de contrôle et non associées à la charge utile des systèmes d'aéronef sans pilote (UAS) dans les espaces aériens non réservés, conformément à la Résolution </w:t>
      </w:r>
      <w:r w:rsidRPr="00EA4637">
        <w:rPr>
          <w:b/>
          <w:bCs/>
          <w:lang w:val="fr-CH"/>
        </w:rPr>
        <w:t>153 (CMR-12)</w:t>
      </w:r>
      <w:r w:rsidRPr="00EA4637">
        <w:rPr>
          <w:lang w:val="fr-CH"/>
        </w:rPr>
        <w:t>;</w:t>
      </w:r>
    </w:p>
    <w:p w:rsidR="008544FA" w:rsidRPr="00EA4637" w:rsidRDefault="008544FA" w:rsidP="00362F27">
      <w:pPr>
        <w:pStyle w:val="Headingb"/>
        <w:rPr>
          <w:lang w:val="fr-CH"/>
        </w:rPr>
      </w:pPr>
      <w:r w:rsidRPr="00EA4637">
        <w:rPr>
          <w:lang w:val="fr-CH"/>
        </w:rPr>
        <w:t>Introduction</w:t>
      </w:r>
    </w:p>
    <w:p w:rsidR="00EA4637" w:rsidRDefault="00EA4637" w:rsidP="002577A8">
      <w:pPr>
        <w:rPr>
          <w:lang w:val="fr-CH"/>
        </w:rPr>
      </w:pPr>
      <w:r w:rsidRPr="00EA4637">
        <w:rPr>
          <w:lang w:val="fr-CH"/>
        </w:rPr>
        <w:t>Les communications de contrôle et non associées à la charge utile (CN</w:t>
      </w:r>
      <w:r>
        <w:rPr>
          <w:lang w:val="fr-CH"/>
        </w:rPr>
        <w:t>P</w:t>
      </w:r>
      <w:r w:rsidRPr="00EA4637">
        <w:rPr>
          <w:lang w:val="fr-CH"/>
        </w:rPr>
        <w:t>C</w:t>
      </w:r>
      <w:r>
        <w:rPr>
          <w:lang w:val="fr-CH"/>
        </w:rPr>
        <w:t xml:space="preserve">) des aéronefs sans pilote exigent la mise en </w:t>
      </w:r>
      <w:r w:rsidR="002577A8">
        <w:rPr>
          <w:lang w:val="fr-CH"/>
        </w:rPr>
        <w:t>oeuvre</w:t>
      </w:r>
      <w:r>
        <w:rPr>
          <w:lang w:val="fr-CH"/>
        </w:rPr>
        <w:t xml:space="preserve"> de conditions permettant de garantir les caractéristiques de sécurité qui sont inhérentes au service mobile aéronautique (R), comme indiqué au numéro 43.1 du RR.</w:t>
      </w:r>
    </w:p>
    <w:p w:rsidR="00EA4637" w:rsidRDefault="00EA4637" w:rsidP="00362F27">
      <w:pPr>
        <w:rPr>
          <w:lang w:val="fr-CH"/>
        </w:rPr>
      </w:pPr>
      <w:r>
        <w:rPr>
          <w:lang w:val="fr-CH"/>
        </w:rPr>
        <w:t>L</w:t>
      </w:r>
      <w:r w:rsidR="002975BD">
        <w:rPr>
          <w:lang w:val="fr-CH"/>
        </w:rPr>
        <w:t>'</w:t>
      </w:r>
      <w:r>
        <w:rPr>
          <w:lang w:val="fr-CH"/>
        </w:rPr>
        <w:t>OACI a défini les conditions régissant l</w:t>
      </w:r>
      <w:r w:rsidR="002975BD">
        <w:rPr>
          <w:lang w:val="fr-CH"/>
        </w:rPr>
        <w:t>'</w:t>
      </w:r>
      <w:r>
        <w:rPr>
          <w:lang w:val="fr-CH"/>
        </w:rPr>
        <w:t>utilisation des systèmes d</w:t>
      </w:r>
      <w:r w:rsidR="002975BD">
        <w:rPr>
          <w:lang w:val="fr-CH"/>
        </w:rPr>
        <w:t>'</w:t>
      </w:r>
      <w:r>
        <w:rPr>
          <w:lang w:val="fr-CH"/>
        </w:rPr>
        <w:t>aéronef sans pilote (UAS) dans les liaisons du SFS</w:t>
      </w:r>
      <w:r w:rsidR="002577A8">
        <w:rPr>
          <w:lang w:val="fr-CH"/>
        </w:rPr>
        <w:t>,</w:t>
      </w:r>
      <w:r>
        <w:rPr>
          <w:lang w:val="fr-CH"/>
        </w:rPr>
        <w:t xml:space="preserve"> </w:t>
      </w:r>
      <w:r w:rsidR="00A973E4">
        <w:rPr>
          <w:lang w:val="fr-CH"/>
        </w:rPr>
        <w:t>compte tenu</w:t>
      </w:r>
      <w:r>
        <w:rPr>
          <w:lang w:val="fr-CH"/>
        </w:rPr>
        <w:t xml:space="preserve"> des exigences liées à la sécurité, y </w:t>
      </w:r>
      <w:r w:rsidR="00E065F9">
        <w:rPr>
          <w:lang w:val="fr-CH"/>
        </w:rPr>
        <w:t>compris l</w:t>
      </w:r>
      <w:r w:rsidR="002975BD">
        <w:rPr>
          <w:lang w:val="fr-CH"/>
        </w:rPr>
        <w:t>'</w:t>
      </w:r>
      <w:r w:rsidR="00E065F9">
        <w:rPr>
          <w:lang w:val="fr-CH"/>
        </w:rPr>
        <w:t>application du numéro </w:t>
      </w:r>
      <w:r>
        <w:rPr>
          <w:lang w:val="fr-CH"/>
        </w:rPr>
        <w:t>4.10 du RR.</w:t>
      </w:r>
    </w:p>
    <w:p w:rsidR="00EA4637" w:rsidRDefault="00EA4637" w:rsidP="00362F27">
      <w:pPr>
        <w:rPr>
          <w:lang w:val="fr-CH"/>
        </w:rPr>
      </w:pPr>
      <w:r>
        <w:rPr>
          <w:lang w:val="fr-CH"/>
        </w:rPr>
        <w:t>Le SFS fait l</w:t>
      </w:r>
      <w:r w:rsidR="002975BD">
        <w:rPr>
          <w:lang w:val="fr-CH"/>
        </w:rPr>
        <w:t>'</w:t>
      </w:r>
      <w:r>
        <w:rPr>
          <w:lang w:val="fr-CH"/>
        </w:rPr>
        <w:t>objet d</w:t>
      </w:r>
      <w:r w:rsidR="002975BD">
        <w:rPr>
          <w:lang w:val="fr-CH"/>
        </w:rPr>
        <w:t>'</w:t>
      </w:r>
      <w:r>
        <w:rPr>
          <w:lang w:val="fr-CH"/>
        </w:rPr>
        <w:t>une forte demande, ce qui a entraîné un encombrement considérable des ressources orbite</w:t>
      </w:r>
      <w:r w:rsidR="00A973E4">
        <w:rPr>
          <w:lang w:val="fr-CH"/>
        </w:rPr>
        <w:t>s</w:t>
      </w:r>
      <w:r>
        <w:rPr>
          <w:lang w:val="fr-CH"/>
        </w:rPr>
        <w:t xml:space="preserve">/spectre, et est assujetti à des conditions réglementaires qui reposent sur des procédures de coordination complexes </w:t>
      </w:r>
      <w:r w:rsidR="00A973E4">
        <w:rPr>
          <w:lang w:val="fr-CH"/>
        </w:rPr>
        <w:t>entraînant une charge de travail</w:t>
      </w:r>
      <w:r>
        <w:rPr>
          <w:lang w:val="fr-CH"/>
        </w:rPr>
        <w:t xml:space="preserve"> considérable pour les administrations.</w:t>
      </w:r>
    </w:p>
    <w:p w:rsidR="006F0F94" w:rsidRDefault="00EA4637" w:rsidP="002577A8">
      <w:pPr>
        <w:rPr>
          <w:lang w:val="fr-CH"/>
        </w:rPr>
      </w:pPr>
      <w:r>
        <w:rPr>
          <w:lang w:val="fr-CH"/>
        </w:rPr>
        <w:t>L</w:t>
      </w:r>
      <w:r w:rsidR="002975BD">
        <w:rPr>
          <w:lang w:val="fr-CH"/>
        </w:rPr>
        <w:t>'</w:t>
      </w:r>
      <w:r>
        <w:rPr>
          <w:lang w:val="fr-CH"/>
        </w:rPr>
        <w:t xml:space="preserve">utilisation de ce </w:t>
      </w:r>
      <w:r w:rsidR="00A973E4">
        <w:rPr>
          <w:lang w:val="fr-CH"/>
        </w:rPr>
        <w:t>service est directement liée</w:t>
      </w:r>
      <w:r>
        <w:rPr>
          <w:lang w:val="fr-CH"/>
        </w:rPr>
        <w:t xml:space="preserve"> au numéro 196 de la Constitution de l</w:t>
      </w:r>
      <w:r w:rsidR="002975BD">
        <w:rPr>
          <w:lang w:val="fr-CH"/>
        </w:rPr>
        <w:t>'</w:t>
      </w:r>
      <w:r>
        <w:rPr>
          <w:lang w:val="fr-CH"/>
        </w:rPr>
        <w:t>UIT,</w:t>
      </w:r>
      <w:r w:rsidR="006F0F94">
        <w:rPr>
          <w:lang w:val="fr-CH"/>
        </w:rPr>
        <w:t xml:space="preserve"> </w:t>
      </w:r>
      <w:r w:rsidR="00A973E4">
        <w:rPr>
          <w:lang w:val="fr-CH"/>
        </w:rPr>
        <w:t>dans lequel</w:t>
      </w:r>
      <w:r w:rsidR="006F0F94">
        <w:rPr>
          <w:lang w:val="fr-CH"/>
        </w:rPr>
        <w:t xml:space="preserve"> il est indiqué que les </w:t>
      </w:r>
      <w:r w:rsidR="00A973E4">
        <w:rPr>
          <w:lang w:val="fr-CH"/>
        </w:rPr>
        <w:t>ressources spectres/orbites</w:t>
      </w:r>
      <w:r w:rsidR="006F0F94">
        <w:rPr>
          <w:lang w:val="fr-CH"/>
        </w:rPr>
        <w:t xml:space="preserve"> doivent être utilisées de manière rationnelle afin de permettre un accès équitable à </w:t>
      </w:r>
      <w:r w:rsidR="00A973E4">
        <w:rPr>
          <w:lang w:val="fr-CH"/>
        </w:rPr>
        <w:t>ces ressources</w:t>
      </w:r>
      <w:r w:rsidR="006F0F94">
        <w:rPr>
          <w:lang w:val="fr-CH"/>
        </w:rPr>
        <w:t xml:space="preserve">, compte tenu des besoins spéciaux des pays en développement. Cela suppose </w:t>
      </w:r>
      <w:r w:rsidR="00A973E4">
        <w:rPr>
          <w:lang w:val="fr-CH"/>
        </w:rPr>
        <w:t>également</w:t>
      </w:r>
      <w:r w:rsidR="006F0F94">
        <w:rPr>
          <w:lang w:val="fr-CH"/>
        </w:rPr>
        <w:t xml:space="preserve"> l</w:t>
      </w:r>
      <w:r w:rsidR="002975BD">
        <w:rPr>
          <w:lang w:val="fr-CH"/>
        </w:rPr>
        <w:t>'</w:t>
      </w:r>
      <w:r w:rsidR="006F0F94">
        <w:rPr>
          <w:lang w:val="fr-CH"/>
        </w:rPr>
        <w:t>appl</w:t>
      </w:r>
      <w:r w:rsidR="002577A8">
        <w:rPr>
          <w:lang w:val="fr-CH"/>
        </w:rPr>
        <w:t>ication des Résolutions 2 (Rév.CMR-03) et 80 (Rév.</w:t>
      </w:r>
      <w:r w:rsidR="006F0F94">
        <w:rPr>
          <w:lang w:val="fr-CH"/>
        </w:rPr>
        <w:t>CMR-07), et aucune é</w:t>
      </w:r>
      <w:r w:rsidR="00A973E4">
        <w:rPr>
          <w:lang w:val="fr-CH"/>
        </w:rPr>
        <w:t>tude n</w:t>
      </w:r>
      <w:r w:rsidR="002975BD">
        <w:rPr>
          <w:lang w:val="fr-CH"/>
        </w:rPr>
        <w:t>'</w:t>
      </w:r>
      <w:r w:rsidR="00A973E4">
        <w:rPr>
          <w:lang w:val="fr-CH"/>
        </w:rPr>
        <w:t xml:space="preserve">a été menée concernant les </w:t>
      </w:r>
      <w:r w:rsidR="006F0F94">
        <w:rPr>
          <w:lang w:val="fr-CH"/>
        </w:rPr>
        <w:t>incidence</w:t>
      </w:r>
      <w:r w:rsidR="00A973E4">
        <w:rPr>
          <w:lang w:val="fr-CH"/>
        </w:rPr>
        <w:t>s</w:t>
      </w:r>
      <w:r w:rsidR="006F0F94">
        <w:rPr>
          <w:lang w:val="fr-CH"/>
        </w:rPr>
        <w:t xml:space="preserve"> que </w:t>
      </w:r>
      <w:r w:rsidR="00A973E4">
        <w:rPr>
          <w:lang w:val="fr-CH"/>
        </w:rPr>
        <w:t>la</w:t>
      </w:r>
      <w:r w:rsidR="006F0F94">
        <w:rPr>
          <w:lang w:val="fr-CH"/>
        </w:rPr>
        <w:t xml:space="preserve"> mise en </w:t>
      </w:r>
      <w:r w:rsidR="002577A8">
        <w:rPr>
          <w:lang w:val="fr-CH"/>
        </w:rPr>
        <w:t>oeuvre</w:t>
      </w:r>
      <w:r w:rsidR="006F0F94">
        <w:rPr>
          <w:lang w:val="fr-CH"/>
        </w:rPr>
        <w:t xml:space="preserve"> des systèmes UAS dans le SFS et la prise e</w:t>
      </w:r>
      <w:r w:rsidR="00A973E4">
        <w:rPr>
          <w:lang w:val="fr-CH"/>
        </w:rPr>
        <w:t>n compte du numéro 4.10 pourraient</w:t>
      </w:r>
      <w:r w:rsidR="006F0F94">
        <w:rPr>
          <w:lang w:val="fr-CH"/>
        </w:rPr>
        <w:t xml:space="preserve"> avoir sur l</w:t>
      </w:r>
      <w:r w:rsidR="002975BD">
        <w:rPr>
          <w:lang w:val="fr-CH"/>
        </w:rPr>
        <w:t>'</w:t>
      </w:r>
      <w:r w:rsidR="006F0F94">
        <w:rPr>
          <w:lang w:val="fr-CH"/>
        </w:rPr>
        <w:t xml:space="preserve">application du </w:t>
      </w:r>
      <w:r w:rsidR="006F0F94" w:rsidRPr="006F0F94">
        <w:rPr>
          <w:i/>
          <w:iCs/>
          <w:lang w:val="fr-CH"/>
        </w:rPr>
        <w:t>décide</w:t>
      </w:r>
      <w:r w:rsidR="006F0F94">
        <w:rPr>
          <w:lang w:val="fr-CH"/>
        </w:rPr>
        <w:t xml:space="preserve"> de ces deux Résolutions.</w:t>
      </w:r>
    </w:p>
    <w:p w:rsidR="004F7C64" w:rsidRDefault="00A973E4" w:rsidP="002577A8">
      <w:pPr>
        <w:rPr>
          <w:lang w:val="fr-CH"/>
        </w:rPr>
      </w:pPr>
      <w:r>
        <w:rPr>
          <w:lang w:val="fr-CH"/>
        </w:rPr>
        <w:t>D</w:t>
      </w:r>
      <w:r w:rsidR="002975BD">
        <w:rPr>
          <w:lang w:val="fr-CH"/>
        </w:rPr>
        <w:t>'</w:t>
      </w:r>
      <w:r>
        <w:rPr>
          <w:lang w:val="fr-CH"/>
        </w:rPr>
        <w:t>un point de vue réglementaire</w:t>
      </w:r>
      <w:r w:rsidR="004F7C64">
        <w:rPr>
          <w:lang w:val="fr-CH"/>
        </w:rPr>
        <w:t xml:space="preserve">, </w:t>
      </w:r>
      <w:r>
        <w:rPr>
          <w:lang w:val="fr-CH"/>
        </w:rPr>
        <w:t>l'application du</w:t>
      </w:r>
      <w:r w:rsidR="004F7C64">
        <w:rPr>
          <w:lang w:val="fr-CH"/>
        </w:rPr>
        <w:t xml:space="preserve"> numéro 4.10 </w:t>
      </w:r>
      <w:r>
        <w:rPr>
          <w:lang w:val="fr-CH"/>
        </w:rPr>
        <w:t>à des réseaux du SFS</w:t>
      </w:r>
      <w:r w:rsidR="004F7C64">
        <w:rPr>
          <w:lang w:val="fr-CH"/>
        </w:rPr>
        <w:t xml:space="preserve"> pourrait </w:t>
      </w:r>
      <w:r>
        <w:rPr>
          <w:lang w:val="fr-CH"/>
        </w:rPr>
        <w:t>créer une situation dans laquelle d</w:t>
      </w:r>
      <w:r w:rsidR="004F7C64">
        <w:rPr>
          <w:lang w:val="fr-CH"/>
        </w:rPr>
        <w:t xml:space="preserve">es réseaux du SFS ayant des </w:t>
      </w:r>
      <w:r>
        <w:rPr>
          <w:lang w:val="fr-CH"/>
        </w:rPr>
        <w:t xml:space="preserve">caractéristiques de </w:t>
      </w:r>
      <w:r w:rsidR="004F7C64">
        <w:rPr>
          <w:lang w:val="fr-CH"/>
        </w:rPr>
        <w:t>s</w:t>
      </w:r>
      <w:r>
        <w:rPr>
          <w:lang w:val="fr-CH"/>
        </w:rPr>
        <w:t>ervice de sécurité coexisteraient</w:t>
      </w:r>
      <w:r w:rsidR="004F7C64">
        <w:rPr>
          <w:lang w:val="fr-CH"/>
        </w:rPr>
        <w:t xml:space="preserve"> avec d</w:t>
      </w:r>
      <w:r w:rsidR="002975BD">
        <w:rPr>
          <w:lang w:val="fr-CH"/>
        </w:rPr>
        <w:t>'</w:t>
      </w:r>
      <w:r w:rsidR="004F7C64">
        <w:rPr>
          <w:lang w:val="fr-CH"/>
        </w:rPr>
        <w:t xml:space="preserve">autres </w:t>
      </w:r>
      <w:r>
        <w:rPr>
          <w:lang w:val="fr-CH"/>
        </w:rPr>
        <w:t>réseaux n</w:t>
      </w:r>
      <w:r w:rsidR="002975BD">
        <w:rPr>
          <w:lang w:val="fr-CH"/>
        </w:rPr>
        <w:t>'</w:t>
      </w:r>
      <w:r>
        <w:rPr>
          <w:lang w:val="fr-CH"/>
        </w:rPr>
        <w:t>ayant pas ces caractéristiques</w:t>
      </w:r>
      <w:r w:rsidR="004F7C64">
        <w:rPr>
          <w:lang w:val="fr-CH"/>
        </w:rPr>
        <w:t xml:space="preserve">. Il y aurait ainsi différentes catégories de réseaux, ce qui créerait une </w:t>
      </w:r>
      <w:r>
        <w:rPr>
          <w:lang w:val="fr-CH"/>
        </w:rPr>
        <w:t>distinction</w:t>
      </w:r>
      <w:r w:rsidR="004F7C64">
        <w:rPr>
          <w:lang w:val="fr-CH"/>
        </w:rPr>
        <w:t xml:space="preserve"> risquant de compliquer l</w:t>
      </w:r>
      <w:r w:rsidR="002975BD">
        <w:rPr>
          <w:lang w:val="fr-CH"/>
        </w:rPr>
        <w:t>'</w:t>
      </w:r>
      <w:r w:rsidR="004F7C64">
        <w:rPr>
          <w:lang w:val="fr-CH"/>
        </w:rPr>
        <w:t xml:space="preserve">application pratique </w:t>
      </w:r>
      <w:r w:rsidR="004F7C64">
        <w:rPr>
          <w:lang w:val="fr-CH"/>
        </w:rPr>
        <w:lastRenderedPageBreak/>
        <w:t>du principe d</w:t>
      </w:r>
      <w:r w:rsidR="002975BD">
        <w:rPr>
          <w:lang w:val="fr-CH"/>
        </w:rPr>
        <w:t>'</w:t>
      </w:r>
      <w:r w:rsidR="004F7C64">
        <w:rPr>
          <w:lang w:val="fr-CH"/>
        </w:rPr>
        <w:t xml:space="preserve">accès équitable aux </w:t>
      </w:r>
      <w:r>
        <w:rPr>
          <w:lang w:val="fr-CH"/>
        </w:rPr>
        <w:t xml:space="preserve">ressources </w:t>
      </w:r>
      <w:r w:rsidR="004F7C64">
        <w:rPr>
          <w:lang w:val="fr-CH"/>
        </w:rPr>
        <w:t>orbites</w:t>
      </w:r>
      <w:r>
        <w:rPr>
          <w:lang w:val="fr-CH"/>
        </w:rPr>
        <w:t>/spectre</w:t>
      </w:r>
      <w:r w:rsidR="004F7C64">
        <w:rPr>
          <w:lang w:val="fr-CH"/>
        </w:rPr>
        <w:t>. Par ailleurs, le fait de devoir envisager l</w:t>
      </w:r>
      <w:r w:rsidR="002975BD">
        <w:rPr>
          <w:lang w:val="fr-CH"/>
        </w:rPr>
        <w:t>'</w:t>
      </w:r>
      <w:r w:rsidR="004F7C64">
        <w:rPr>
          <w:lang w:val="fr-CH"/>
        </w:rPr>
        <w:t>application du numéro 4.10 aboutira à des difficultés en ce qui concerne la procédure actuelle de coordination des réseaux à satellite.</w:t>
      </w:r>
    </w:p>
    <w:p w:rsidR="004F7C64" w:rsidRDefault="00A973E4" w:rsidP="00362F27">
      <w:pPr>
        <w:rPr>
          <w:lang w:val="fr-CH"/>
        </w:rPr>
      </w:pPr>
      <w:r>
        <w:rPr>
          <w:lang w:val="fr-CH"/>
        </w:rPr>
        <w:t>Les études menées doivent être approfondies sur</w:t>
      </w:r>
      <w:r w:rsidR="004F7C64">
        <w:rPr>
          <w:lang w:val="fr-CH"/>
        </w:rPr>
        <w:t xml:space="preserve"> de nombreux aspects relatifs aux caractéristiques des stations terriennes d</w:t>
      </w:r>
      <w:r w:rsidR="002975BD">
        <w:rPr>
          <w:lang w:val="fr-CH"/>
        </w:rPr>
        <w:t>'</w:t>
      </w:r>
      <w:r w:rsidR="004F7C64">
        <w:rPr>
          <w:lang w:val="fr-CH"/>
        </w:rPr>
        <w:t xml:space="preserve">aéronef et à la coordination </w:t>
      </w:r>
      <w:r>
        <w:rPr>
          <w:lang w:val="fr-CH"/>
        </w:rPr>
        <w:t>de ces stations dont les conditions d</w:t>
      </w:r>
      <w:r w:rsidR="002975BD">
        <w:rPr>
          <w:lang w:val="fr-CH"/>
        </w:rPr>
        <w:t>'</w:t>
      </w:r>
      <w:r>
        <w:rPr>
          <w:lang w:val="fr-CH"/>
        </w:rPr>
        <w:t xml:space="preserve">exploitation </w:t>
      </w:r>
      <w:r w:rsidR="004F7C64">
        <w:rPr>
          <w:lang w:val="fr-CH"/>
        </w:rPr>
        <w:t>diffère</w:t>
      </w:r>
      <w:r>
        <w:rPr>
          <w:lang w:val="fr-CH"/>
        </w:rPr>
        <w:t>nt</w:t>
      </w:r>
      <w:r w:rsidR="004F7C64">
        <w:rPr>
          <w:lang w:val="fr-CH"/>
        </w:rPr>
        <w:t xml:space="preserve"> considérablement de celles des stations terriennes du SFS. </w:t>
      </w:r>
      <w:r>
        <w:rPr>
          <w:lang w:val="fr-CH"/>
        </w:rPr>
        <w:t>Parallèlement</w:t>
      </w:r>
      <w:r w:rsidR="004F7C64">
        <w:rPr>
          <w:lang w:val="fr-CH"/>
        </w:rPr>
        <w:t>, des études plus approfondies doivent être menées concernant</w:t>
      </w:r>
      <w:r w:rsidR="001C16AA">
        <w:rPr>
          <w:lang w:val="fr-CH"/>
        </w:rPr>
        <w:t xml:space="preserve"> les autres services utilisant d</w:t>
      </w:r>
      <w:r w:rsidR="004F7C64">
        <w:rPr>
          <w:lang w:val="fr-CH"/>
        </w:rPr>
        <w:t xml:space="preserve">es bandes de fréquences en partage avec le SFS. De nombreuses administrations </w:t>
      </w:r>
      <w:r w:rsidR="001C16AA">
        <w:rPr>
          <w:lang w:val="fr-CH"/>
        </w:rPr>
        <w:t xml:space="preserve">risquent de ne pas pouvoir </w:t>
      </w:r>
      <w:r w:rsidR="004F7C64">
        <w:rPr>
          <w:lang w:val="fr-CH"/>
        </w:rPr>
        <w:t>garantir la protectio</w:t>
      </w:r>
      <w:r w:rsidR="001C16AA">
        <w:rPr>
          <w:lang w:val="fr-CH"/>
        </w:rPr>
        <w:t>n des stations terriennes d</w:t>
      </w:r>
      <w:r w:rsidR="002975BD">
        <w:rPr>
          <w:lang w:val="fr-CH"/>
        </w:rPr>
        <w:t>'</w:t>
      </w:r>
      <w:r w:rsidR="001C16AA">
        <w:rPr>
          <w:lang w:val="fr-CH"/>
        </w:rPr>
        <w:t>aéronef</w:t>
      </w:r>
      <w:r w:rsidR="004F7C64">
        <w:rPr>
          <w:lang w:val="fr-CH"/>
        </w:rPr>
        <w:t xml:space="preserve"> vis-à-vis des émissions produites par leurs services de Ter</w:t>
      </w:r>
      <w:r w:rsidR="001C16AA">
        <w:rPr>
          <w:lang w:val="fr-CH"/>
        </w:rPr>
        <w:t>re fonctionnant conformément au</w:t>
      </w:r>
      <w:r w:rsidR="004F7C64">
        <w:rPr>
          <w:lang w:val="fr-CH"/>
        </w:rPr>
        <w:t xml:space="preserve"> RR, et </w:t>
      </w:r>
      <w:r w:rsidR="001C16AA">
        <w:rPr>
          <w:lang w:val="fr-CH"/>
        </w:rPr>
        <w:t>ne seraient pas en mesure de</w:t>
      </w:r>
      <w:r w:rsidR="004F7C64">
        <w:rPr>
          <w:lang w:val="fr-CH"/>
        </w:rPr>
        <w:t xml:space="preserve"> s</w:t>
      </w:r>
      <w:r w:rsidR="002975BD">
        <w:rPr>
          <w:lang w:val="fr-CH"/>
        </w:rPr>
        <w:t>'</w:t>
      </w:r>
      <w:r w:rsidR="004F7C64">
        <w:rPr>
          <w:lang w:val="fr-CH"/>
        </w:rPr>
        <w:t>engager à appliquer le numéro 4.10 à cet égard.</w:t>
      </w:r>
    </w:p>
    <w:p w:rsidR="00427A0C" w:rsidRDefault="004F7C64" w:rsidP="00362F27">
      <w:pPr>
        <w:rPr>
          <w:lang w:val="fr-CH"/>
        </w:rPr>
      </w:pPr>
      <w:r>
        <w:rPr>
          <w:lang w:val="fr-CH"/>
        </w:rPr>
        <w:t>Enfin, l</w:t>
      </w:r>
      <w:r w:rsidR="002975BD">
        <w:rPr>
          <w:lang w:val="fr-CH"/>
        </w:rPr>
        <w:t>'</w:t>
      </w:r>
      <w:r>
        <w:rPr>
          <w:lang w:val="fr-CH"/>
        </w:rPr>
        <w:t>introduction du con</w:t>
      </w:r>
      <w:r w:rsidR="002C6F67">
        <w:rPr>
          <w:lang w:val="fr-CH"/>
        </w:rPr>
        <w:t>cept de station terrienne d</w:t>
      </w:r>
      <w:r w:rsidR="002975BD">
        <w:rPr>
          <w:lang w:val="fr-CH"/>
        </w:rPr>
        <w:t>'</w:t>
      </w:r>
      <w:r w:rsidR="002C6F67">
        <w:rPr>
          <w:lang w:val="fr-CH"/>
        </w:rPr>
        <w:t>aéronef</w:t>
      </w:r>
      <w:r>
        <w:rPr>
          <w:lang w:val="fr-CH"/>
        </w:rPr>
        <w:t xml:space="preserve"> dans le SFS entraîne une contradiction avec les définitions figurant dans le Règlement des radiocommunications, qui constituent </w:t>
      </w:r>
      <w:r w:rsidR="00427A0C">
        <w:rPr>
          <w:lang w:val="fr-CH"/>
        </w:rPr>
        <w:t>les bases sur lesquelles reposent toutes les procédures réglementaires internationales régissant l</w:t>
      </w:r>
      <w:r w:rsidR="002975BD">
        <w:rPr>
          <w:lang w:val="fr-CH"/>
        </w:rPr>
        <w:t>'</w:t>
      </w:r>
      <w:r w:rsidR="00427A0C">
        <w:rPr>
          <w:lang w:val="fr-CH"/>
        </w:rPr>
        <w:t>utilisation des services de radiocommunication.</w:t>
      </w:r>
    </w:p>
    <w:p w:rsidR="00EA4637" w:rsidRPr="00EA4637" w:rsidRDefault="00427A0C" w:rsidP="00362F27">
      <w:pPr>
        <w:rPr>
          <w:lang w:val="fr-CH"/>
        </w:rPr>
      </w:pPr>
      <w:r>
        <w:rPr>
          <w:lang w:val="fr-CH"/>
        </w:rPr>
        <w:t>Compte tenu de ce qui précède, l</w:t>
      </w:r>
      <w:r w:rsidR="002975BD">
        <w:rPr>
          <w:lang w:val="fr-CH"/>
        </w:rPr>
        <w:t>'</w:t>
      </w:r>
      <w:r>
        <w:rPr>
          <w:lang w:val="fr-CH"/>
        </w:rPr>
        <w:t>Administration de Cuba propose de n</w:t>
      </w:r>
      <w:r w:rsidR="002975BD">
        <w:rPr>
          <w:lang w:val="fr-CH"/>
        </w:rPr>
        <w:t>'</w:t>
      </w:r>
      <w:r>
        <w:rPr>
          <w:lang w:val="fr-CH"/>
        </w:rPr>
        <w:t>apporter aucune modification au Règlement des radiocommunications au titre du point 5 de l</w:t>
      </w:r>
      <w:r w:rsidR="002975BD">
        <w:rPr>
          <w:lang w:val="fr-CH"/>
        </w:rPr>
        <w:t>'</w:t>
      </w:r>
      <w:r>
        <w:rPr>
          <w:lang w:val="fr-CH"/>
        </w:rPr>
        <w:t>ordre du jour.</w:t>
      </w:r>
    </w:p>
    <w:p w:rsidR="00B70A9E" w:rsidRPr="00EA4637" w:rsidRDefault="00B70A9E" w:rsidP="00362F27">
      <w:pPr>
        <w:pStyle w:val="Headingb"/>
        <w:rPr>
          <w:lang w:val="fr-CH"/>
        </w:rPr>
      </w:pPr>
      <w:r w:rsidRPr="00EA4637">
        <w:rPr>
          <w:lang w:val="fr-CH"/>
        </w:rPr>
        <w:t>Propositions</w:t>
      </w:r>
    </w:p>
    <w:p w:rsidR="0015203F" w:rsidRPr="00EA4637" w:rsidRDefault="0015203F" w:rsidP="00362F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EA4637">
        <w:rPr>
          <w:lang w:val="fr-CH"/>
        </w:rPr>
        <w:br w:type="page"/>
      </w:r>
    </w:p>
    <w:p w:rsidR="004A6A8C" w:rsidRPr="00EA4637" w:rsidRDefault="00C17DBB" w:rsidP="00362F27">
      <w:pPr>
        <w:pStyle w:val="ArtNo"/>
        <w:rPr>
          <w:lang w:val="fr-CH"/>
        </w:rPr>
      </w:pPr>
      <w:r w:rsidRPr="00EA4637">
        <w:rPr>
          <w:lang w:val="fr-CH"/>
        </w:rPr>
        <w:lastRenderedPageBreak/>
        <w:t xml:space="preserve">ARTICLE </w:t>
      </w:r>
      <w:r w:rsidRPr="00EA4637">
        <w:rPr>
          <w:rStyle w:val="href"/>
          <w:color w:val="000000"/>
          <w:lang w:val="fr-CH"/>
        </w:rPr>
        <w:t>5</w:t>
      </w:r>
    </w:p>
    <w:p w:rsidR="004A6A8C" w:rsidRPr="00EA4637" w:rsidRDefault="00C17DBB" w:rsidP="00362F27">
      <w:pPr>
        <w:pStyle w:val="Arttitle"/>
        <w:rPr>
          <w:lang w:val="fr-CH"/>
        </w:rPr>
      </w:pPr>
      <w:r w:rsidRPr="00EA4637">
        <w:rPr>
          <w:lang w:val="fr-CH"/>
        </w:rPr>
        <w:t>Attribution des bandes de fréquences</w:t>
      </w:r>
    </w:p>
    <w:p w:rsidR="003B182A" w:rsidRPr="00EA4637" w:rsidRDefault="00C17DBB" w:rsidP="00362F27">
      <w:pPr>
        <w:pStyle w:val="Proposal"/>
        <w:rPr>
          <w:lang w:val="fr-CH"/>
        </w:rPr>
      </w:pPr>
      <w:r w:rsidRPr="00EA4637">
        <w:rPr>
          <w:u w:val="single"/>
          <w:lang w:val="fr-CH"/>
        </w:rPr>
        <w:t>NOC</w:t>
      </w:r>
      <w:r w:rsidRPr="00EA4637">
        <w:rPr>
          <w:lang w:val="fr-CH"/>
        </w:rPr>
        <w:tab/>
        <w:t>CUB/66A5/1</w:t>
      </w:r>
    </w:p>
    <w:p w:rsidR="004A6A8C" w:rsidRPr="00EA4637" w:rsidRDefault="00C17DBB" w:rsidP="00362F27">
      <w:pPr>
        <w:pStyle w:val="Section1"/>
        <w:keepNext/>
        <w:rPr>
          <w:lang w:val="fr-CH"/>
        </w:rPr>
      </w:pPr>
      <w:r w:rsidRPr="00EA4637">
        <w:rPr>
          <w:lang w:val="fr-CH"/>
        </w:rPr>
        <w:t>Section IV – Tableau d'attribution des bandes de fréquences</w:t>
      </w:r>
      <w:r w:rsidRPr="00EA4637">
        <w:rPr>
          <w:lang w:val="fr-CH"/>
        </w:rPr>
        <w:br/>
      </w:r>
      <w:r w:rsidRPr="00EA4637">
        <w:rPr>
          <w:b w:val="0"/>
          <w:bCs/>
          <w:lang w:val="fr-CH"/>
        </w:rPr>
        <w:t>(Voir le numéro</w:t>
      </w:r>
      <w:r w:rsidRPr="00EA4637">
        <w:rPr>
          <w:lang w:val="fr-CH"/>
        </w:rPr>
        <w:t xml:space="preserve"> 2.1</w:t>
      </w:r>
      <w:r w:rsidRPr="00EA4637">
        <w:rPr>
          <w:b w:val="0"/>
          <w:bCs/>
          <w:lang w:val="fr-CH"/>
        </w:rPr>
        <w:t>)</w:t>
      </w:r>
      <w:r w:rsidRPr="00EA4637">
        <w:rPr>
          <w:b w:val="0"/>
          <w:color w:val="000000"/>
          <w:lang w:val="fr-CH"/>
        </w:rPr>
        <w:br/>
      </w:r>
      <w:r w:rsidRPr="00EA4637">
        <w:rPr>
          <w:b w:val="0"/>
          <w:color w:val="000000"/>
          <w:lang w:val="fr-CH"/>
        </w:rPr>
        <w:br/>
      </w:r>
    </w:p>
    <w:p w:rsidR="00427A0C" w:rsidRDefault="00C17DBB" w:rsidP="002975BD">
      <w:pPr>
        <w:pStyle w:val="Reasons"/>
        <w:rPr>
          <w:lang w:val="fr-CH"/>
        </w:rPr>
      </w:pPr>
      <w:r w:rsidRPr="00EA4637">
        <w:rPr>
          <w:b/>
          <w:lang w:val="fr-CH"/>
        </w:rPr>
        <w:t>Motifs:</w:t>
      </w:r>
      <w:r w:rsidRPr="00EA4637">
        <w:rPr>
          <w:lang w:val="fr-CH"/>
        </w:rPr>
        <w:tab/>
      </w:r>
      <w:r w:rsidR="00427A0C">
        <w:rPr>
          <w:lang w:val="fr-CH"/>
        </w:rPr>
        <w:t>L</w:t>
      </w:r>
      <w:r w:rsidR="002975BD">
        <w:rPr>
          <w:lang w:val="fr-CH"/>
        </w:rPr>
        <w:t>'</w:t>
      </w:r>
      <w:r w:rsidR="00427A0C">
        <w:rPr>
          <w:lang w:val="fr-CH"/>
        </w:rPr>
        <w:t xml:space="preserve">utilisation, selon les conditions actuelles, </w:t>
      </w:r>
      <w:r w:rsidR="000A7ACF" w:rsidRPr="00EA4637">
        <w:rPr>
          <w:lang w:val="fr-CH"/>
        </w:rPr>
        <w:t xml:space="preserve">des bandes de fréquences attribuées au service fixe par satellite qui ne relèvent pas des </w:t>
      </w:r>
      <w:r w:rsidR="002975BD">
        <w:rPr>
          <w:lang w:val="fr-CH"/>
        </w:rPr>
        <w:t xml:space="preserve">Appendices 30, 30A et 30B pour </w:t>
      </w:r>
      <w:r w:rsidR="000A7ACF" w:rsidRPr="00EA4637">
        <w:rPr>
          <w:lang w:val="fr-CH"/>
        </w:rPr>
        <w:t>les communications de contrôle et non associées à la charge utile des systèmes d'aéronefs</w:t>
      </w:r>
      <w:r w:rsidR="002C6F67">
        <w:rPr>
          <w:lang w:val="fr-CH"/>
        </w:rPr>
        <w:t xml:space="preserve"> </w:t>
      </w:r>
      <w:r w:rsidR="000A7ACF" w:rsidRPr="00EA4637">
        <w:rPr>
          <w:lang w:val="fr-CH"/>
        </w:rPr>
        <w:t xml:space="preserve">(UAS) </w:t>
      </w:r>
      <w:r w:rsidR="00427A0C">
        <w:rPr>
          <w:lang w:val="fr-CH"/>
        </w:rPr>
        <w:t>ne permet pas de garantir la continuité des procédures réglementaires et risquerait par ailleurs d</w:t>
      </w:r>
      <w:r w:rsidR="002975BD">
        <w:rPr>
          <w:lang w:val="fr-CH"/>
        </w:rPr>
        <w:t>'</w:t>
      </w:r>
      <w:r w:rsidR="00427A0C">
        <w:rPr>
          <w:lang w:val="fr-CH"/>
        </w:rPr>
        <w:t>entraver le processus d</w:t>
      </w:r>
      <w:r w:rsidR="002975BD">
        <w:rPr>
          <w:lang w:val="fr-CH"/>
        </w:rPr>
        <w:t>'</w:t>
      </w:r>
      <w:r w:rsidR="00427A0C">
        <w:rPr>
          <w:lang w:val="fr-CH"/>
        </w:rPr>
        <w:t>exam</w:t>
      </w:r>
      <w:r w:rsidR="002975BD">
        <w:rPr>
          <w:lang w:val="fr-CH"/>
        </w:rPr>
        <w:t>en et d'</w:t>
      </w:r>
      <w:r w:rsidR="00427A0C">
        <w:rPr>
          <w:lang w:val="fr-CH"/>
        </w:rPr>
        <w:t>amélioration de ces dispositions</w:t>
      </w:r>
      <w:r w:rsidR="002577A8">
        <w:rPr>
          <w:lang w:val="fr-CH"/>
        </w:rPr>
        <w:t>,</w:t>
      </w:r>
      <w:r w:rsidR="00427A0C">
        <w:rPr>
          <w:lang w:val="fr-CH"/>
        </w:rPr>
        <w:t xml:space="preserve"> dont l</w:t>
      </w:r>
      <w:r w:rsidR="002975BD">
        <w:rPr>
          <w:lang w:val="fr-CH"/>
        </w:rPr>
        <w:t>'</w:t>
      </w:r>
      <w:r w:rsidR="00427A0C">
        <w:rPr>
          <w:lang w:val="fr-CH"/>
        </w:rPr>
        <w:t xml:space="preserve">objectif est </w:t>
      </w:r>
      <w:r w:rsidR="002C6F67">
        <w:rPr>
          <w:lang w:val="fr-CH"/>
        </w:rPr>
        <w:t>d'assurer</w:t>
      </w:r>
      <w:r w:rsidR="00427A0C">
        <w:rPr>
          <w:lang w:val="fr-CH"/>
        </w:rPr>
        <w:t xml:space="preserve"> un accès </w:t>
      </w:r>
      <w:r w:rsidR="002C6F67">
        <w:rPr>
          <w:lang w:val="fr-CH"/>
        </w:rPr>
        <w:t xml:space="preserve">toujours plus </w:t>
      </w:r>
      <w:r w:rsidR="00427A0C">
        <w:rPr>
          <w:lang w:val="fr-CH"/>
        </w:rPr>
        <w:t xml:space="preserve">équitable aux </w:t>
      </w:r>
      <w:r w:rsidR="002C6F67">
        <w:rPr>
          <w:lang w:val="fr-CH"/>
        </w:rPr>
        <w:t xml:space="preserve">ressources </w:t>
      </w:r>
      <w:r w:rsidR="00427A0C">
        <w:rPr>
          <w:lang w:val="fr-CH"/>
        </w:rPr>
        <w:t>orbites</w:t>
      </w:r>
      <w:r w:rsidR="002C6F67">
        <w:rPr>
          <w:lang w:val="fr-CH"/>
        </w:rPr>
        <w:t>/spectre</w:t>
      </w:r>
      <w:r w:rsidR="00427A0C">
        <w:rPr>
          <w:lang w:val="fr-CH"/>
        </w:rPr>
        <w:t xml:space="preserve">. Par ailleurs, </w:t>
      </w:r>
      <w:r w:rsidR="002C6F67">
        <w:rPr>
          <w:lang w:val="fr-CH"/>
        </w:rPr>
        <w:t xml:space="preserve">de nombreux </w:t>
      </w:r>
      <w:r w:rsidR="00427A0C">
        <w:rPr>
          <w:lang w:val="fr-CH"/>
        </w:rPr>
        <w:t>aspects techniques doivent encore être clarifié</w:t>
      </w:r>
      <w:r w:rsidR="002C6F67">
        <w:rPr>
          <w:lang w:val="fr-CH"/>
        </w:rPr>
        <w:t>s</w:t>
      </w:r>
      <w:r w:rsidR="00427A0C">
        <w:rPr>
          <w:lang w:val="fr-CH"/>
        </w:rPr>
        <w:t>.</w:t>
      </w:r>
    </w:p>
    <w:p w:rsidR="003B182A" w:rsidRPr="00EA4637" w:rsidRDefault="00C17DBB" w:rsidP="00362F27">
      <w:pPr>
        <w:pStyle w:val="Proposal"/>
        <w:rPr>
          <w:lang w:val="fr-CH"/>
        </w:rPr>
      </w:pPr>
      <w:r w:rsidRPr="00EA4637">
        <w:rPr>
          <w:lang w:val="fr-CH"/>
        </w:rPr>
        <w:t>SUP</w:t>
      </w:r>
      <w:r w:rsidRPr="00EA4637">
        <w:rPr>
          <w:lang w:val="fr-CH"/>
        </w:rPr>
        <w:tab/>
        <w:t>CUB/66A5/2</w:t>
      </w:r>
    </w:p>
    <w:p w:rsidR="00DD4258" w:rsidRPr="00EA4637" w:rsidRDefault="00C17DBB" w:rsidP="00362F27">
      <w:pPr>
        <w:pStyle w:val="ResNo"/>
        <w:rPr>
          <w:lang w:val="fr-CH"/>
        </w:rPr>
      </w:pPr>
      <w:r w:rsidRPr="00EA4637">
        <w:rPr>
          <w:lang w:val="fr-CH"/>
        </w:rPr>
        <w:t xml:space="preserve">RÉSOLUTION </w:t>
      </w:r>
      <w:r w:rsidRPr="00EA4637">
        <w:rPr>
          <w:rStyle w:val="href"/>
          <w:lang w:val="fr-CH"/>
        </w:rPr>
        <w:t>153</w:t>
      </w:r>
      <w:r w:rsidRPr="00EA4637">
        <w:rPr>
          <w:lang w:val="fr-CH"/>
        </w:rPr>
        <w:t xml:space="preserve"> (CMR-12)</w:t>
      </w:r>
    </w:p>
    <w:p w:rsidR="00DD4258" w:rsidRPr="00EA4637" w:rsidRDefault="00C17DBB" w:rsidP="00362F27">
      <w:pPr>
        <w:pStyle w:val="Restitle"/>
        <w:rPr>
          <w:lang w:val="fr-CH"/>
        </w:rPr>
      </w:pPr>
      <w:r w:rsidRPr="00EA4637">
        <w:rPr>
          <w:lang w:val="fr-CH"/>
        </w:rPr>
        <w:t xml:space="preserve">Examen de l'utilisation des bandes de fréquences attribuées au service fixe </w:t>
      </w:r>
      <w:r w:rsidRPr="00EA4637">
        <w:rPr>
          <w:lang w:val="fr-CH"/>
        </w:rPr>
        <w:br/>
        <w:t xml:space="preserve">par satellite qui ne relèvent pas des Appendices 30, 30A et 30B pour </w:t>
      </w:r>
      <w:r w:rsidRPr="00EA4637">
        <w:rPr>
          <w:lang w:val="fr-CH"/>
        </w:rPr>
        <w:br/>
        <w:t xml:space="preserve">les communications de contrôle et non associées à la charge utile des </w:t>
      </w:r>
      <w:r w:rsidRPr="00EA4637">
        <w:rPr>
          <w:lang w:val="fr-CH"/>
        </w:rPr>
        <w:br/>
        <w:t>systèmes d'aéronefs sans pilote dans les espaces aériens non réservés</w:t>
      </w:r>
    </w:p>
    <w:p w:rsidR="003B182A" w:rsidRPr="00EA4637" w:rsidRDefault="00C17DBB" w:rsidP="00362F27">
      <w:pPr>
        <w:pStyle w:val="Reasons"/>
        <w:rPr>
          <w:lang w:val="fr-CH"/>
        </w:rPr>
      </w:pPr>
      <w:r w:rsidRPr="00EA4637">
        <w:rPr>
          <w:b/>
          <w:lang w:val="fr-CH"/>
        </w:rPr>
        <w:t>Motifs:</w:t>
      </w:r>
      <w:r w:rsidRPr="00EA4637">
        <w:rPr>
          <w:lang w:val="fr-CH"/>
        </w:rPr>
        <w:tab/>
      </w:r>
      <w:r w:rsidR="00427A0C">
        <w:rPr>
          <w:lang w:val="fr-CH"/>
        </w:rPr>
        <w:t>N</w:t>
      </w:r>
      <w:r w:rsidR="002975BD">
        <w:rPr>
          <w:lang w:val="fr-CH"/>
        </w:rPr>
        <w:t>'</w:t>
      </w:r>
      <w:r w:rsidR="00427A0C">
        <w:rPr>
          <w:lang w:val="fr-CH"/>
        </w:rPr>
        <w:t>est plus nécessaire</w:t>
      </w:r>
      <w:r w:rsidR="000A7ACF" w:rsidRPr="00EA4637">
        <w:rPr>
          <w:lang w:val="fr-CH"/>
        </w:rPr>
        <w:t>.</w:t>
      </w:r>
    </w:p>
    <w:p w:rsidR="00CF0B4B" w:rsidRPr="00EA4637" w:rsidRDefault="00CF0B4B" w:rsidP="00362F27">
      <w:pPr>
        <w:pStyle w:val="Reasons"/>
        <w:rPr>
          <w:lang w:val="fr-CH"/>
        </w:rPr>
      </w:pPr>
    </w:p>
    <w:p w:rsidR="00CF0B4B" w:rsidRPr="00EA4637" w:rsidRDefault="00CF0B4B" w:rsidP="00362F27">
      <w:pPr>
        <w:jc w:val="center"/>
        <w:rPr>
          <w:lang w:val="fr-CH"/>
        </w:rPr>
      </w:pPr>
      <w:r w:rsidRPr="00EA4637">
        <w:rPr>
          <w:lang w:val="fr-CH"/>
        </w:rPr>
        <w:t>______________</w:t>
      </w:r>
    </w:p>
    <w:p w:rsidR="00CF0B4B" w:rsidRPr="00EA4637" w:rsidRDefault="00CF0B4B" w:rsidP="00362F27">
      <w:pPr>
        <w:pStyle w:val="Reasons"/>
        <w:rPr>
          <w:lang w:val="fr-CH"/>
        </w:rPr>
      </w:pPr>
    </w:p>
    <w:sectPr w:rsidR="00CF0B4B" w:rsidRPr="00EA4637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541C0">
      <w:rPr>
        <w:noProof/>
        <w:lang w:val="en-US"/>
      </w:rPr>
      <w:t>P:\FRA\ITU-R\CONF-R\CMR15\000\066ADD05F.docx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41C0">
      <w:rPr>
        <w:noProof/>
      </w:rPr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41C0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541C0">
      <w:rPr>
        <w:lang w:val="en-US"/>
      </w:rPr>
      <w:t>P:\FRA\ITU-R\CONF-R\CMR15\000\066ADD05F.docx</w:t>
    </w:r>
    <w:r>
      <w:fldChar w:fldCharType="end"/>
    </w:r>
    <w:r w:rsidR="00CF0B4B">
      <w:t xml:space="preserve"> (</w:t>
    </w:r>
    <w:r w:rsidR="00015FE4">
      <w:t>388384)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41C0"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41C0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541C0">
      <w:rPr>
        <w:lang w:val="en-US"/>
      </w:rPr>
      <w:t>P:\FRA\ITU-R\CONF-R\CMR15\000\066ADD05F.docx</w:t>
    </w:r>
    <w:r>
      <w:fldChar w:fldCharType="end"/>
    </w:r>
    <w:r w:rsidR="00015FE4">
      <w:t xml:space="preserve"> (388384)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41C0"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41C0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541C0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66(Add.5)-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E849E5F-0B4B-41C9-A486-2DA555C49679}"/>
    <w:docVar w:name="dgnword-eventsink" w:val="169891760"/>
  </w:docVars>
  <w:rsids>
    <w:rsidRoot w:val="00BB1D82"/>
    <w:rsid w:val="00007EC7"/>
    <w:rsid w:val="00010B43"/>
    <w:rsid w:val="00015FE4"/>
    <w:rsid w:val="00016648"/>
    <w:rsid w:val="0003522F"/>
    <w:rsid w:val="00054908"/>
    <w:rsid w:val="00080E2C"/>
    <w:rsid w:val="000A4755"/>
    <w:rsid w:val="000A7ACF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C16AA"/>
    <w:rsid w:val="001F17E8"/>
    <w:rsid w:val="00204306"/>
    <w:rsid w:val="00232FD2"/>
    <w:rsid w:val="002577A8"/>
    <w:rsid w:val="0026554E"/>
    <w:rsid w:val="00272B7B"/>
    <w:rsid w:val="00276722"/>
    <w:rsid w:val="002975BD"/>
    <w:rsid w:val="002A4622"/>
    <w:rsid w:val="002A6F8F"/>
    <w:rsid w:val="002B17E5"/>
    <w:rsid w:val="002C0EBF"/>
    <w:rsid w:val="002C28A4"/>
    <w:rsid w:val="002C6F67"/>
    <w:rsid w:val="00315AFE"/>
    <w:rsid w:val="003606A6"/>
    <w:rsid w:val="00362DE2"/>
    <w:rsid w:val="00362F27"/>
    <w:rsid w:val="0036650C"/>
    <w:rsid w:val="00393ACD"/>
    <w:rsid w:val="003A583E"/>
    <w:rsid w:val="003B182A"/>
    <w:rsid w:val="003E112B"/>
    <w:rsid w:val="003E1D1C"/>
    <w:rsid w:val="003E7B05"/>
    <w:rsid w:val="004020E1"/>
    <w:rsid w:val="00427A0C"/>
    <w:rsid w:val="00466211"/>
    <w:rsid w:val="004834A9"/>
    <w:rsid w:val="004D01FC"/>
    <w:rsid w:val="004E28C3"/>
    <w:rsid w:val="004F1F8E"/>
    <w:rsid w:val="004F7C64"/>
    <w:rsid w:val="00512A32"/>
    <w:rsid w:val="00586CF2"/>
    <w:rsid w:val="005C3768"/>
    <w:rsid w:val="005C6C3F"/>
    <w:rsid w:val="00613635"/>
    <w:rsid w:val="0062093D"/>
    <w:rsid w:val="00637ECF"/>
    <w:rsid w:val="00647B59"/>
    <w:rsid w:val="00666234"/>
    <w:rsid w:val="00690C7B"/>
    <w:rsid w:val="006A4B45"/>
    <w:rsid w:val="006D4724"/>
    <w:rsid w:val="006F0F9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544FA"/>
    <w:rsid w:val="00863C0A"/>
    <w:rsid w:val="008A3120"/>
    <w:rsid w:val="008A790A"/>
    <w:rsid w:val="008D41BE"/>
    <w:rsid w:val="008D58D3"/>
    <w:rsid w:val="008F7662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64891"/>
    <w:rsid w:val="00A83B09"/>
    <w:rsid w:val="00A84541"/>
    <w:rsid w:val="00A973E4"/>
    <w:rsid w:val="00AE36A0"/>
    <w:rsid w:val="00B00294"/>
    <w:rsid w:val="00B64FD0"/>
    <w:rsid w:val="00B70A9E"/>
    <w:rsid w:val="00BA5BD0"/>
    <w:rsid w:val="00BB1D82"/>
    <w:rsid w:val="00BF26E7"/>
    <w:rsid w:val="00C17DBB"/>
    <w:rsid w:val="00C53FCA"/>
    <w:rsid w:val="00C541C0"/>
    <w:rsid w:val="00C76BAF"/>
    <w:rsid w:val="00C814B9"/>
    <w:rsid w:val="00CD516F"/>
    <w:rsid w:val="00CF0B4B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065F9"/>
    <w:rsid w:val="00E37A25"/>
    <w:rsid w:val="00E537FF"/>
    <w:rsid w:val="00E6539B"/>
    <w:rsid w:val="00E70A31"/>
    <w:rsid w:val="00EA3F38"/>
    <w:rsid w:val="00EA4637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66C08D02-6DA1-48F1-B938-77CEDF67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R15-WRC15-C-0066!A5!MSW-F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E45D5-DE11-485B-AC2D-727CFECF2FBD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738</Words>
  <Characters>4322</Characters>
  <Application>Microsoft Office Word</Application>
  <DocSecurity>0</DocSecurity>
  <Lines>87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R15-WRC15-C-0066!A5!MSW-F</vt:lpstr>
    </vt:vector>
  </TitlesOfParts>
  <Manager>Secrétariat général - Pool</Manager>
  <Company>Union internationale des télécommunications (UIT)</Company>
  <LinksUpToDate>false</LinksUpToDate>
  <CharactersWithSpaces>5036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R15-WRC15-C-0066!A5!MSW-F</dc:title>
  <dc:subject>Conférence mondiale des radiocommunications - 2015</dc:subject>
  <dc:creator>Documents Proposals Manager (DPM)</dc:creator>
  <cp:keywords>DPM_v5.2015.10.230_prod</cp:keywords>
  <dc:description/>
  <cp:lastModifiedBy>Germain, Catherine</cp:lastModifiedBy>
  <cp:revision>14</cp:revision>
  <cp:lastPrinted>2015-10-31T16:26:00Z</cp:lastPrinted>
  <dcterms:created xsi:type="dcterms:W3CDTF">2015-10-29T16:44:00Z</dcterms:created>
  <dcterms:modified xsi:type="dcterms:W3CDTF">2015-10-31T16:26:00Z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