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50D69">
        <w:trPr>
          <w:cantSplit/>
        </w:trPr>
        <w:tc>
          <w:tcPr>
            <w:tcW w:w="6911" w:type="dxa"/>
          </w:tcPr>
          <w:p w:rsidR="00A066F1" w:rsidRPr="00950D69" w:rsidRDefault="00241FA2" w:rsidP="003B2284">
            <w:pPr>
              <w:spacing w:before="400" w:after="48" w:line="240" w:lineRule="atLeast"/>
              <w:rPr>
                <w:rFonts w:ascii="Verdana" w:hAnsi="Verdana"/>
                <w:position w:val="6"/>
                <w:lang w:val="en-US"/>
              </w:rPr>
            </w:pPr>
            <w:r w:rsidRPr="00950D69">
              <w:rPr>
                <w:rFonts w:ascii="Verdana" w:hAnsi="Verdana" w:cs="Times"/>
                <w:b/>
                <w:position w:val="6"/>
                <w:sz w:val="22"/>
                <w:szCs w:val="22"/>
                <w:lang w:val="en-US"/>
              </w:rPr>
              <w:t>World Radiocommunication Conference (WRC-15)</w:t>
            </w:r>
            <w:r w:rsidRPr="00950D69">
              <w:rPr>
                <w:rFonts w:ascii="Verdana" w:hAnsi="Verdana" w:cs="Times"/>
                <w:b/>
                <w:position w:val="6"/>
                <w:sz w:val="26"/>
                <w:szCs w:val="26"/>
                <w:lang w:val="en-US"/>
              </w:rPr>
              <w:br/>
            </w:r>
            <w:r w:rsidRPr="00950D69">
              <w:rPr>
                <w:rFonts w:ascii="Verdana" w:hAnsi="Verdana"/>
                <w:b/>
                <w:bCs/>
                <w:position w:val="6"/>
                <w:sz w:val="18"/>
                <w:szCs w:val="18"/>
                <w:lang w:val="en-US"/>
              </w:rPr>
              <w:t>Geneva, 2–27 November 2015</w:t>
            </w:r>
          </w:p>
        </w:tc>
        <w:tc>
          <w:tcPr>
            <w:tcW w:w="3120" w:type="dxa"/>
          </w:tcPr>
          <w:p w:rsidR="00A066F1" w:rsidRPr="00950D69" w:rsidRDefault="003B2284" w:rsidP="003B2284">
            <w:pPr>
              <w:spacing w:before="0" w:line="240" w:lineRule="atLeast"/>
              <w:jc w:val="right"/>
              <w:rPr>
                <w:lang w:val="en-US"/>
              </w:rPr>
            </w:pPr>
            <w:bookmarkStart w:id="0" w:name="ditulogo"/>
            <w:bookmarkEnd w:id="0"/>
            <w:r w:rsidRPr="00950D69">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50D69">
        <w:trPr>
          <w:cantSplit/>
        </w:trPr>
        <w:tc>
          <w:tcPr>
            <w:tcW w:w="6911" w:type="dxa"/>
            <w:tcBorders>
              <w:bottom w:val="single" w:sz="12" w:space="0" w:color="auto"/>
            </w:tcBorders>
          </w:tcPr>
          <w:p w:rsidR="00A066F1" w:rsidRPr="00950D69" w:rsidRDefault="003B2284" w:rsidP="00A066F1">
            <w:pPr>
              <w:spacing w:before="0" w:after="48" w:line="240" w:lineRule="atLeast"/>
              <w:rPr>
                <w:rFonts w:ascii="Verdana" w:hAnsi="Verdana"/>
                <w:b/>
                <w:smallCaps/>
                <w:sz w:val="20"/>
                <w:lang w:val="en-US"/>
              </w:rPr>
            </w:pPr>
            <w:bookmarkStart w:id="1" w:name="dhead"/>
            <w:r w:rsidRPr="00950D69">
              <w:rPr>
                <w:rFonts w:ascii="Verdana" w:hAnsi="Verdana"/>
                <w:b/>
                <w:smallCaps/>
                <w:sz w:val="20"/>
                <w:lang w:val="en-US"/>
              </w:rPr>
              <w:t>INTERNATIONAL TELECOMMUNICATION UNION</w:t>
            </w:r>
          </w:p>
        </w:tc>
        <w:tc>
          <w:tcPr>
            <w:tcW w:w="3120" w:type="dxa"/>
            <w:tcBorders>
              <w:bottom w:val="single" w:sz="12" w:space="0" w:color="auto"/>
            </w:tcBorders>
          </w:tcPr>
          <w:p w:rsidR="00A066F1" w:rsidRPr="00950D69" w:rsidRDefault="00A066F1" w:rsidP="00A066F1">
            <w:pPr>
              <w:spacing w:before="0" w:line="240" w:lineRule="atLeast"/>
              <w:rPr>
                <w:rFonts w:ascii="Verdana" w:hAnsi="Verdana"/>
                <w:szCs w:val="24"/>
                <w:lang w:val="en-US"/>
              </w:rPr>
            </w:pPr>
          </w:p>
        </w:tc>
      </w:tr>
      <w:tr w:rsidR="00A066F1" w:rsidRPr="00950D69">
        <w:trPr>
          <w:cantSplit/>
        </w:trPr>
        <w:tc>
          <w:tcPr>
            <w:tcW w:w="6911" w:type="dxa"/>
            <w:tcBorders>
              <w:top w:val="single" w:sz="12" w:space="0" w:color="auto"/>
            </w:tcBorders>
          </w:tcPr>
          <w:p w:rsidR="00A066F1" w:rsidRPr="00950D69"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950D69" w:rsidRDefault="00A066F1" w:rsidP="00A066F1">
            <w:pPr>
              <w:spacing w:before="0" w:line="240" w:lineRule="atLeast"/>
              <w:rPr>
                <w:rFonts w:ascii="Verdana" w:hAnsi="Verdana"/>
                <w:sz w:val="20"/>
                <w:lang w:val="en-US"/>
              </w:rPr>
            </w:pPr>
          </w:p>
        </w:tc>
      </w:tr>
      <w:tr w:rsidR="00A066F1" w:rsidRPr="00950D69">
        <w:trPr>
          <w:cantSplit/>
          <w:trHeight w:val="23"/>
        </w:trPr>
        <w:tc>
          <w:tcPr>
            <w:tcW w:w="6911" w:type="dxa"/>
            <w:shd w:val="clear" w:color="auto" w:fill="auto"/>
          </w:tcPr>
          <w:p w:rsidR="00A066F1" w:rsidRPr="00950D69"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950D69">
              <w:rPr>
                <w:rFonts w:ascii="Verdana" w:hAnsi="Verdana"/>
                <w:sz w:val="20"/>
                <w:szCs w:val="20"/>
                <w:lang w:val="en-US"/>
              </w:rPr>
              <w:t>PLENARY MEETING</w:t>
            </w:r>
          </w:p>
        </w:tc>
        <w:tc>
          <w:tcPr>
            <w:tcW w:w="3120" w:type="dxa"/>
            <w:shd w:val="clear" w:color="auto" w:fill="auto"/>
          </w:tcPr>
          <w:p w:rsidR="00A066F1" w:rsidRPr="00950D69" w:rsidRDefault="00E55816" w:rsidP="00AA666F">
            <w:pPr>
              <w:tabs>
                <w:tab w:val="left" w:pos="851"/>
              </w:tabs>
              <w:spacing w:before="0" w:line="240" w:lineRule="atLeast"/>
              <w:rPr>
                <w:rFonts w:ascii="Verdana" w:hAnsi="Verdana"/>
                <w:sz w:val="20"/>
                <w:lang w:val="en-US"/>
              </w:rPr>
            </w:pPr>
            <w:r w:rsidRPr="00950D69">
              <w:rPr>
                <w:rFonts w:ascii="Verdana" w:eastAsia="SimSun" w:hAnsi="Verdana" w:cs="Traditional Arabic"/>
                <w:b/>
                <w:sz w:val="20"/>
                <w:lang w:val="en-US"/>
              </w:rPr>
              <w:t>Addendum 5 to</w:t>
            </w:r>
            <w:r w:rsidRPr="00950D69">
              <w:rPr>
                <w:rFonts w:ascii="Verdana" w:eastAsia="SimSun" w:hAnsi="Verdana" w:cs="Traditional Arabic"/>
                <w:b/>
                <w:sz w:val="20"/>
                <w:lang w:val="en-US"/>
              </w:rPr>
              <w:br/>
              <w:t>Document 66</w:t>
            </w:r>
            <w:r w:rsidR="00A066F1" w:rsidRPr="00950D69">
              <w:rPr>
                <w:rFonts w:ascii="Verdana" w:hAnsi="Verdana"/>
                <w:b/>
                <w:sz w:val="20"/>
                <w:lang w:val="en-US"/>
              </w:rPr>
              <w:t>-</w:t>
            </w:r>
            <w:r w:rsidR="005E10C9" w:rsidRPr="00950D69">
              <w:rPr>
                <w:rFonts w:ascii="Verdana" w:hAnsi="Verdana"/>
                <w:b/>
                <w:sz w:val="20"/>
                <w:lang w:val="en-US"/>
              </w:rPr>
              <w:t>E</w:t>
            </w:r>
          </w:p>
        </w:tc>
      </w:tr>
      <w:tr w:rsidR="00A066F1" w:rsidRPr="00950D69">
        <w:trPr>
          <w:cantSplit/>
          <w:trHeight w:val="23"/>
        </w:trPr>
        <w:tc>
          <w:tcPr>
            <w:tcW w:w="6911" w:type="dxa"/>
            <w:shd w:val="clear" w:color="auto" w:fill="auto"/>
          </w:tcPr>
          <w:p w:rsidR="00A066F1" w:rsidRPr="00950D69"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950D69" w:rsidRDefault="00420873" w:rsidP="00A066F1">
            <w:pPr>
              <w:tabs>
                <w:tab w:val="left" w:pos="993"/>
              </w:tabs>
              <w:spacing w:before="0"/>
              <w:rPr>
                <w:rFonts w:ascii="Verdana" w:hAnsi="Verdana"/>
                <w:sz w:val="20"/>
                <w:lang w:val="en-US"/>
              </w:rPr>
            </w:pPr>
            <w:r w:rsidRPr="00950D69">
              <w:rPr>
                <w:rFonts w:ascii="Verdana" w:hAnsi="Verdana"/>
                <w:b/>
                <w:sz w:val="20"/>
                <w:lang w:val="en-US"/>
              </w:rPr>
              <w:t>15 October 2015</w:t>
            </w:r>
          </w:p>
        </w:tc>
      </w:tr>
      <w:tr w:rsidR="00A066F1" w:rsidRPr="00950D69">
        <w:trPr>
          <w:cantSplit/>
          <w:trHeight w:val="23"/>
        </w:trPr>
        <w:tc>
          <w:tcPr>
            <w:tcW w:w="6911" w:type="dxa"/>
            <w:shd w:val="clear" w:color="auto" w:fill="auto"/>
          </w:tcPr>
          <w:p w:rsidR="00A066F1" w:rsidRPr="00950D69"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950D69" w:rsidRDefault="00E55816" w:rsidP="00A066F1">
            <w:pPr>
              <w:tabs>
                <w:tab w:val="left" w:pos="993"/>
              </w:tabs>
              <w:spacing w:before="0"/>
              <w:rPr>
                <w:rFonts w:ascii="Verdana" w:hAnsi="Verdana"/>
                <w:b/>
                <w:sz w:val="20"/>
                <w:lang w:val="en-US"/>
              </w:rPr>
            </w:pPr>
            <w:r w:rsidRPr="00950D69">
              <w:rPr>
                <w:rFonts w:ascii="Verdana" w:hAnsi="Verdana"/>
                <w:b/>
                <w:sz w:val="20"/>
                <w:lang w:val="en-US"/>
              </w:rPr>
              <w:t>Original: Spanish</w:t>
            </w:r>
          </w:p>
        </w:tc>
      </w:tr>
      <w:tr w:rsidR="00A066F1" w:rsidRPr="00950D69" w:rsidTr="00025864">
        <w:trPr>
          <w:cantSplit/>
          <w:trHeight w:val="23"/>
        </w:trPr>
        <w:tc>
          <w:tcPr>
            <w:tcW w:w="10031" w:type="dxa"/>
            <w:gridSpan w:val="2"/>
            <w:shd w:val="clear" w:color="auto" w:fill="auto"/>
          </w:tcPr>
          <w:p w:rsidR="00A066F1" w:rsidRPr="00950D69" w:rsidRDefault="00A066F1" w:rsidP="00A066F1">
            <w:pPr>
              <w:tabs>
                <w:tab w:val="left" w:pos="993"/>
              </w:tabs>
              <w:spacing w:before="0"/>
              <w:rPr>
                <w:rFonts w:ascii="Verdana" w:hAnsi="Verdana"/>
                <w:b/>
                <w:sz w:val="20"/>
                <w:lang w:val="en-US"/>
              </w:rPr>
            </w:pPr>
          </w:p>
        </w:tc>
      </w:tr>
      <w:tr w:rsidR="00E55816" w:rsidRPr="00950D69" w:rsidTr="00025864">
        <w:trPr>
          <w:cantSplit/>
          <w:trHeight w:val="23"/>
        </w:trPr>
        <w:tc>
          <w:tcPr>
            <w:tcW w:w="10031" w:type="dxa"/>
            <w:gridSpan w:val="2"/>
            <w:shd w:val="clear" w:color="auto" w:fill="auto"/>
          </w:tcPr>
          <w:p w:rsidR="00E55816" w:rsidRPr="00950D69" w:rsidRDefault="00884D60" w:rsidP="00E55816">
            <w:pPr>
              <w:pStyle w:val="Source"/>
              <w:rPr>
                <w:lang w:val="en-US"/>
              </w:rPr>
            </w:pPr>
            <w:r w:rsidRPr="00950D69">
              <w:rPr>
                <w:lang w:val="en-US"/>
              </w:rPr>
              <w:t>Cuba</w:t>
            </w:r>
          </w:p>
        </w:tc>
      </w:tr>
      <w:tr w:rsidR="00E55816" w:rsidRPr="00950D69" w:rsidTr="00025864">
        <w:trPr>
          <w:cantSplit/>
          <w:trHeight w:val="23"/>
        </w:trPr>
        <w:tc>
          <w:tcPr>
            <w:tcW w:w="10031" w:type="dxa"/>
            <w:gridSpan w:val="2"/>
            <w:shd w:val="clear" w:color="auto" w:fill="auto"/>
          </w:tcPr>
          <w:p w:rsidR="00E55816" w:rsidRPr="00950D69" w:rsidRDefault="007D5320" w:rsidP="00E55816">
            <w:pPr>
              <w:pStyle w:val="Title1"/>
              <w:rPr>
                <w:lang w:val="en-US"/>
              </w:rPr>
            </w:pPr>
            <w:r w:rsidRPr="00950D69">
              <w:rPr>
                <w:lang w:val="en-US"/>
              </w:rPr>
              <w:t>Proposals for the work of the conference</w:t>
            </w:r>
          </w:p>
        </w:tc>
      </w:tr>
      <w:tr w:rsidR="00E55816" w:rsidRPr="00950D69" w:rsidTr="00025864">
        <w:trPr>
          <w:cantSplit/>
          <w:trHeight w:val="23"/>
        </w:trPr>
        <w:tc>
          <w:tcPr>
            <w:tcW w:w="10031" w:type="dxa"/>
            <w:gridSpan w:val="2"/>
            <w:shd w:val="clear" w:color="auto" w:fill="auto"/>
          </w:tcPr>
          <w:p w:rsidR="00E55816" w:rsidRPr="00950D69" w:rsidRDefault="00E55816" w:rsidP="00E55816">
            <w:pPr>
              <w:pStyle w:val="Title2"/>
              <w:rPr>
                <w:lang w:val="en-US"/>
              </w:rPr>
            </w:pPr>
          </w:p>
        </w:tc>
      </w:tr>
      <w:tr w:rsidR="00A538A6" w:rsidRPr="00950D69" w:rsidTr="00025864">
        <w:trPr>
          <w:cantSplit/>
          <w:trHeight w:val="23"/>
        </w:trPr>
        <w:tc>
          <w:tcPr>
            <w:tcW w:w="10031" w:type="dxa"/>
            <w:gridSpan w:val="2"/>
            <w:shd w:val="clear" w:color="auto" w:fill="auto"/>
          </w:tcPr>
          <w:p w:rsidR="00A538A6" w:rsidRPr="00950D69" w:rsidRDefault="004B13CB" w:rsidP="004B13CB">
            <w:pPr>
              <w:pStyle w:val="Agendaitem"/>
              <w:rPr>
                <w:lang w:val="en-US"/>
              </w:rPr>
            </w:pPr>
            <w:r w:rsidRPr="00950D69">
              <w:rPr>
                <w:lang w:val="en-US"/>
              </w:rPr>
              <w:t>Agenda item 1.5</w:t>
            </w:r>
          </w:p>
        </w:tc>
      </w:tr>
    </w:tbl>
    <w:bookmarkEnd w:id="6"/>
    <w:bookmarkEnd w:id="7"/>
    <w:p w:rsidR="00FC5DFA" w:rsidRPr="00950D69" w:rsidRDefault="0079223B" w:rsidP="001D7FEB">
      <w:pPr>
        <w:overflowPunct/>
        <w:autoSpaceDE/>
        <w:autoSpaceDN/>
        <w:adjustRightInd/>
        <w:textAlignment w:val="auto"/>
        <w:rPr>
          <w:lang w:val="en-US"/>
        </w:rPr>
      </w:pPr>
      <w:r w:rsidRPr="00950D69">
        <w:rPr>
          <w:lang w:val="en-US"/>
        </w:rPr>
        <w:t>1.5</w:t>
      </w:r>
      <w:r w:rsidRPr="00950D69">
        <w:rPr>
          <w:lang w:val="en-US"/>
        </w:rPr>
        <w:tab/>
        <w:t>to consider the use of frequency bands allocated to the fixed-satellite service not subject to Appendices </w:t>
      </w:r>
      <w:r w:rsidRPr="00950D69">
        <w:rPr>
          <w:b/>
          <w:bCs/>
          <w:lang w:val="en-US"/>
        </w:rPr>
        <w:t>30</w:t>
      </w:r>
      <w:r w:rsidRPr="00950D69">
        <w:rPr>
          <w:lang w:val="en-US"/>
        </w:rPr>
        <w:t xml:space="preserve">, </w:t>
      </w:r>
      <w:r w:rsidRPr="00950D69">
        <w:rPr>
          <w:b/>
          <w:bCs/>
          <w:lang w:val="en-US"/>
        </w:rPr>
        <w:t>30A</w:t>
      </w:r>
      <w:r w:rsidRPr="00950D69">
        <w:rPr>
          <w:lang w:val="en-US"/>
        </w:rPr>
        <w:t xml:space="preserve"> and </w:t>
      </w:r>
      <w:r w:rsidRPr="00950D69">
        <w:rPr>
          <w:b/>
          <w:bCs/>
          <w:lang w:val="en-US"/>
        </w:rPr>
        <w:t>30B</w:t>
      </w:r>
      <w:r w:rsidRPr="00950D69">
        <w:rPr>
          <w:lang w:val="en-US"/>
        </w:rPr>
        <w:t xml:space="preserve"> for the control and non-payload communications of unmanned aircraft systems (UAS) in non-segregated airspaces, in accordance with Resolution </w:t>
      </w:r>
      <w:r w:rsidRPr="00950D69">
        <w:rPr>
          <w:b/>
          <w:bCs/>
          <w:lang w:val="en-US"/>
        </w:rPr>
        <w:t>153 (WRC</w:t>
      </w:r>
      <w:r w:rsidRPr="00950D69">
        <w:rPr>
          <w:b/>
          <w:bCs/>
          <w:lang w:val="en-US"/>
        </w:rPr>
        <w:noBreakHyphen/>
        <w:t>12)</w:t>
      </w:r>
      <w:r w:rsidRPr="00950D69">
        <w:rPr>
          <w:lang w:val="en-US"/>
        </w:rPr>
        <w:t>;</w:t>
      </w:r>
    </w:p>
    <w:p w:rsidR="0079223B" w:rsidRPr="00950D69" w:rsidRDefault="0079223B" w:rsidP="0079223B">
      <w:pPr>
        <w:pStyle w:val="Headingb"/>
        <w:rPr>
          <w:lang w:val="en-US"/>
        </w:rPr>
      </w:pPr>
      <w:r w:rsidRPr="00950D69">
        <w:rPr>
          <w:lang w:val="en-US"/>
        </w:rPr>
        <w:t>Introduction</w:t>
      </w:r>
    </w:p>
    <w:p w:rsidR="0079223B" w:rsidRPr="00950D69" w:rsidRDefault="006D66FF" w:rsidP="00411E57">
      <w:pPr>
        <w:rPr>
          <w:lang w:val="en-US"/>
        </w:rPr>
      </w:pPr>
      <w:r w:rsidRPr="00950D69">
        <w:rPr>
          <w:lang w:val="en-US"/>
        </w:rPr>
        <w:t xml:space="preserve">Unmanned aircraft (UA) command and non-payload communication (CNPC) requires the </w:t>
      </w:r>
      <w:r w:rsidR="00411E57">
        <w:rPr>
          <w:lang w:val="en-US"/>
        </w:rPr>
        <w:t>implementation</w:t>
      </w:r>
      <w:r w:rsidRPr="00950D69">
        <w:rPr>
          <w:lang w:val="en-US"/>
        </w:rPr>
        <w:t xml:space="preserve"> of conditions which guarantee the safety characteristics that are inherent to the </w:t>
      </w:r>
      <w:r w:rsidR="005A3390" w:rsidRPr="00950D69">
        <w:rPr>
          <w:lang w:val="en-US"/>
        </w:rPr>
        <w:t>aeronautical mobile (R) service, as provided for in RR No. 43.1.</w:t>
      </w:r>
    </w:p>
    <w:p w:rsidR="005A3390" w:rsidRPr="00950D69" w:rsidRDefault="005A3390" w:rsidP="00411E57">
      <w:pPr>
        <w:rPr>
          <w:lang w:val="en-US"/>
        </w:rPr>
      </w:pPr>
      <w:r w:rsidRPr="00950D69">
        <w:rPr>
          <w:lang w:val="en-US"/>
        </w:rPr>
        <w:t>ICAO has established conditions for the use of unmanned aircraft systems (UAS) in FSS links</w:t>
      </w:r>
      <w:r w:rsidR="00411E57">
        <w:rPr>
          <w:lang w:val="en-US"/>
        </w:rPr>
        <w:t xml:space="preserve"> in the interests of</w:t>
      </w:r>
      <w:r w:rsidRPr="00950D69">
        <w:rPr>
          <w:lang w:val="en-US"/>
        </w:rPr>
        <w:t xml:space="preserve"> safety requirements including the application of RR No. 4.10.</w:t>
      </w:r>
    </w:p>
    <w:p w:rsidR="005A3390" w:rsidRPr="00950D69" w:rsidRDefault="005A3390" w:rsidP="005A3390">
      <w:pPr>
        <w:rPr>
          <w:lang w:val="en-US"/>
        </w:rPr>
      </w:pPr>
      <w:r w:rsidRPr="00950D69">
        <w:rPr>
          <w:lang w:val="en-US"/>
        </w:rPr>
        <w:t>The FSS is a high-demand service that has given rise to considerable congestion</w:t>
      </w:r>
      <w:r w:rsidR="00950D69" w:rsidRPr="00950D69">
        <w:rPr>
          <w:lang w:val="en-US"/>
        </w:rPr>
        <w:t xml:space="preserve"> of the orbit/spectrum resource and which is</w:t>
      </w:r>
      <w:r w:rsidRPr="00950D69">
        <w:rPr>
          <w:lang w:val="en-US"/>
        </w:rPr>
        <w:t xml:space="preserve"> subject to regulatory conditions that are based on complex coordination procedures representing a considerable burden for administrations.</w:t>
      </w:r>
    </w:p>
    <w:p w:rsidR="00950D69" w:rsidRDefault="00950D69" w:rsidP="000E2CAA">
      <w:pPr>
        <w:rPr>
          <w:lang w:val="en-US"/>
        </w:rPr>
      </w:pPr>
      <w:r w:rsidRPr="00950D69">
        <w:rPr>
          <w:lang w:val="en-US"/>
        </w:rPr>
        <w:t xml:space="preserve">The use of this service is directly associated with No. 196 of the ITU </w:t>
      </w:r>
      <w:r>
        <w:rPr>
          <w:lang w:val="en-US"/>
        </w:rPr>
        <w:t>Constitution, which calls for rational use of the orbit/spectrum resource to enable equitable access thereto, taking into account the special needs of the developing countries. This also involves the application of Resolutions 2 (Rev.WRC-03) and 80 (Rev.WRC-</w:t>
      </w:r>
      <w:r w:rsidR="000E2CAA">
        <w:rPr>
          <w:lang w:val="en-US"/>
        </w:rPr>
        <w:t>07</w:t>
      </w:r>
      <w:r>
        <w:rPr>
          <w:lang w:val="en-US"/>
        </w:rPr>
        <w:t>), and no study has been carried out into how the implementation of UAS in the FSS and the consideration of No. 4.10</w:t>
      </w:r>
      <w:r w:rsidR="00E514EE">
        <w:rPr>
          <w:lang w:val="en-US"/>
        </w:rPr>
        <w:t xml:space="preserve"> could influence application of the </w:t>
      </w:r>
      <w:r w:rsidR="00E514EE">
        <w:rPr>
          <w:i/>
          <w:iCs/>
          <w:lang w:val="en-US"/>
        </w:rPr>
        <w:t>resolves</w:t>
      </w:r>
      <w:r w:rsidR="00E514EE">
        <w:rPr>
          <w:lang w:val="en-US"/>
        </w:rPr>
        <w:t xml:space="preserve"> parts of those two resolutions.</w:t>
      </w:r>
    </w:p>
    <w:p w:rsidR="00E514EE" w:rsidRDefault="00E90C34" w:rsidP="00034796">
      <w:pPr>
        <w:rPr>
          <w:lang w:val="en-US"/>
        </w:rPr>
      </w:pPr>
      <w:r>
        <w:rPr>
          <w:lang w:val="en-US"/>
        </w:rPr>
        <w:t xml:space="preserve">From a regulatory standpoint, if No. 4.10 is associated with FSS networks, a situation could be created in which FSS networks </w:t>
      </w:r>
      <w:r w:rsidR="00034796">
        <w:rPr>
          <w:lang w:val="en-US"/>
        </w:rPr>
        <w:t>having</w:t>
      </w:r>
      <w:r>
        <w:rPr>
          <w:lang w:val="en-US"/>
        </w:rPr>
        <w:t xml:space="preserve"> </w:t>
      </w:r>
      <w:r w:rsidR="00B27E69">
        <w:rPr>
          <w:lang w:val="en-US"/>
        </w:rPr>
        <w:t xml:space="preserve">safety service attributes </w:t>
      </w:r>
      <w:r w:rsidR="00034796">
        <w:rPr>
          <w:lang w:val="en-US"/>
        </w:rPr>
        <w:t>coexist with others that do not; this would give rise to different categories of network, thereby establishing a difference that could complicate the practical application of the principle of equitable access to the orbit/spectrum resource. Furthermore, having to consider the application of No. 4.10 will create difficulties within the actual process of satellite network coordination.</w:t>
      </w:r>
    </w:p>
    <w:p w:rsidR="00034796" w:rsidRDefault="00C126D4" w:rsidP="00CD23AE">
      <w:pPr>
        <w:rPr>
          <w:lang w:val="en-US"/>
        </w:rPr>
      </w:pPr>
      <w:r>
        <w:rPr>
          <w:lang w:val="en-US"/>
        </w:rPr>
        <w:t xml:space="preserve">The studies carried out need to be pursued in greater depth as regards many aspects relating to the characteristics of </w:t>
      </w:r>
      <w:r w:rsidRPr="00C126D4">
        <w:rPr>
          <w:lang w:val="en-US"/>
        </w:rPr>
        <w:t>earth stations on board aircraft</w:t>
      </w:r>
      <w:r>
        <w:rPr>
          <w:lang w:val="en-US"/>
        </w:rPr>
        <w:t xml:space="preserve"> and their consideration with respect to coordination </w:t>
      </w:r>
      <w:r>
        <w:rPr>
          <w:lang w:val="en-US"/>
        </w:rPr>
        <w:lastRenderedPageBreak/>
        <w:t>under operational conditions that differ greatly from those of earth stations of the FSS itself. Likewise, more comprehensive studies are required with respect to the other services which share frequency bands</w:t>
      </w:r>
      <w:r w:rsidR="00234412">
        <w:rPr>
          <w:lang w:val="en-US"/>
        </w:rPr>
        <w:t xml:space="preserve"> with the FSS. Many administrations may not be in a position to ensure protection to </w:t>
      </w:r>
      <w:r w:rsidR="00234412" w:rsidRPr="00C126D4">
        <w:rPr>
          <w:lang w:val="en-US"/>
        </w:rPr>
        <w:t>earth stations on board aircraft</w:t>
      </w:r>
      <w:r w:rsidR="00234412">
        <w:rPr>
          <w:lang w:val="en-US"/>
        </w:rPr>
        <w:t xml:space="preserve"> vis-à-vis emissions from their terrestrial services operating in accordance with the RR</w:t>
      </w:r>
      <w:r w:rsidR="00BB46B0">
        <w:rPr>
          <w:lang w:val="en-US"/>
        </w:rPr>
        <w:t xml:space="preserve">, </w:t>
      </w:r>
      <w:r w:rsidR="00CD23AE">
        <w:rPr>
          <w:lang w:val="en-US"/>
        </w:rPr>
        <w:t>rendering</w:t>
      </w:r>
      <w:r w:rsidR="00BB46B0">
        <w:rPr>
          <w:lang w:val="en-US"/>
        </w:rPr>
        <w:t xml:space="preserve"> them unable to commit themselves to the application of No. 4.10 in that regard.</w:t>
      </w:r>
    </w:p>
    <w:p w:rsidR="00CD23AE" w:rsidRDefault="00CD23AE" w:rsidP="00CD23AE">
      <w:pPr>
        <w:rPr>
          <w:lang w:val="en-US"/>
        </w:rPr>
      </w:pPr>
      <w:r>
        <w:rPr>
          <w:lang w:val="en-US"/>
        </w:rPr>
        <w:t xml:space="preserve">Finally, introduction of the concept </w:t>
      </w:r>
      <w:r w:rsidR="00411E57">
        <w:rPr>
          <w:lang w:val="en-US"/>
        </w:rPr>
        <w:t xml:space="preserve">of </w:t>
      </w:r>
      <w:r>
        <w:rPr>
          <w:lang w:val="en-US"/>
        </w:rPr>
        <w:t>earth stations</w:t>
      </w:r>
      <w:r w:rsidRPr="00CD23AE">
        <w:t xml:space="preserve"> </w:t>
      </w:r>
      <w:r w:rsidRPr="00CD23AE">
        <w:rPr>
          <w:lang w:val="en-US"/>
        </w:rPr>
        <w:t>on board aircraft</w:t>
      </w:r>
      <w:r>
        <w:rPr>
          <w:lang w:val="en-US"/>
        </w:rPr>
        <w:t xml:space="preserve"> in the FSS raises a contradiction with respect to the definitions set out in the Radio Regulations, which constitute the basis for the entire international regulatory process for the use of radiocommunication services.</w:t>
      </w:r>
    </w:p>
    <w:p w:rsidR="00CD23AE" w:rsidRDefault="00CD23AE" w:rsidP="00CD23AE">
      <w:pPr>
        <w:rPr>
          <w:lang w:val="en-US"/>
        </w:rPr>
      </w:pPr>
      <w:r>
        <w:rPr>
          <w:lang w:val="en-US"/>
        </w:rPr>
        <w:t>In the light of the foregoing, the Administration of Cuba proposes that no modifications be made to the Radio Regulations under agenda item 1.5.</w:t>
      </w:r>
    </w:p>
    <w:p w:rsidR="00BB46B0" w:rsidRPr="003C2385" w:rsidRDefault="000E2CAA" w:rsidP="000E2CAA">
      <w:pPr>
        <w:pStyle w:val="Headingb"/>
        <w:rPr>
          <w:lang w:val="en-US"/>
        </w:rPr>
      </w:pPr>
      <w:r w:rsidRPr="003C2385">
        <w:rPr>
          <w:lang w:val="en-US"/>
        </w:rPr>
        <w:t>Proposals</w:t>
      </w:r>
    </w:p>
    <w:p w:rsidR="00187BD9" w:rsidRPr="00950D69" w:rsidRDefault="00187BD9" w:rsidP="0079223B">
      <w:pPr>
        <w:rPr>
          <w:lang w:val="en-US"/>
        </w:rPr>
      </w:pPr>
      <w:r w:rsidRPr="00950D69">
        <w:rPr>
          <w:lang w:val="en-US"/>
        </w:rPr>
        <w:br w:type="page"/>
      </w:r>
    </w:p>
    <w:p w:rsidR="009B463A" w:rsidRPr="00950D69" w:rsidRDefault="0079223B" w:rsidP="009B463A">
      <w:pPr>
        <w:pStyle w:val="ArtNo"/>
        <w:rPr>
          <w:lang w:val="en-US"/>
        </w:rPr>
      </w:pPr>
      <w:bookmarkStart w:id="8" w:name="_Toc327956582"/>
      <w:r w:rsidRPr="00950D69">
        <w:rPr>
          <w:lang w:val="en-US"/>
        </w:rPr>
        <w:lastRenderedPageBreak/>
        <w:t xml:space="preserve">ARTICLE </w:t>
      </w:r>
      <w:r w:rsidRPr="00950D69">
        <w:rPr>
          <w:rStyle w:val="href"/>
          <w:rFonts w:eastAsiaTheme="majorEastAsia"/>
          <w:color w:val="000000"/>
          <w:lang w:val="en-US"/>
        </w:rPr>
        <w:t>5</w:t>
      </w:r>
      <w:bookmarkEnd w:id="8"/>
    </w:p>
    <w:p w:rsidR="009B463A" w:rsidRPr="00950D69" w:rsidRDefault="0079223B" w:rsidP="009B463A">
      <w:pPr>
        <w:pStyle w:val="Arttitle"/>
        <w:rPr>
          <w:lang w:val="en-US"/>
        </w:rPr>
      </w:pPr>
      <w:bookmarkStart w:id="9" w:name="_Toc327956583"/>
      <w:r w:rsidRPr="00950D69">
        <w:rPr>
          <w:lang w:val="en-US"/>
        </w:rPr>
        <w:t>Frequency allocations</w:t>
      </w:r>
      <w:bookmarkEnd w:id="9"/>
    </w:p>
    <w:p w:rsidR="00FE2574" w:rsidRPr="00950D69" w:rsidRDefault="0079223B">
      <w:pPr>
        <w:pStyle w:val="Proposal"/>
        <w:rPr>
          <w:lang w:val="en-US"/>
        </w:rPr>
      </w:pPr>
      <w:r w:rsidRPr="00950D69">
        <w:rPr>
          <w:u w:val="single"/>
          <w:lang w:val="en-US"/>
        </w:rPr>
        <w:t>NOC</w:t>
      </w:r>
      <w:r w:rsidRPr="00950D69">
        <w:rPr>
          <w:lang w:val="en-US"/>
        </w:rPr>
        <w:tab/>
        <w:t>CUB/66A5/1</w:t>
      </w:r>
    </w:p>
    <w:p w:rsidR="009B463A" w:rsidRPr="00950D69" w:rsidRDefault="0079223B" w:rsidP="009B463A">
      <w:pPr>
        <w:pStyle w:val="Section1"/>
        <w:keepNext/>
        <w:rPr>
          <w:lang w:val="en-US"/>
        </w:rPr>
      </w:pPr>
      <w:r w:rsidRPr="00950D69">
        <w:rPr>
          <w:lang w:val="en-US"/>
        </w:rPr>
        <w:t>Section IV – Table of Frequency Allocations</w:t>
      </w:r>
      <w:r w:rsidRPr="00950D69">
        <w:rPr>
          <w:lang w:val="en-US"/>
        </w:rPr>
        <w:br/>
      </w:r>
      <w:r w:rsidRPr="00950D69">
        <w:rPr>
          <w:b w:val="0"/>
          <w:bCs/>
          <w:lang w:val="en-US"/>
        </w:rPr>
        <w:t xml:space="preserve">(See No. </w:t>
      </w:r>
      <w:r w:rsidRPr="00950D69">
        <w:rPr>
          <w:lang w:val="en-US"/>
        </w:rPr>
        <w:t>2.1</w:t>
      </w:r>
      <w:r w:rsidRPr="00950D69">
        <w:rPr>
          <w:b w:val="0"/>
          <w:bCs/>
          <w:lang w:val="en-US"/>
        </w:rPr>
        <w:t>)</w:t>
      </w:r>
      <w:r w:rsidRPr="00950D69">
        <w:rPr>
          <w:b w:val="0"/>
          <w:bCs/>
          <w:lang w:val="en-US"/>
        </w:rPr>
        <w:br/>
      </w:r>
      <w:r w:rsidRPr="00950D69">
        <w:rPr>
          <w:lang w:val="en-US"/>
        </w:rPr>
        <w:br/>
      </w:r>
    </w:p>
    <w:p w:rsidR="00FE2574" w:rsidRPr="00950D69" w:rsidRDefault="0079223B" w:rsidP="00411E57">
      <w:pPr>
        <w:pStyle w:val="Reasons"/>
        <w:rPr>
          <w:lang w:val="en-US"/>
        </w:rPr>
      </w:pPr>
      <w:r w:rsidRPr="00950D69">
        <w:rPr>
          <w:b/>
          <w:lang w:val="en-US"/>
        </w:rPr>
        <w:t>Reasons:</w:t>
      </w:r>
      <w:r w:rsidRPr="00950D69">
        <w:rPr>
          <w:lang w:val="en-US"/>
        </w:rPr>
        <w:tab/>
      </w:r>
      <w:r w:rsidR="00F62E3A">
        <w:rPr>
          <w:lang w:val="en-US"/>
        </w:rPr>
        <w:t>T</w:t>
      </w:r>
      <w:r w:rsidR="00F62E3A" w:rsidRPr="00F62E3A">
        <w:rPr>
          <w:lang w:val="en-US"/>
        </w:rPr>
        <w:t>he use</w:t>
      </w:r>
      <w:r w:rsidR="00411E57">
        <w:rPr>
          <w:lang w:val="en-US"/>
        </w:rPr>
        <w:t>, under current conditions,</w:t>
      </w:r>
      <w:r w:rsidR="00F62E3A" w:rsidRPr="00F62E3A">
        <w:rPr>
          <w:lang w:val="en-US"/>
        </w:rPr>
        <w:t xml:space="preserve"> of frequency bands allocated to the fixed-satellite service not subject to Appendices 30, 30A and 30B for the control and non-payload communications of unmanned aircraft systems (UAS)</w:t>
      </w:r>
      <w:r w:rsidR="00F62E3A">
        <w:rPr>
          <w:lang w:val="en-US"/>
        </w:rPr>
        <w:t xml:space="preserve"> does not ensure continuity of the regulatory processes, in addition to which it could entail new limitations in the process of reviewing and improving those provisions with a view to ongoing enhancement of the </w:t>
      </w:r>
      <w:r w:rsidR="00505449">
        <w:rPr>
          <w:lang w:val="en-US"/>
        </w:rPr>
        <w:t>assur</w:t>
      </w:r>
      <w:r w:rsidR="00411E57">
        <w:rPr>
          <w:lang w:val="en-US"/>
        </w:rPr>
        <w:t>edness</w:t>
      </w:r>
      <w:r w:rsidR="00505449">
        <w:rPr>
          <w:lang w:val="en-US"/>
        </w:rPr>
        <w:t xml:space="preserve"> of equitable access to the orbit/spectrum resource. Furthermore, a significant number of technical aspects still need to be clarified.</w:t>
      </w:r>
    </w:p>
    <w:p w:rsidR="00FE2574" w:rsidRPr="00950D69" w:rsidRDefault="0079223B">
      <w:pPr>
        <w:pStyle w:val="Proposal"/>
        <w:rPr>
          <w:lang w:val="en-US"/>
        </w:rPr>
      </w:pPr>
      <w:r w:rsidRPr="00950D69">
        <w:rPr>
          <w:lang w:val="en-US"/>
        </w:rPr>
        <w:t>SUP</w:t>
      </w:r>
      <w:r w:rsidRPr="00950D69">
        <w:rPr>
          <w:lang w:val="en-US"/>
        </w:rPr>
        <w:tab/>
        <w:t>CUB/66A5/2</w:t>
      </w:r>
    </w:p>
    <w:p w:rsidR="003638D8" w:rsidRPr="00950D69" w:rsidRDefault="0079223B" w:rsidP="003638D8">
      <w:pPr>
        <w:pStyle w:val="ResNo"/>
        <w:rPr>
          <w:lang w:val="en-US"/>
        </w:rPr>
      </w:pPr>
      <w:bookmarkStart w:id="10" w:name="_Toc327364375"/>
      <w:r w:rsidRPr="00950D69">
        <w:rPr>
          <w:lang w:val="en-US"/>
        </w:rPr>
        <w:t xml:space="preserve">RESOLUTION </w:t>
      </w:r>
      <w:r w:rsidRPr="00950D69">
        <w:rPr>
          <w:rStyle w:val="href"/>
          <w:lang w:val="en-US"/>
        </w:rPr>
        <w:t>153</w:t>
      </w:r>
      <w:r w:rsidRPr="00950D69">
        <w:rPr>
          <w:lang w:val="en-US"/>
        </w:rPr>
        <w:t xml:space="preserve"> (WRC</w:t>
      </w:r>
      <w:r w:rsidRPr="00950D69">
        <w:rPr>
          <w:lang w:val="en-US"/>
        </w:rPr>
        <w:noBreakHyphen/>
        <w:t>12)</w:t>
      </w:r>
      <w:bookmarkEnd w:id="10"/>
    </w:p>
    <w:p w:rsidR="003638D8" w:rsidRPr="00950D69" w:rsidRDefault="0079223B" w:rsidP="00026A83">
      <w:pPr>
        <w:pStyle w:val="Restitle"/>
        <w:rPr>
          <w:lang w:val="en-US"/>
        </w:rPr>
      </w:pPr>
      <w:bookmarkStart w:id="11" w:name="_Toc327364376"/>
      <w:r w:rsidRPr="00950D69">
        <w:rPr>
          <w:lang w:val="en-US"/>
        </w:rPr>
        <w:t xml:space="preserve">The use of frequency bands allocated to the fixed-satellite service not subject to Appendices 30, 30A and 30B for the control and non-payload communications </w:t>
      </w:r>
      <w:r w:rsidRPr="00950D69">
        <w:rPr>
          <w:lang w:val="en-US"/>
        </w:rPr>
        <w:br/>
        <w:t>of unmanned aircraft systems in non-segregated airspaces</w:t>
      </w:r>
      <w:bookmarkEnd w:id="11"/>
      <w:r w:rsidRPr="00950D69">
        <w:rPr>
          <w:lang w:val="en-US"/>
        </w:rPr>
        <w:t xml:space="preserve"> </w:t>
      </w:r>
    </w:p>
    <w:p w:rsidR="00FE2574" w:rsidRPr="00950D69" w:rsidRDefault="0079223B">
      <w:pPr>
        <w:pStyle w:val="Reasons"/>
        <w:rPr>
          <w:lang w:val="en-US"/>
        </w:rPr>
      </w:pPr>
      <w:r w:rsidRPr="00950D69">
        <w:rPr>
          <w:b/>
          <w:lang w:val="en-US"/>
        </w:rPr>
        <w:t>Reasons:</w:t>
      </w:r>
      <w:r w:rsidRPr="00950D69">
        <w:rPr>
          <w:lang w:val="en-US"/>
        </w:rPr>
        <w:tab/>
        <w:t>No lon</w:t>
      </w:r>
      <w:bookmarkStart w:id="12" w:name="_GoBack"/>
      <w:bookmarkEnd w:id="12"/>
      <w:r w:rsidRPr="00950D69">
        <w:rPr>
          <w:lang w:val="en-US"/>
        </w:rPr>
        <w:t>ger necessary.</w:t>
      </w:r>
    </w:p>
    <w:p w:rsidR="0079223B" w:rsidRPr="00950D69" w:rsidRDefault="0079223B">
      <w:pPr>
        <w:pStyle w:val="Reasons"/>
        <w:rPr>
          <w:lang w:val="en-US"/>
        </w:rPr>
      </w:pPr>
    </w:p>
    <w:p w:rsidR="0079223B" w:rsidRPr="00950D69" w:rsidRDefault="0079223B" w:rsidP="0032202E">
      <w:pPr>
        <w:pStyle w:val="Reasons"/>
        <w:rPr>
          <w:lang w:val="en-US"/>
        </w:rPr>
      </w:pPr>
    </w:p>
    <w:p w:rsidR="0079223B" w:rsidRPr="00950D69" w:rsidRDefault="0079223B">
      <w:pPr>
        <w:jc w:val="center"/>
        <w:rPr>
          <w:lang w:val="en-US"/>
        </w:rPr>
      </w:pPr>
      <w:r w:rsidRPr="00950D69">
        <w:rPr>
          <w:lang w:val="en-US"/>
        </w:rPr>
        <w:t>______________</w:t>
      </w:r>
    </w:p>
    <w:sectPr w:rsidR="0079223B" w:rsidRPr="00950D69">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6D66FF" w:rsidRDefault="00E45D05">
    <w:pPr>
      <w:ind w:right="360"/>
      <w:rPr>
        <w:lang w:val="es-ES"/>
      </w:rPr>
    </w:pPr>
    <w:r>
      <w:fldChar w:fldCharType="begin"/>
    </w:r>
    <w:r w:rsidRPr="006D66FF">
      <w:rPr>
        <w:lang w:val="es-ES"/>
      </w:rPr>
      <w:instrText xml:space="preserve"> FILENAME \p  \* MERGEFORMAT </w:instrText>
    </w:r>
    <w:r>
      <w:fldChar w:fldCharType="separate"/>
    </w:r>
    <w:r w:rsidR="006D66FF" w:rsidRPr="006D66FF">
      <w:rPr>
        <w:noProof/>
        <w:lang w:val="es-ES"/>
      </w:rPr>
      <w:t>P:\TRAD\E\ITU-R\CONF-R\CMR15\000\066ADD05E.linx</w:t>
    </w:r>
    <w:r>
      <w:fldChar w:fldCharType="end"/>
    </w:r>
    <w:r w:rsidRPr="006D66FF">
      <w:rPr>
        <w:lang w:val="es-ES"/>
      </w:rPr>
      <w:tab/>
    </w:r>
    <w:r>
      <w:fldChar w:fldCharType="begin"/>
    </w:r>
    <w:r>
      <w:instrText xml:space="preserve"> SAVEDATE \@ DD.MM.YY </w:instrText>
    </w:r>
    <w:r>
      <w:fldChar w:fldCharType="separate"/>
    </w:r>
    <w:r w:rsidR="003C2385">
      <w:rPr>
        <w:noProof/>
      </w:rPr>
      <w:t>26.10.15</w:t>
    </w:r>
    <w:r>
      <w:fldChar w:fldCharType="end"/>
    </w:r>
    <w:r w:rsidRPr="006D66FF">
      <w:rPr>
        <w:lang w:val="es-ES"/>
      </w:rPr>
      <w:tab/>
    </w:r>
    <w:r>
      <w:fldChar w:fldCharType="begin"/>
    </w:r>
    <w:r>
      <w:instrText xml:space="preserve"> PRINTDATE \@ DD.MM.YY </w:instrText>
    </w:r>
    <w:r>
      <w:fldChar w:fldCharType="separate"/>
    </w:r>
    <w:r w:rsidR="006D66FF">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418D2" w:rsidRDefault="003C2385" w:rsidP="00A30305">
    <w:pPr>
      <w:pStyle w:val="Footer"/>
      <w:rPr>
        <w:lang w:val="en-US"/>
      </w:rPr>
    </w:pPr>
    <w:r>
      <w:fldChar w:fldCharType="begin"/>
    </w:r>
    <w:r>
      <w:instrText xml:space="preserve"> FILENAME \p  \* MERGEFORMAT </w:instrText>
    </w:r>
    <w:r>
      <w:fldChar w:fldCharType="separate"/>
    </w:r>
    <w:r>
      <w:t>P:\ENG\ITU-R\CONF-R\CMR15\000\066ADD05V2E.docx</w:t>
    </w:r>
    <w:r>
      <w:fldChar w:fldCharType="end"/>
    </w:r>
    <w:r w:rsidR="007418D2">
      <w:t xml:space="preserve"> (388384)</w:t>
    </w:r>
    <w:r w:rsidR="007418D2">
      <w:tab/>
    </w:r>
    <w:r w:rsidR="007418D2">
      <w:fldChar w:fldCharType="begin"/>
    </w:r>
    <w:r w:rsidR="007418D2">
      <w:instrText xml:space="preserve"> SAVEDATE \@ DD.MM.YY </w:instrText>
    </w:r>
    <w:r w:rsidR="007418D2">
      <w:fldChar w:fldCharType="separate"/>
    </w:r>
    <w:r>
      <w:t>26.10.15</w:t>
    </w:r>
    <w:r w:rsidR="007418D2">
      <w:fldChar w:fldCharType="end"/>
    </w:r>
    <w:r w:rsidR="007418D2">
      <w:tab/>
    </w:r>
    <w:r w:rsidR="007418D2">
      <w:fldChar w:fldCharType="begin"/>
    </w:r>
    <w:r w:rsidR="007418D2">
      <w:instrText xml:space="preserve"> PRINTDATE \@ DD.MM.YY </w:instrText>
    </w:r>
    <w:r w:rsidR="007418D2">
      <w:fldChar w:fldCharType="separate"/>
    </w:r>
    <w:r w:rsidR="007418D2">
      <w:t>10.02.14</w:t>
    </w:r>
    <w:r w:rsidR="007418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418D2" w:rsidRDefault="000E2CAA" w:rsidP="007418D2">
    <w:pPr>
      <w:pStyle w:val="Footer"/>
    </w:pPr>
    <w:fldSimple w:instr=" FILENAME \p  \* MERGEFORMAT ">
      <w:r w:rsidR="003C2385">
        <w:t>P:\ENG\ITU-R\CONF-R\CMR15\000\066ADD05V2E.docx</w:t>
      </w:r>
    </w:fldSimple>
    <w:r w:rsidR="007418D2">
      <w:t xml:space="preserve"> (388384)</w:t>
    </w:r>
    <w:r w:rsidR="007418D2">
      <w:tab/>
    </w:r>
    <w:r w:rsidR="007418D2">
      <w:fldChar w:fldCharType="begin"/>
    </w:r>
    <w:r w:rsidR="007418D2">
      <w:instrText xml:space="preserve"> SAVEDATE \@ DD.MM.YY </w:instrText>
    </w:r>
    <w:r w:rsidR="007418D2">
      <w:fldChar w:fldCharType="separate"/>
    </w:r>
    <w:r w:rsidR="003C2385">
      <w:t>26.10.15</w:t>
    </w:r>
    <w:r w:rsidR="007418D2">
      <w:fldChar w:fldCharType="end"/>
    </w:r>
    <w:r w:rsidR="007418D2">
      <w:tab/>
    </w:r>
    <w:r w:rsidR="007418D2">
      <w:fldChar w:fldCharType="begin"/>
    </w:r>
    <w:r w:rsidR="007418D2">
      <w:instrText xml:space="preserve"> PRINTDATE \@ DD.MM.YY </w:instrText>
    </w:r>
    <w:r w:rsidR="007418D2">
      <w:fldChar w:fldCharType="separate"/>
    </w:r>
    <w:r w:rsidR="007418D2">
      <w:t>10.02.14</w:t>
    </w:r>
    <w:r w:rsidR="007418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C2385">
      <w:rPr>
        <w:noProof/>
      </w:rPr>
      <w:t>3</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66(Add.5)</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510985-DDD2-43EA-8126-59805DF2382D}"/>
    <w:docVar w:name="dgnword-eventsink" w:val="788462656"/>
  </w:docVars>
  <w:rsids>
    <w:rsidRoot w:val="00A066F1"/>
    <w:rsid w:val="000041EA"/>
    <w:rsid w:val="00012362"/>
    <w:rsid w:val="00022A29"/>
    <w:rsid w:val="00034796"/>
    <w:rsid w:val="000355FD"/>
    <w:rsid w:val="00051E39"/>
    <w:rsid w:val="000705F2"/>
    <w:rsid w:val="00077239"/>
    <w:rsid w:val="00086491"/>
    <w:rsid w:val="00091346"/>
    <w:rsid w:val="0009706C"/>
    <w:rsid w:val="000D154B"/>
    <w:rsid w:val="000E2CAA"/>
    <w:rsid w:val="000F73FF"/>
    <w:rsid w:val="00114CF7"/>
    <w:rsid w:val="00123B68"/>
    <w:rsid w:val="00126F2E"/>
    <w:rsid w:val="00146F6F"/>
    <w:rsid w:val="00187BD9"/>
    <w:rsid w:val="00190B55"/>
    <w:rsid w:val="001C3B5F"/>
    <w:rsid w:val="001D058F"/>
    <w:rsid w:val="002009EA"/>
    <w:rsid w:val="00202CA0"/>
    <w:rsid w:val="00216B6D"/>
    <w:rsid w:val="00234412"/>
    <w:rsid w:val="00241FA2"/>
    <w:rsid w:val="00271316"/>
    <w:rsid w:val="002B349C"/>
    <w:rsid w:val="002D58BE"/>
    <w:rsid w:val="003550F8"/>
    <w:rsid w:val="00361B37"/>
    <w:rsid w:val="00377BD3"/>
    <w:rsid w:val="00384088"/>
    <w:rsid w:val="003852CE"/>
    <w:rsid w:val="0039169B"/>
    <w:rsid w:val="003A7F8C"/>
    <w:rsid w:val="003B2284"/>
    <w:rsid w:val="003B532E"/>
    <w:rsid w:val="003C2385"/>
    <w:rsid w:val="003D0F8B"/>
    <w:rsid w:val="003E0DB6"/>
    <w:rsid w:val="00411E57"/>
    <w:rsid w:val="0041348E"/>
    <w:rsid w:val="00420873"/>
    <w:rsid w:val="00474B7E"/>
    <w:rsid w:val="00492075"/>
    <w:rsid w:val="004969AD"/>
    <w:rsid w:val="004A26C4"/>
    <w:rsid w:val="004B13CB"/>
    <w:rsid w:val="004D26EA"/>
    <w:rsid w:val="004D2BFB"/>
    <w:rsid w:val="004D5D5C"/>
    <w:rsid w:val="0050139F"/>
    <w:rsid w:val="00505449"/>
    <w:rsid w:val="0055140B"/>
    <w:rsid w:val="00557AFF"/>
    <w:rsid w:val="00575483"/>
    <w:rsid w:val="005964AB"/>
    <w:rsid w:val="005A3390"/>
    <w:rsid w:val="005C099A"/>
    <w:rsid w:val="005C31A5"/>
    <w:rsid w:val="005E10C9"/>
    <w:rsid w:val="005E290B"/>
    <w:rsid w:val="005E61DD"/>
    <w:rsid w:val="006023DF"/>
    <w:rsid w:val="00616219"/>
    <w:rsid w:val="00657DE0"/>
    <w:rsid w:val="00685313"/>
    <w:rsid w:val="00692833"/>
    <w:rsid w:val="006A6E9B"/>
    <w:rsid w:val="006B7C2A"/>
    <w:rsid w:val="006C23DA"/>
    <w:rsid w:val="006D66FF"/>
    <w:rsid w:val="006E3D45"/>
    <w:rsid w:val="007149F9"/>
    <w:rsid w:val="00733A30"/>
    <w:rsid w:val="007418D2"/>
    <w:rsid w:val="00745AEE"/>
    <w:rsid w:val="00750F10"/>
    <w:rsid w:val="007742CA"/>
    <w:rsid w:val="00790D70"/>
    <w:rsid w:val="0079223B"/>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0D69"/>
    <w:rsid w:val="00952A66"/>
    <w:rsid w:val="009B7C9A"/>
    <w:rsid w:val="009C56E5"/>
    <w:rsid w:val="009E5FC8"/>
    <w:rsid w:val="009E687A"/>
    <w:rsid w:val="00A066F1"/>
    <w:rsid w:val="00A141AF"/>
    <w:rsid w:val="00A14653"/>
    <w:rsid w:val="00A16D29"/>
    <w:rsid w:val="00A30305"/>
    <w:rsid w:val="00A31D2D"/>
    <w:rsid w:val="00A4600A"/>
    <w:rsid w:val="00A538A6"/>
    <w:rsid w:val="00A54C25"/>
    <w:rsid w:val="00A710E7"/>
    <w:rsid w:val="00A7372E"/>
    <w:rsid w:val="00A93B85"/>
    <w:rsid w:val="00AA0B18"/>
    <w:rsid w:val="00AA3C65"/>
    <w:rsid w:val="00AA666F"/>
    <w:rsid w:val="00B27E69"/>
    <w:rsid w:val="00B639E9"/>
    <w:rsid w:val="00B817CD"/>
    <w:rsid w:val="00B81A7D"/>
    <w:rsid w:val="00B94AD0"/>
    <w:rsid w:val="00BB3A95"/>
    <w:rsid w:val="00BB46B0"/>
    <w:rsid w:val="00BD6CCE"/>
    <w:rsid w:val="00C0018F"/>
    <w:rsid w:val="00C126D4"/>
    <w:rsid w:val="00C16A5A"/>
    <w:rsid w:val="00C20466"/>
    <w:rsid w:val="00C214ED"/>
    <w:rsid w:val="00C234E6"/>
    <w:rsid w:val="00C324A8"/>
    <w:rsid w:val="00C54517"/>
    <w:rsid w:val="00C64CD8"/>
    <w:rsid w:val="00C97C68"/>
    <w:rsid w:val="00CA1A47"/>
    <w:rsid w:val="00CB44E5"/>
    <w:rsid w:val="00CC247A"/>
    <w:rsid w:val="00CD23AE"/>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14EE"/>
    <w:rsid w:val="00E55816"/>
    <w:rsid w:val="00E55AEF"/>
    <w:rsid w:val="00E90C34"/>
    <w:rsid w:val="00E976C1"/>
    <w:rsid w:val="00EA12E5"/>
    <w:rsid w:val="00EB55C6"/>
    <w:rsid w:val="00EF1932"/>
    <w:rsid w:val="00F02766"/>
    <w:rsid w:val="00F05BD4"/>
    <w:rsid w:val="00F6155B"/>
    <w:rsid w:val="00F62E3A"/>
    <w:rsid w:val="00F65C19"/>
    <w:rsid w:val="00FD18DA"/>
    <w:rsid w:val="00FD2546"/>
    <w:rsid w:val="00FD772E"/>
    <w:rsid w:val="00FE2574"/>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DA85812-BBE1-4F0E-B31D-7B618E3C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CA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57345637-2CD7-4664-B579-BC5D5E2D6C57}">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996b2e75-67fd-4955-a3b0-5ab9934cb50b"/>
    <ds:schemaRef ds:uri="http://purl.org/dc/dcmitype/"/>
    <ds:schemaRef ds:uri="http://purl.org/dc/term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726F50-98C0-42B9-B666-CDD02977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3</Pages>
  <Words>662</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R15-WRC15-C-0066!A5!MSW-E</vt:lpstr>
    </vt:vector>
  </TitlesOfParts>
  <Manager>General Secretariat - Pool</Manager>
  <Company>International Telecommunication Union (ITU)</Company>
  <LinksUpToDate>false</LinksUpToDate>
  <CharactersWithSpaces>4460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R15-WRC15-C-0066!A5!MSW-E</dc:title>
  <dc:subject>World Radiocommunication Conference - 2015</dc:subject>
  <dc:creator>Documents Proposals Manager (DPM)</dc:creator>
  <cp:keywords>DPM_v5.2015.10.15_prod</cp:keywords>
  <dc:description>Uploaded on 2015.07.06</dc:description>
  <cp:lastModifiedBy>Pavlenko, Kseniia</cp:lastModifiedBy>
  <cp:revision>4</cp:revision>
  <cp:lastPrinted>2014-02-10T09:49:00Z</cp:lastPrinted>
  <dcterms:created xsi:type="dcterms:W3CDTF">2015-10-26T12:49:00Z</dcterms:created>
  <dcterms:modified xsi:type="dcterms:W3CDTF">2015-10-26T13:18:00Z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