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D66E0" w:rsidTr="0050008E">
        <w:trPr>
          <w:cantSplit/>
        </w:trPr>
        <w:tc>
          <w:tcPr>
            <w:tcW w:w="6911" w:type="dxa"/>
          </w:tcPr>
          <w:p w:rsidR="0090121B" w:rsidRPr="001D66E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1D66E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1D66E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1D66E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1D66E0" w:rsidRDefault="00CE7431" w:rsidP="00CE743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D66E0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D66E0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1D66E0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1D66E0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1D66E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1D66E0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1D66E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1D66E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1D66E0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1D66E0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D66E0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1D66E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1D66E0">
              <w:rPr>
                <w:rFonts w:ascii="Verdana" w:eastAsia="SimSun" w:hAnsi="Verdana" w:cs="Traditional Arabic"/>
                <w:b/>
                <w:sz w:val="20"/>
              </w:rPr>
              <w:t>Addéndum 6 al</w:t>
            </w:r>
            <w:r w:rsidRPr="001D66E0">
              <w:rPr>
                <w:rFonts w:ascii="Verdana" w:eastAsia="SimSun" w:hAnsi="Verdana" w:cs="Traditional Arabic"/>
                <w:b/>
                <w:sz w:val="20"/>
              </w:rPr>
              <w:br/>
              <w:t>Documento 66(Add.23)</w:t>
            </w:r>
            <w:r w:rsidR="0090121B" w:rsidRPr="001D66E0">
              <w:rPr>
                <w:rFonts w:ascii="Verdana" w:hAnsi="Verdana"/>
                <w:b/>
                <w:sz w:val="20"/>
              </w:rPr>
              <w:t>-</w:t>
            </w:r>
            <w:r w:rsidRPr="001D66E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2"/>
      <w:tr w:rsidR="000A5B9A" w:rsidRPr="001D66E0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1D66E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1D66E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D66E0">
              <w:rPr>
                <w:rFonts w:ascii="Verdana" w:hAnsi="Verdana"/>
                <w:b/>
                <w:sz w:val="20"/>
              </w:rPr>
              <w:t>15 de octubre de 2015</w:t>
            </w:r>
          </w:p>
        </w:tc>
      </w:tr>
      <w:tr w:rsidR="000A5B9A" w:rsidRPr="001D66E0" w:rsidTr="0090121B">
        <w:trPr>
          <w:cantSplit/>
        </w:trPr>
        <w:tc>
          <w:tcPr>
            <w:tcW w:w="6911" w:type="dxa"/>
          </w:tcPr>
          <w:p w:rsidR="000A5B9A" w:rsidRPr="001D66E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1D66E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1D66E0">
              <w:rPr>
                <w:rFonts w:ascii="Verdana" w:hAnsi="Verdana"/>
                <w:b/>
                <w:sz w:val="20"/>
              </w:rPr>
              <w:t>Original: español</w:t>
            </w:r>
          </w:p>
        </w:tc>
      </w:tr>
      <w:tr w:rsidR="000A5B9A" w:rsidRPr="001D66E0" w:rsidTr="006744FC">
        <w:trPr>
          <w:cantSplit/>
        </w:trPr>
        <w:tc>
          <w:tcPr>
            <w:tcW w:w="10031" w:type="dxa"/>
            <w:gridSpan w:val="2"/>
          </w:tcPr>
          <w:p w:rsidR="000A5B9A" w:rsidRPr="001D66E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1D66E0" w:rsidTr="0050008E">
        <w:trPr>
          <w:cantSplit/>
        </w:trPr>
        <w:tc>
          <w:tcPr>
            <w:tcW w:w="10031" w:type="dxa"/>
            <w:gridSpan w:val="2"/>
          </w:tcPr>
          <w:p w:rsidR="000A5B9A" w:rsidRPr="001D66E0" w:rsidRDefault="000A5B9A" w:rsidP="000A5B9A">
            <w:pPr>
              <w:pStyle w:val="Source"/>
            </w:pPr>
            <w:bookmarkStart w:id="3" w:name="dsource" w:colFirst="0" w:colLast="0"/>
            <w:r w:rsidRPr="001D66E0">
              <w:t>Cuba</w:t>
            </w:r>
          </w:p>
        </w:tc>
      </w:tr>
      <w:tr w:rsidR="000A5B9A" w:rsidRPr="001D66E0" w:rsidTr="0050008E">
        <w:trPr>
          <w:cantSplit/>
        </w:trPr>
        <w:tc>
          <w:tcPr>
            <w:tcW w:w="10031" w:type="dxa"/>
            <w:gridSpan w:val="2"/>
          </w:tcPr>
          <w:p w:rsidR="000A5B9A" w:rsidRPr="001D66E0" w:rsidRDefault="00747686" w:rsidP="000A5B9A">
            <w:pPr>
              <w:pStyle w:val="Title1"/>
            </w:pPr>
            <w:bookmarkStart w:id="4" w:name="dtitle1" w:colFirst="0" w:colLast="0"/>
            <w:bookmarkEnd w:id="3"/>
            <w:r w:rsidRPr="001D66E0">
              <w:t>PROPUESTAS PARA LOS TRABAJOS DE LA CONFERENCIA</w:t>
            </w:r>
          </w:p>
        </w:tc>
      </w:tr>
      <w:tr w:rsidR="000A5B9A" w:rsidRPr="001D66E0" w:rsidTr="0050008E">
        <w:trPr>
          <w:cantSplit/>
        </w:trPr>
        <w:tc>
          <w:tcPr>
            <w:tcW w:w="10031" w:type="dxa"/>
            <w:gridSpan w:val="2"/>
          </w:tcPr>
          <w:p w:rsidR="000A5B9A" w:rsidRPr="001D66E0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RPr="001D66E0" w:rsidTr="0050008E">
        <w:trPr>
          <w:cantSplit/>
        </w:trPr>
        <w:tc>
          <w:tcPr>
            <w:tcW w:w="10031" w:type="dxa"/>
            <w:gridSpan w:val="2"/>
          </w:tcPr>
          <w:p w:rsidR="000A5B9A" w:rsidRPr="001D66E0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1D66E0">
              <w:t>Punto 9.1(9.1.6) del orden del día</w:t>
            </w:r>
          </w:p>
        </w:tc>
      </w:tr>
    </w:tbl>
    <w:bookmarkEnd w:id="6"/>
    <w:p w:rsidR="006C20F8" w:rsidRPr="001D66E0" w:rsidRDefault="001D66E0" w:rsidP="006C20F8">
      <w:r w:rsidRPr="001D66E0">
        <w:t>9</w:t>
      </w:r>
      <w:r w:rsidRPr="001D66E0">
        <w:tab/>
        <w:t>examinar y aprobar el Informe del Director de la Oficina de Radiocomunicaciones, de conformidad con el Artículo 7 del Convenio:</w:t>
      </w:r>
    </w:p>
    <w:p w:rsidR="001C0E40" w:rsidRPr="001D66E0" w:rsidRDefault="001D66E0" w:rsidP="00482C06">
      <w:r w:rsidRPr="001D66E0">
        <w:t>9.1</w:t>
      </w:r>
      <w:r w:rsidRPr="001D66E0">
        <w:tab/>
        <w:t>sobre las actividades del Sector de Radiocomunicaciones desde la CMR-12;</w:t>
      </w:r>
    </w:p>
    <w:p w:rsidR="001C0E40" w:rsidRPr="001D66E0" w:rsidRDefault="001D66E0" w:rsidP="00A72CD8">
      <w:r w:rsidRPr="001D66E0">
        <w:t xml:space="preserve">9.1(9.1.6) </w:t>
      </w:r>
      <w:r w:rsidRPr="001D66E0">
        <w:tab/>
        <w:t xml:space="preserve">Resolución </w:t>
      </w:r>
      <w:r w:rsidRPr="001D66E0">
        <w:rPr>
          <w:b/>
          <w:bCs/>
        </w:rPr>
        <w:t>957 (CMR-12)</w:t>
      </w:r>
      <w:r w:rsidRPr="001D66E0">
        <w:t xml:space="preserve"> - Estudios para revisar las definiciones de servicio fijo, estación fija y estación móvil</w:t>
      </w:r>
    </w:p>
    <w:p w:rsidR="00747686" w:rsidRPr="001D66E0" w:rsidRDefault="00747686" w:rsidP="00C742AD">
      <w:pPr>
        <w:pStyle w:val="Headingb"/>
      </w:pPr>
      <w:r w:rsidRPr="001D66E0">
        <w:t>Introducción</w:t>
      </w:r>
    </w:p>
    <w:p w:rsidR="00747686" w:rsidRPr="001D66E0" w:rsidRDefault="00747686" w:rsidP="000D2B36">
      <w:pPr>
        <w:tabs>
          <w:tab w:val="clear" w:pos="1134"/>
          <w:tab w:val="clear" w:pos="1871"/>
          <w:tab w:val="clear" w:pos="2268"/>
        </w:tabs>
        <w:overflowPunct/>
        <w:textAlignment w:val="auto"/>
      </w:pPr>
      <w:r w:rsidRPr="001D66E0">
        <w:t xml:space="preserve">La Resolución </w:t>
      </w:r>
      <w:r w:rsidRPr="000D2B36">
        <w:rPr>
          <w:bCs/>
        </w:rPr>
        <w:t>957 (CMR-12)</w:t>
      </w:r>
      <w:r w:rsidRPr="001D66E0">
        <w:t xml:space="preserve"> dispone en su </w:t>
      </w:r>
      <w:r w:rsidRPr="000D2B36">
        <w:rPr>
          <w:i/>
        </w:rPr>
        <w:t>resuelve</w:t>
      </w:r>
      <w:r w:rsidRPr="001D66E0">
        <w:t xml:space="preserve"> </w:t>
      </w:r>
      <w:r w:rsidR="000D2B36">
        <w:t>1,</w:t>
      </w:r>
      <w:r w:rsidRPr="001D66E0">
        <w:t xml:space="preserve"> que se examinen las definiciones de servicio fijo, estación fija y estación móvil del Artículo 1 con miras a su posible modificación.</w:t>
      </w:r>
    </w:p>
    <w:p w:rsidR="00747686" w:rsidRPr="001D66E0" w:rsidRDefault="00747686" w:rsidP="00747686">
      <w:pPr>
        <w:tabs>
          <w:tab w:val="clear" w:pos="1134"/>
          <w:tab w:val="clear" w:pos="1871"/>
          <w:tab w:val="clear" w:pos="2268"/>
        </w:tabs>
        <w:overflowPunct/>
        <w:textAlignment w:val="auto"/>
      </w:pPr>
      <w:r w:rsidRPr="001D66E0">
        <w:t>La Administración de Cuba ha realizado el estudio del tema y no ha identificado dificultades inherentes a la aplicación de las actuales definiciones del Reglamento de Radiocomunicaciones en el proceso de asignación de frecuencias a las diferentes estaciones de los servicios fijo y móvil en correspondencia con el marco reglamentario vigente, de la misma forma no ha identificado dificultades para proceder a la notificación y registro de las estaciones bajo su jurisdicción.</w:t>
      </w:r>
    </w:p>
    <w:p w:rsidR="00363A65" w:rsidRPr="001D66E0" w:rsidRDefault="00747686" w:rsidP="00747686">
      <w:pPr>
        <w:tabs>
          <w:tab w:val="clear" w:pos="1134"/>
          <w:tab w:val="clear" w:pos="1871"/>
          <w:tab w:val="clear" w:pos="2268"/>
        </w:tabs>
        <w:overflowPunct/>
        <w:textAlignment w:val="auto"/>
      </w:pPr>
      <w:r w:rsidRPr="001D66E0">
        <w:t>Como consecuencia de lo anterior la Administración de Cuba considera que no es necesario realizar modificaciones a</w:t>
      </w:r>
      <w:r w:rsidR="00C742AD" w:rsidRPr="001D66E0">
        <w:t xml:space="preserve"> las actuales definiciones de «servicio fijo», «estación fija» y «estación móvil»</w:t>
      </w:r>
      <w:r w:rsidRPr="001D66E0">
        <w:t xml:space="preserve"> y por ello somete a la CMR-15 las siguientes propuestas.</w:t>
      </w:r>
    </w:p>
    <w:p w:rsidR="008750A8" w:rsidRPr="001D66E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D66E0">
        <w:br w:type="page"/>
      </w:r>
    </w:p>
    <w:p w:rsidR="00F008F3" w:rsidRPr="001D66E0" w:rsidRDefault="001D66E0" w:rsidP="008964CA">
      <w:pPr>
        <w:pStyle w:val="ArtNo"/>
      </w:pPr>
      <w:r w:rsidRPr="001D66E0">
        <w:lastRenderedPageBreak/>
        <w:t xml:space="preserve">ARTÍCULO </w:t>
      </w:r>
      <w:r w:rsidRPr="001D66E0">
        <w:rPr>
          <w:rStyle w:val="href"/>
        </w:rPr>
        <w:t>1</w:t>
      </w:r>
    </w:p>
    <w:p w:rsidR="00F008F3" w:rsidRPr="001D66E0" w:rsidRDefault="001D66E0" w:rsidP="00D44B91">
      <w:pPr>
        <w:pStyle w:val="Arttitle"/>
      </w:pPr>
      <w:r w:rsidRPr="001D66E0">
        <w:t>Términos y definiciones</w:t>
      </w:r>
    </w:p>
    <w:p w:rsidR="00F008F3" w:rsidRPr="001D66E0" w:rsidRDefault="001D66E0" w:rsidP="00C070E9">
      <w:pPr>
        <w:pStyle w:val="Section1"/>
      </w:pPr>
      <w:r w:rsidRPr="001D66E0">
        <w:t>Sección III – Servicios radioeléctricos</w:t>
      </w:r>
    </w:p>
    <w:p w:rsidR="00674525" w:rsidRPr="001D66E0" w:rsidRDefault="001D66E0">
      <w:pPr>
        <w:pStyle w:val="Proposal"/>
      </w:pPr>
      <w:r w:rsidRPr="001D66E0">
        <w:rPr>
          <w:u w:val="single"/>
        </w:rPr>
        <w:t>NOC</w:t>
      </w:r>
      <w:r w:rsidRPr="001D66E0">
        <w:tab/>
        <w:t>CUB/66A23A6/1</w:t>
      </w:r>
    </w:p>
    <w:p w:rsidR="00F008F3" w:rsidRPr="001D66E0" w:rsidRDefault="001D66E0" w:rsidP="00397E37">
      <w:r w:rsidRPr="001D66E0">
        <w:rPr>
          <w:rStyle w:val="Artdef"/>
        </w:rPr>
        <w:t>1.20</w:t>
      </w:r>
      <w:r w:rsidRPr="001D66E0">
        <w:rPr>
          <w:rStyle w:val="Artdef"/>
        </w:rPr>
        <w:tab/>
      </w:r>
      <w:r w:rsidRPr="001D66E0">
        <w:tab/>
      </w:r>
      <w:r w:rsidRPr="001D66E0">
        <w:rPr>
          <w:i/>
          <w:color w:val="000000"/>
        </w:rPr>
        <w:t>servicio fijo:  Servicio de radiocomunicación</w:t>
      </w:r>
      <w:r w:rsidRPr="001D66E0">
        <w:t xml:space="preserve"> entre puntos fijos determinados.</w:t>
      </w:r>
    </w:p>
    <w:p w:rsidR="00674525" w:rsidRPr="001D66E0" w:rsidRDefault="001D66E0">
      <w:pPr>
        <w:pStyle w:val="Reasons"/>
      </w:pPr>
      <w:r w:rsidRPr="001D66E0">
        <w:rPr>
          <w:b/>
        </w:rPr>
        <w:t>Motivos:</w:t>
      </w:r>
      <w:r w:rsidRPr="001D66E0">
        <w:tab/>
      </w:r>
      <w:r w:rsidR="00747686" w:rsidRPr="001D66E0">
        <w:t>No se ha identificado necesidad de proceder a modificar esta definición.</w:t>
      </w:r>
    </w:p>
    <w:p w:rsidR="00F008F3" w:rsidRPr="001D66E0" w:rsidRDefault="001D66E0" w:rsidP="00C070E9">
      <w:pPr>
        <w:pStyle w:val="Section1"/>
      </w:pPr>
      <w:r w:rsidRPr="001D66E0">
        <w:t>Sección IV – Estaciones y sistemas radioeléctricos</w:t>
      </w:r>
    </w:p>
    <w:p w:rsidR="00674525" w:rsidRPr="001D66E0" w:rsidRDefault="001D66E0">
      <w:pPr>
        <w:pStyle w:val="Proposal"/>
      </w:pPr>
      <w:r w:rsidRPr="001D66E0">
        <w:rPr>
          <w:u w:val="single"/>
        </w:rPr>
        <w:t>NOC</w:t>
      </w:r>
      <w:r w:rsidRPr="001D66E0">
        <w:tab/>
        <w:t>CUB/66A23A6/2</w:t>
      </w:r>
    </w:p>
    <w:p w:rsidR="00F008F3" w:rsidRPr="001D66E0" w:rsidRDefault="001D66E0" w:rsidP="00F008F3">
      <w:pPr>
        <w:keepNext/>
        <w:keepLines/>
        <w:rPr>
          <w:i/>
          <w:color w:val="000000"/>
        </w:rPr>
      </w:pPr>
      <w:r w:rsidRPr="001D66E0">
        <w:rPr>
          <w:rStyle w:val="Artdef"/>
        </w:rPr>
        <w:t>1.66</w:t>
      </w:r>
      <w:r w:rsidRPr="001D66E0">
        <w:rPr>
          <w:rStyle w:val="Artdef"/>
        </w:rPr>
        <w:tab/>
      </w:r>
      <w:r w:rsidRPr="001D66E0">
        <w:tab/>
      </w:r>
      <w:r w:rsidRPr="001D66E0">
        <w:rPr>
          <w:i/>
          <w:color w:val="000000"/>
        </w:rPr>
        <w:t>estación fija:  Estación</w:t>
      </w:r>
      <w:r w:rsidRPr="001D66E0">
        <w:t xml:space="preserve"> del</w:t>
      </w:r>
      <w:r w:rsidRPr="001D66E0">
        <w:rPr>
          <w:i/>
          <w:color w:val="000000"/>
        </w:rPr>
        <w:t xml:space="preserve"> servicio fijo.</w:t>
      </w:r>
    </w:p>
    <w:p w:rsidR="00674525" w:rsidRPr="001D66E0" w:rsidRDefault="001D66E0">
      <w:pPr>
        <w:pStyle w:val="Reasons"/>
      </w:pPr>
      <w:r w:rsidRPr="001D66E0">
        <w:rPr>
          <w:b/>
        </w:rPr>
        <w:t>Motivos:</w:t>
      </w:r>
      <w:r w:rsidRPr="001D66E0">
        <w:tab/>
      </w:r>
      <w:r w:rsidR="00747686" w:rsidRPr="001D66E0">
        <w:t>No se ha identificado necesidad de proceder a modificar esta definición.</w:t>
      </w:r>
    </w:p>
    <w:p w:rsidR="00674525" w:rsidRPr="001D66E0" w:rsidRDefault="001D66E0">
      <w:pPr>
        <w:pStyle w:val="Proposal"/>
      </w:pPr>
      <w:r w:rsidRPr="001D66E0">
        <w:rPr>
          <w:u w:val="single"/>
        </w:rPr>
        <w:t>NOC</w:t>
      </w:r>
      <w:r w:rsidRPr="001D66E0">
        <w:tab/>
        <w:t>CUB/66A23A6/3</w:t>
      </w:r>
    </w:p>
    <w:p w:rsidR="00F008F3" w:rsidRPr="001D66E0" w:rsidRDefault="001D66E0" w:rsidP="00F008F3">
      <w:r w:rsidRPr="001D66E0">
        <w:rPr>
          <w:rStyle w:val="Artdef"/>
        </w:rPr>
        <w:t>1.67</w:t>
      </w:r>
      <w:r w:rsidRPr="001D66E0">
        <w:rPr>
          <w:rStyle w:val="Artdef"/>
        </w:rPr>
        <w:tab/>
      </w:r>
      <w:r w:rsidRPr="001D66E0">
        <w:tab/>
      </w:r>
      <w:r w:rsidRPr="001D66E0">
        <w:rPr>
          <w:i/>
          <w:color w:val="000000"/>
        </w:rPr>
        <w:t>estación móvil:  Estación</w:t>
      </w:r>
      <w:r w:rsidRPr="001D66E0">
        <w:t xml:space="preserve"> del</w:t>
      </w:r>
      <w:r w:rsidRPr="001D66E0">
        <w:rPr>
          <w:i/>
          <w:color w:val="000000"/>
        </w:rPr>
        <w:t xml:space="preserve"> servicio móvil</w:t>
      </w:r>
      <w:r w:rsidRPr="001D66E0">
        <w:t xml:space="preserve"> destinada a ser utilizada en movimiento o mientras esté detenida en puntos no determinados.</w:t>
      </w:r>
    </w:p>
    <w:p w:rsidR="00674525" w:rsidRPr="001D66E0" w:rsidRDefault="001D66E0">
      <w:pPr>
        <w:pStyle w:val="Reasons"/>
      </w:pPr>
      <w:r w:rsidRPr="001D66E0">
        <w:rPr>
          <w:b/>
        </w:rPr>
        <w:t>Motivos:</w:t>
      </w:r>
      <w:r w:rsidRPr="001D66E0">
        <w:tab/>
      </w:r>
      <w:r w:rsidR="00747686" w:rsidRPr="001D66E0">
        <w:t>No se ha identificado necesidad de proceder a modificar esta definición.</w:t>
      </w:r>
    </w:p>
    <w:p w:rsidR="00674525" w:rsidRPr="001D66E0" w:rsidRDefault="001D66E0">
      <w:pPr>
        <w:pStyle w:val="Proposal"/>
      </w:pPr>
      <w:r w:rsidRPr="001D66E0">
        <w:t>SUP</w:t>
      </w:r>
      <w:r w:rsidRPr="001D66E0">
        <w:tab/>
        <w:t>CUB/66A23A6/4</w:t>
      </w:r>
    </w:p>
    <w:p w:rsidR="009E7ADB" w:rsidRPr="001D66E0" w:rsidRDefault="001D66E0" w:rsidP="009E7ADB">
      <w:pPr>
        <w:pStyle w:val="ResNo"/>
      </w:pPr>
      <w:bookmarkStart w:id="7" w:name="_Toc328141517"/>
      <w:r w:rsidRPr="001D66E0">
        <w:t xml:space="preserve">RESOLUCIÓN </w:t>
      </w:r>
      <w:r w:rsidRPr="001D66E0">
        <w:rPr>
          <w:rStyle w:val="href"/>
        </w:rPr>
        <w:t>957</w:t>
      </w:r>
      <w:r w:rsidRPr="001D66E0">
        <w:t xml:space="preserve"> (CMR-12)</w:t>
      </w:r>
      <w:bookmarkEnd w:id="7"/>
    </w:p>
    <w:p w:rsidR="009E7ADB" w:rsidRPr="001D66E0" w:rsidRDefault="001D66E0" w:rsidP="009E7ADB">
      <w:pPr>
        <w:pStyle w:val="Restitle"/>
        <w:rPr>
          <w:b w:val="0"/>
        </w:rPr>
      </w:pPr>
      <w:bookmarkStart w:id="8" w:name="_Toc328141518"/>
      <w:r w:rsidRPr="001D66E0">
        <w:t>Estudios para revisar las definiciones de servicio fijo,</w:t>
      </w:r>
      <w:r w:rsidRPr="001D66E0">
        <w:br/>
      </w:r>
      <w:r w:rsidRPr="001D66E0">
        <w:rPr>
          <w:rFonts w:ascii="Times New Roman"/>
          <w:bCs/>
          <w:i/>
        </w:rPr>
        <w:t>estaci</w:t>
      </w:r>
      <w:r w:rsidRPr="001D66E0">
        <w:rPr>
          <w:rFonts w:ascii="Times New Roman"/>
          <w:bCs/>
          <w:i/>
        </w:rPr>
        <w:t>ó</w:t>
      </w:r>
      <w:r w:rsidRPr="001D66E0">
        <w:rPr>
          <w:rFonts w:ascii="Times New Roman"/>
          <w:bCs/>
          <w:i/>
        </w:rPr>
        <w:t xml:space="preserve">n fija </w:t>
      </w:r>
      <w:r w:rsidRPr="001D66E0">
        <w:t xml:space="preserve">y </w:t>
      </w:r>
      <w:r w:rsidRPr="001D66E0">
        <w:rPr>
          <w:rFonts w:ascii="Times New Roman"/>
          <w:bCs/>
          <w:i/>
          <w:iCs/>
        </w:rPr>
        <w:t>estaci</w:t>
      </w:r>
      <w:r w:rsidRPr="001D66E0">
        <w:rPr>
          <w:rFonts w:ascii="Times New Roman"/>
          <w:bCs/>
          <w:i/>
          <w:iCs/>
        </w:rPr>
        <w:t>ó</w:t>
      </w:r>
      <w:r w:rsidRPr="001D66E0">
        <w:rPr>
          <w:rFonts w:ascii="Times New Roman"/>
          <w:bCs/>
          <w:i/>
          <w:iCs/>
        </w:rPr>
        <w:t>n m</w:t>
      </w:r>
      <w:r w:rsidRPr="001D66E0">
        <w:rPr>
          <w:rFonts w:ascii="Times New Roman"/>
          <w:bCs/>
          <w:i/>
          <w:iCs/>
        </w:rPr>
        <w:t>ó</w:t>
      </w:r>
      <w:r w:rsidRPr="001D66E0">
        <w:rPr>
          <w:rFonts w:ascii="Times New Roman"/>
          <w:bCs/>
          <w:i/>
          <w:iCs/>
        </w:rPr>
        <w:t>vil</w:t>
      </w:r>
      <w:bookmarkEnd w:id="8"/>
    </w:p>
    <w:p w:rsidR="00C742AD" w:rsidRDefault="001D66E0" w:rsidP="0032202E">
      <w:pPr>
        <w:pStyle w:val="Reasons"/>
      </w:pPr>
      <w:r w:rsidRPr="001D66E0">
        <w:rPr>
          <w:b/>
        </w:rPr>
        <w:t>Motivos:</w:t>
      </w:r>
      <w:r w:rsidRPr="001D66E0">
        <w:tab/>
      </w:r>
      <w:r w:rsidR="00747686" w:rsidRPr="001D66E0">
        <w:t>Los estudios ya han concluido.</w:t>
      </w:r>
    </w:p>
    <w:p w:rsidR="000D2B36" w:rsidRDefault="000D2B36" w:rsidP="0032202E">
      <w:pPr>
        <w:pStyle w:val="Reasons"/>
      </w:pPr>
    </w:p>
    <w:p w:rsidR="000D2B36" w:rsidRPr="001D66E0" w:rsidRDefault="000D2B36" w:rsidP="0032202E">
      <w:pPr>
        <w:pStyle w:val="Reasons"/>
      </w:pPr>
    </w:p>
    <w:p w:rsidR="00C742AD" w:rsidRPr="001D66E0" w:rsidRDefault="00C742AD">
      <w:pPr>
        <w:jc w:val="center"/>
      </w:pPr>
      <w:r w:rsidRPr="001D66E0">
        <w:t>______________</w:t>
      </w:r>
    </w:p>
    <w:p w:rsidR="00674525" w:rsidRPr="001D66E0" w:rsidRDefault="00674525">
      <w:pPr>
        <w:pStyle w:val="Reasons"/>
      </w:pPr>
    </w:p>
    <w:sectPr w:rsidR="00674525" w:rsidRPr="001D66E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D2B36" w:rsidRDefault="0077084A">
    <w:pPr>
      <w:ind w:right="360"/>
    </w:pPr>
    <w:r>
      <w:fldChar w:fldCharType="begin"/>
    </w:r>
    <w:r w:rsidRPr="000D2B36">
      <w:instrText xml:space="preserve"> FILENAME \p  \* MERGEFORMAT </w:instrText>
    </w:r>
    <w:r>
      <w:fldChar w:fldCharType="separate"/>
    </w:r>
    <w:r w:rsidR="000D2B36">
      <w:rPr>
        <w:noProof/>
      </w:rPr>
      <w:t>P:\ESP\ITU-R\CONF-R\CMR15\000\066ADD23ADD06S.docx</w:t>
    </w:r>
    <w:r>
      <w:fldChar w:fldCharType="end"/>
    </w:r>
    <w:r w:rsidRPr="000D2B36">
      <w:tab/>
    </w:r>
    <w:r>
      <w:fldChar w:fldCharType="begin"/>
    </w:r>
    <w:r>
      <w:instrText xml:space="preserve"> SAVEDATE \@ DD.MM.YY </w:instrText>
    </w:r>
    <w:r>
      <w:fldChar w:fldCharType="separate"/>
    </w:r>
    <w:r w:rsidR="000D2B36">
      <w:rPr>
        <w:noProof/>
      </w:rPr>
      <w:t>27.10.15</w:t>
    </w:r>
    <w:r>
      <w:fldChar w:fldCharType="end"/>
    </w:r>
    <w:r w:rsidRPr="000D2B36">
      <w:tab/>
    </w:r>
    <w:r>
      <w:fldChar w:fldCharType="begin"/>
    </w:r>
    <w:r>
      <w:instrText xml:space="preserve"> PRINTDATE \@ DD.MM.YY </w:instrText>
    </w:r>
    <w:r>
      <w:fldChar w:fldCharType="separate"/>
    </w:r>
    <w:r w:rsidR="000D2B36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667204" w:rsidRDefault="00667204" w:rsidP="0066720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2B36">
      <w:rPr>
        <w:lang w:val="en-US"/>
      </w:rPr>
      <w:t>P:\ESP\ITU-R\CONF-R\CMR15\000\066ADD23ADD06S.docx</w:t>
    </w:r>
    <w:r>
      <w:fldChar w:fldCharType="end"/>
    </w:r>
    <w:r>
      <w:t xml:space="preserve"> (388398)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2B36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2B36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2B36">
      <w:rPr>
        <w:lang w:val="en-US"/>
      </w:rPr>
      <w:t>P:\ESP\ITU-R\CONF-R\CMR15\000\066ADD23ADD06S.docx</w:t>
    </w:r>
    <w:r>
      <w:fldChar w:fldCharType="end"/>
    </w:r>
    <w:r w:rsidR="00667204">
      <w:t xml:space="preserve"> (388398)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2B36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2B36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2B3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66(Add.23)(Add.6)-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D2B36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D66E0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67204"/>
    <w:rsid w:val="00674525"/>
    <w:rsid w:val="00692AAE"/>
    <w:rsid w:val="006D6E67"/>
    <w:rsid w:val="006E1A13"/>
    <w:rsid w:val="00701C20"/>
    <w:rsid w:val="00702F3D"/>
    <w:rsid w:val="0070518E"/>
    <w:rsid w:val="007354E9"/>
    <w:rsid w:val="00747686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742AD"/>
    <w:rsid w:val="00CC01E0"/>
    <w:rsid w:val="00CD5FEE"/>
    <w:rsid w:val="00CE60D2"/>
    <w:rsid w:val="00CE7431"/>
    <w:rsid w:val="00D0288A"/>
    <w:rsid w:val="00D62672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2C428C8-177B-4A33-A83A-4F287EC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R15-WRC15-C-0066!A23-A6!MSW-S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51A9-B3A9-4D87-A2C9-3F39A797C7F6}">
  <ds:schemaRefs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2a1a8c5-2265-4ebc-b7a0-2071e2c5c9b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28D6088-7638-42AA-9D5E-68758421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R15-WRC15-C-0066!A23-A6!MSW-S</vt:lpstr>
    </vt:vector>
  </TitlesOfParts>
  <Manager>Secretaría General - Pool</Manager>
  <Company>Unión Internacional de Telecomunicaciones (UIT)</Company>
  <LinksUpToDate>false</LinksUpToDate>
  <CharactersWithSpaces>2481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R15-WRC15-C-0066!A23-A6!MSW-S</dc:title>
  <dc:subject>Conferencia Mundial de Radiocomunicaciones - 2015</dc:subject>
  <dc:creator>Documents Proposals Manager (DPM)</dc:creator>
  <cp:keywords>DPM_v5.2015.10.230_prod</cp:keywords>
  <dc:description/>
  <cp:lastModifiedBy>Burro, Maria Carmen</cp:lastModifiedBy>
  <cp:revision>6</cp:revision>
  <cp:lastPrinted>2015-10-27T13:28:00Z</cp:lastPrinted>
  <dcterms:created xsi:type="dcterms:W3CDTF">2015-10-26T23:18:00Z</dcterms:created>
  <dcterms:modified xsi:type="dcterms:W3CDTF">2015-10-27T13:29:00Z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