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F00CAB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F00CAB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6 au</w:t>
            </w:r>
            <w:r w:rsidRPr="00F00CAB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66(Add.23)</w:t>
            </w:r>
            <w:r w:rsidR="00BB1D82" w:rsidRPr="00F00CAB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F00CAB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F00CAB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15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Cuba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00CAB" w:rsidRDefault="00F00CAB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C3763">
              <w:rPr>
                <w:lang w:val="fr-CH"/>
              </w:rPr>
              <w:t>PROPOSITIONS POUR LES TRAVAU</w:t>
            </w:r>
            <w:r>
              <w:rPr>
                <w:lang w:val="fr-CH"/>
              </w:rPr>
              <w:t>X</w:t>
            </w:r>
            <w:r w:rsidRPr="004C3763">
              <w:rPr>
                <w:lang w:val="fr-CH"/>
              </w:rPr>
              <w:t xml:space="preserve"> DE LA CONF</w:t>
            </w:r>
            <w:r>
              <w:rPr>
                <w:lang w:val="fr-CH"/>
              </w:rPr>
              <w:t>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F00CAB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9.1(9.1.6) de l'ordre du jour</w:t>
            </w:r>
          </w:p>
        </w:tc>
      </w:tr>
    </w:tbl>
    <w:bookmarkEnd w:id="6"/>
    <w:p w:rsidR="001C0E40" w:rsidRPr="00A27760" w:rsidRDefault="00BE6007" w:rsidP="00907111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</w:t>
      </w:r>
      <w:r w:rsidR="00907111">
        <w:rPr>
          <w:lang w:val="fr-CA"/>
        </w:rPr>
        <w:t xml:space="preserve"> </w:t>
      </w:r>
      <w:r w:rsidRPr="00A27760">
        <w:rPr>
          <w:lang w:val="fr-CA"/>
        </w:rPr>
        <w:t>7 de la Convention:</w:t>
      </w:r>
    </w:p>
    <w:p w:rsidR="001C0E40" w:rsidRPr="00895D39" w:rsidRDefault="00BE6007" w:rsidP="00907111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>12;</w:t>
      </w:r>
    </w:p>
    <w:p w:rsidR="001C0E40" w:rsidRPr="00C23F23" w:rsidRDefault="00BE6007" w:rsidP="00907111">
      <w:pPr>
        <w:rPr>
          <w:lang w:val="fr-CH"/>
        </w:rPr>
      </w:pPr>
      <w:r>
        <w:rPr>
          <w:lang w:val="fr-CH"/>
        </w:rPr>
        <w:t xml:space="preserve">9.1(9.1.6) 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9F4645">
        <w:rPr>
          <w:b/>
          <w:bCs/>
          <w:lang w:val="fr-CH"/>
        </w:rPr>
        <w:t>957 (CMR-12)</w:t>
      </w:r>
      <w:r w:rsidRPr="00552143">
        <w:rPr>
          <w:lang w:val="fr-CH"/>
        </w:rPr>
        <w:t xml:space="preserve"> – Etudes en vue de l'examen des définitions des termes service fixe, station fixe et station mobile</w:t>
      </w:r>
    </w:p>
    <w:p w:rsidR="003A583E" w:rsidRPr="00907111" w:rsidRDefault="00F00CAB" w:rsidP="00907111">
      <w:pPr>
        <w:pStyle w:val="Headingb"/>
      </w:pPr>
      <w:r w:rsidRPr="00907111">
        <w:t>Introduction</w:t>
      </w:r>
    </w:p>
    <w:p w:rsidR="00F00CAB" w:rsidRPr="00BD36DD" w:rsidRDefault="00BD36DD" w:rsidP="00907111">
      <w:pPr>
        <w:rPr>
          <w:lang w:val="fr-CH"/>
        </w:rPr>
      </w:pPr>
      <w:r w:rsidRPr="00BD36DD">
        <w:rPr>
          <w:lang w:val="fr-CH"/>
        </w:rPr>
        <w:t xml:space="preserve">Le point 1 du </w:t>
      </w:r>
      <w:r w:rsidRPr="00BD36DD">
        <w:rPr>
          <w:i/>
          <w:iCs/>
          <w:lang w:val="fr-CH"/>
        </w:rPr>
        <w:t xml:space="preserve">décide </w:t>
      </w:r>
      <w:r w:rsidRPr="00BD36DD">
        <w:rPr>
          <w:lang w:val="fr-CH"/>
        </w:rPr>
        <w:t xml:space="preserve">de la </w:t>
      </w:r>
      <w:r w:rsidR="00F00CAB" w:rsidRPr="00BD36DD">
        <w:rPr>
          <w:lang w:val="fr-CH"/>
        </w:rPr>
        <w:t>Résolution 957 (CMR</w:t>
      </w:r>
      <w:r w:rsidRPr="00BD36DD">
        <w:rPr>
          <w:lang w:val="fr-CH"/>
        </w:rPr>
        <w:t xml:space="preserve">-12) dispose que les </w:t>
      </w:r>
      <w:r>
        <w:rPr>
          <w:lang w:val="fr-CH"/>
        </w:rPr>
        <w:t>dé</w:t>
      </w:r>
      <w:r w:rsidRPr="00BD36DD">
        <w:rPr>
          <w:lang w:val="fr-CH"/>
        </w:rPr>
        <w:t>finitions des termes service fixe, station fixe et station mobile</w:t>
      </w:r>
      <w:r>
        <w:rPr>
          <w:lang w:val="fr-CH"/>
        </w:rPr>
        <w:t xml:space="preserve"> données dans l'</w:t>
      </w:r>
      <w:r w:rsidR="00F00CAB" w:rsidRPr="00BD36DD">
        <w:rPr>
          <w:lang w:val="fr-CH"/>
        </w:rPr>
        <w:t xml:space="preserve">Article 1 </w:t>
      </w:r>
      <w:r>
        <w:rPr>
          <w:lang w:val="fr-CH"/>
        </w:rPr>
        <w:t>devraient être examinées en vue d'une éventuelle</w:t>
      </w:r>
      <w:r w:rsidR="00F00CAB" w:rsidRPr="00BD36DD">
        <w:rPr>
          <w:lang w:val="fr-CH"/>
        </w:rPr>
        <w:t xml:space="preserve"> modification.</w:t>
      </w:r>
    </w:p>
    <w:p w:rsidR="000941FC" w:rsidRDefault="00BD36DD" w:rsidP="00907111">
      <w:pPr>
        <w:rPr>
          <w:lang w:val="fr-CH"/>
        </w:rPr>
      </w:pPr>
      <w:r w:rsidRPr="000941FC">
        <w:rPr>
          <w:lang w:val="fr-CH"/>
        </w:rPr>
        <w:t>L'</w:t>
      </w:r>
      <w:r w:rsidR="00F00CAB" w:rsidRPr="000941FC">
        <w:rPr>
          <w:lang w:val="fr-CH"/>
        </w:rPr>
        <w:t xml:space="preserve">Administration </w:t>
      </w:r>
      <w:r w:rsidRPr="000941FC">
        <w:rPr>
          <w:lang w:val="fr-CH"/>
        </w:rPr>
        <w:t xml:space="preserve">de </w:t>
      </w:r>
      <w:r w:rsidR="00F00CAB" w:rsidRPr="000941FC">
        <w:rPr>
          <w:lang w:val="fr-CH"/>
        </w:rPr>
        <w:t xml:space="preserve">Cuba </w:t>
      </w:r>
      <w:r w:rsidRPr="000941FC">
        <w:rPr>
          <w:lang w:val="fr-CH"/>
        </w:rPr>
        <w:t>a étudié cette question</w:t>
      </w:r>
      <w:r w:rsidR="00F00CAB" w:rsidRPr="000941FC">
        <w:rPr>
          <w:lang w:val="fr-CH"/>
        </w:rPr>
        <w:t xml:space="preserve"> </w:t>
      </w:r>
      <w:r w:rsidRPr="000941FC">
        <w:rPr>
          <w:lang w:val="fr-CH"/>
        </w:rPr>
        <w:t xml:space="preserve">et a n'a </w:t>
      </w:r>
      <w:r w:rsidR="000941FC">
        <w:rPr>
          <w:lang w:val="fr-CH"/>
        </w:rPr>
        <w:t xml:space="preserve">pas </w:t>
      </w:r>
      <w:r w:rsidRPr="000941FC">
        <w:rPr>
          <w:lang w:val="fr-CH"/>
        </w:rPr>
        <w:t xml:space="preserve">recensé </w:t>
      </w:r>
      <w:r w:rsidR="000941FC">
        <w:rPr>
          <w:lang w:val="fr-CH"/>
        </w:rPr>
        <w:t xml:space="preserve">de </w:t>
      </w:r>
      <w:r w:rsidRPr="000941FC">
        <w:rPr>
          <w:lang w:val="fr-CH"/>
        </w:rPr>
        <w:t>problème</w:t>
      </w:r>
      <w:r w:rsidR="000941FC">
        <w:rPr>
          <w:lang w:val="fr-CH"/>
        </w:rPr>
        <w:t>s concernant</w:t>
      </w:r>
      <w:r w:rsidRPr="000941FC">
        <w:rPr>
          <w:lang w:val="fr-CH"/>
        </w:rPr>
        <w:t xml:space="preserve"> l'application des définitions en vigueur figurant dans le Règlement des radiocommunications</w:t>
      </w:r>
      <w:r w:rsidR="00F00CAB" w:rsidRPr="000941FC">
        <w:rPr>
          <w:lang w:val="fr-CH"/>
        </w:rPr>
        <w:t xml:space="preserve"> </w:t>
      </w:r>
      <w:r w:rsidR="000941FC">
        <w:rPr>
          <w:lang w:val="fr-CH"/>
        </w:rPr>
        <w:t xml:space="preserve">au processus d'assignations de fréquence aux différentes </w:t>
      </w:r>
      <w:r w:rsidR="00F00CAB" w:rsidRPr="000941FC">
        <w:rPr>
          <w:lang w:val="fr-CH"/>
        </w:rPr>
        <w:t xml:space="preserve">stations </w:t>
      </w:r>
      <w:r w:rsidR="000941FC">
        <w:rPr>
          <w:lang w:val="fr-CH"/>
        </w:rPr>
        <w:t xml:space="preserve">des services </w:t>
      </w:r>
      <w:r w:rsidR="00F00CAB" w:rsidRPr="000941FC">
        <w:rPr>
          <w:lang w:val="fr-CH"/>
        </w:rPr>
        <w:t>fix</w:t>
      </w:r>
      <w:r w:rsidR="000941FC">
        <w:rPr>
          <w:lang w:val="fr-CH"/>
        </w:rPr>
        <w:t>e et</w:t>
      </w:r>
      <w:r w:rsidR="00F00CAB" w:rsidRPr="000941FC">
        <w:rPr>
          <w:lang w:val="fr-CH"/>
        </w:rPr>
        <w:t xml:space="preserve"> mobile </w:t>
      </w:r>
      <w:r w:rsidR="00907111">
        <w:rPr>
          <w:lang w:val="fr-CH"/>
        </w:rPr>
        <w:t>dans le</w:t>
      </w:r>
      <w:r w:rsidR="000941FC">
        <w:rPr>
          <w:lang w:val="fr-CH"/>
        </w:rPr>
        <w:t xml:space="preserve"> cadre réglementaire actuel; de même, elle n'a pas rencontré de difficulté pour notifier et inscrire les stations relevant de sa juridiction. </w:t>
      </w:r>
    </w:p>
    <w:p w:rsidR="009D575F" w:rsidRDefault="000941FC" w:rsidP="009D575F">
      <w:pPr>
        <w:rPr>
          <w:lang w:val="fr-CH"/>
        </w:rPr>
      </w:pPr>
      <w:r w:rsidRPr="000941FC">
        <w:rPr>
          <w:lang w:val="fr-CH"/>
        </w:rPr>
        <w:t>En conséquence, l'Administration de Cuba estime qu'il n'e</w:t>
      </w:r>
      <w:r w:rsidR="00D62B62">
        <w:rPr>
          <w:lang w:val="fr-CH"/>
        </w:rPr>
        <w:t>st pas nécessaire d'apporter de modification</w:t>
      </w:r>
      <w:r w:rsidRPr="000941FC">
        <w:rPr>
          <w:lang w:val="fr-CH"/>
        </w:rPr>
        <w:t xml:space="preserve"> aux définitions en vigueur des termes </w:t>
      </w:r>
      <w:r w:rsidR="00907111">
        <w:rPr>
          <w:lang w:val="fr-CH"/>
        </w:rPr>
        <w:t>«</w:t>
      </w:r>
      <w:r w:rsidRPr="000941FC">
        <w:rPr>
          <w:lang w:val="fr-CH"/>
        </w:rPr>
        <w:t>service fixe</w:t>
      </w:r>
      <w:r w:rsidR="00907111">
        <w:rPr>
          <w:lang w:val="fr-CH"/>
        </w:rPr>
        <w:t>»</w:t>
      </w:r>
      <w:r w:rsidRPr="000941FC">
        <w:rPr>
          <w:lang w:val="fr-CH"/>
        </w:rPr>
        <w:t xml:space="preserve">, </w:t>
      </w:r>
      <w:r w:rsidR="00907111">
        <w:rPr>
          <w:lang w:val="fr-CH"/>
        </w:rPr>
        <w:t>«</w:t>
      </w:r>
      <w:r w:rsidRPr="000941FC">
        <w:rPr>
          <w:lang w:val="fr-CH"/>
        </w:rPr>
        <w:t>station fixe</w:t>
      </w:r>
      <w:r w:rsidR="00907111">
        <w:rPr>
          <w:lang w:val="fr-CH"/>
        </w:rPr>
        <w:t>»</w:t>
      </w:r>
      <w:r w:rsidRPr="000941FC">
        <w:rPr>
          <w:lang w:val="fr-CH"/>
        </w:rPr>
        <w:t xml:space="preserve"> et </w:t>
      </w:r>
      <w:r w:rsidR="00907111">
        <w:rPr>
          <w:lang w:val="fr-CH"/>
        </w:rPr>
        <w:t>«</w:t>
      </w:r>
      <w:r w:rsidRPr="000941FC">
        <w:rPr>
          <w:lang w:val="fr-CH"/>
        </w:rPr>
        <w:t>station mobile</w:t>
      </w:r>
      <w:r w:rsidR="00907111">
        <w:rPr>
          <w:lang w:val="fr-CH"/>
        </w:rPr>
        <w:t>»</w:t>
      </w:r>
      <w:r w:rsidRPr="000941FC">
        <w:rPr>
          <w:lang w:val="fr-CH"/>
        </w:rPr>
        <w:t xml:space="preserve">, et de ce fait, elle soumet </w:t>
      </w:r>
      <w:r>
        <w:rPr>
          <w:lang w:val="fr-CH"/>
        </w:rPr>
        <w:t>les pr</w:t>
      </w:r>
      <w:r w:rsidR="009D575F">
        <w:rPr>
          <w:lang w:val="fr-CH"/>
        </w:rPr>
        <w:t>opositions ci-après à la CMR-15.</w:t>
      </w:r>
    </w:p>
    <w:p w:rsidR="00661D87" w:rsidRDefault="00661D87" w:rsidP="00907111">
      <w:pPr>
        <w:rPr>
          <w:lang w:val="fr-CH"/>
        </w:rPr>
      </w:pPr>
      <w:r>
        <w:rPr>
          <w:lang w:val="fr-CH"/>
        </w:rPr>
        <w:br w:type="page"/>
      </w:r>
    </w:p>
    <w:p w:rsidR="004A6A8C" w:rsidRDefault="00BE6007" w:rsidP="00907111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1</w:t>
      </w:r>
    </w:p>
    <w:p w:rsidR="004A6A8C" w:rsidRDefault="00BE6007" w:rsidP="00907111">
      <w:pPr>
        <w:pStyle w:val="Arttitle"/>
      </w:pPr>
      <w:r>
        <w:t>Termes et définitions</w:t>
      </w:r>
    </w:p>
    <w:p w:rsidR="004A6A8C" w:rsidRDefault="00BE6007" w:rsidP="00907111">
      <w:pPr>
        <w:pStyle w:val="Section1"/>
      </w:pPr>
      <w:r>
        <w:t>Section III – Services radioélectriques</w:t>
      </w:r>
    </w:p>
    <w:p w:rsidR="00935A85" w:rsidRDefault="00BE6007" w:rsidP="00907111">
      <w:pPr>
        <w:pStyle w:val="Proposal"/>
      </w:pPr>
      <w:r>
        <w:rPr>
          <w:u w:val="single"/>
        </w:rPr>
        <w:t>NOC</w:t>
      </w:r>
      <w:r>
        <w:tab/>
        <w:t>CUB/66A23A6/1</w:t>
      </w:r>
    </w:p>
    <w:p w:rsidR="004A6A8C" w:rsidRDefault="00BE6007" w:rsidP="00907111">
      <w:r w:rsidRPr="009D3550">
        <w:rPr>
          <w:rStyle w:val="Artdef"/>
        </w:rPr>
        <w:t>1.20</w:t>
      </w:r>
      <w:r w:rsidRPr="0061407F">
        <w:tab/>
      </w:r>
      <w:r w:rsidRPr="00880E98">
        <w:tab/>
      </w:r>
      <w:r w:rsidRPr="000C4B1B">
        <w:rPr>
          <w:i/>
          <w:iCs/>
        </w:rPr>
        <w:t>service fixe</w:t>
      </w:r>
      <w:r w:rsidR="009D575F">
        <w:t>: </w:t>
      </w:r>
      <w:r w:rsidRPr="00F83ADB">
        <w:rPr>
          <w:i/>
          <w:iCs/>
        </w:rPr>
        <w:t>Service de radiocommunication</w:t>
      </w:r>
      <w:r w:rsidRPr="00880E98">
        <w:t xml:space="preserve"> entre points fixes déterminés.</w:t>
      </w:r>
    </w:p>
    <w:p w:rsidR="00935A85" w:rsidRDefault="00BE6007" w:rsidP="00907111">
      <w:pPr>
        <w:pStyle w:val="Reasons"/>
        <w:rPr>
          <w:lang w:val="fr-CH"/>
        </w:rPr>
      </w:pPr>
      <w:r w:rsidRPr="000941FC">
        <w:rPr>
          <w:b/>
          <w:lang w:val="fr-CH"/>
        </w:rPr>
        <w:t>Motifs:</w:t>
      </w:r>
      <w:r w:rsidRPr="000941FC">
        <w:rPr>
          <w:lang w:val="fr-CH"/>
        </w:rPr>
        <w:tab/>
      </w:r>
      <w:r w:rsidR="000941FC" w:rsidRPr="000941FC">
        <w:rPr>
          <w:lang w:val="fr-CH"/>
        </w:rPr>
        <w:t>Il n'est pas nécessaire de modifier cette</w:t>
      </w:r>
      <w:r w:rsidR="000941FC">
        <w:rPr>
          <w:lang w:val="fr-CH"/>
        </w:rPr>
        <w:t xml:space="preserve"> dé</w:t>
      </w:r>
      <w:r w:rsidR="009669C0" w:rsidRPr="000941FC">
        <w:rPr>
          <w:lang w:val="fr-CH"/>
        </w:rPr>
        <w:t>finition.</w:t>
      </w:r>
    </w:p>
    <w:p w:rsidR="00907111" w:rsidRPr="000941FC" w:rsidRDefault="00907111" w:rsidP="00907111">
      <w:pPr>
        <w:pStyle w:val="Reasons"/>
        <w:rPr>
          <w:lang w:val="fr-CH"/>
        </w:rPr>
      </w:pPr>
    </w:p>
    <w:p w:rsidR="004A6A8C" w:rsidRDefault="00BE6007" w:rsidP="00907111">
      <w:pPr>
        <w:pStyle w:val="Section1"/>
      </w:pPr>
      <w:r>
        <w:t>Section IV – Stations et systèmes radioélectriques</w:t>
      </w:r>
    </w:p>
    <w:p w:rsidR="00935A85" w:rsidRDefault="00BE6007" w:rsidP="00907111">
      <w:pPr>
        <w:pStyle w:val="Proposal"/>
      </w:pPr>
      <w:r>
        <w:rPr>
          <w:u w:val="single"/>
        </w:rPr>
        <w:t>NOC</w:t>
      </w:r>
      <w:r>
        <w:tab/>
        <w:t>CUB/66A23A6/2</w:t>
      </w:r>
    </w:p>
    <w:p w:rsidR="004A6A8C" w:rsidRPr="00880E98" w:rsidRDefault="00BE6007" w:rsidP="00907111">
      <w:r w:rsidRPr="009D3550">
        <w:rPr>
          <w:rStyle w:val="Artdef"/>
        </w:rPr>
        <w:t>1.66</w:t>
      </w:r>
      <w:r w:rsidRPr="0061407F">
        <w:tab/>
      </w:r>
      <w:r w:rsidRPr="00880E98">
        <w:tab/>
      </w:r>
      <w:r w:rsidRPr="00A05E8E">
        <w:rPr>
          <w:i/>
          <w:iCs/>
        </w:rPr>
        <w:t>station fixe</w:t>
      </w:r>
      <w:r w:rsidR="009D575F">
        <w:t>: </w:t>
      </w:r>
      <w:r w:rsidRPr="00A05E8E">
        <w:rPr>
          <w:i/>
          <w:iCs/>
        </w:rPr>
        <w:t>Station</w:t>
      </w:r>
      <w:r w:rsidRPr="00880E98">
        <w:t xml:space="preserve"> du</w:t>
      </w:r>
      <w:r w:rsidRPr="0061407F">
        <w:t xml:space="preserve"> </w:t>
      </w:r>
      <w:r w:rsidRPr="00A05E8E">
        <w:rPr>
          <w:i/>
          <w:iCs/>
        </w:rPr>
        <w:t>service fixe</w:t>
      </w:r>
      <w:r w:rsidRPr="00880E98">
        <w:t>.</w:t>
      </w:r>
    </w:p>
    <w:p w:rsidR="00935A85" w:rsidRDefault="00BE6007" w:rsidP="00907111">
      <w:pPr>
        <w:pStyle w:val="Reasons"/>
        <w:rPr>
          <w:lang w:val="fr-CH"/>
        </w:rPr>
      </w:pPr>
      <w:r w:rsidRPr="005B72FE">
        <w:rPr>
          <w:b/>
          <w:lang w:val="fr-CH"/>
        </w:rPr>
        <w:t>Motifs:</w:t>
      </w:r>
      <w:r w:rsidRPr="005B72FE">
        <w:rPr>
          <w:lang w:val="fr-CH"/>
        </w:rPr>
        <w:tab/>
      </w:r>
      <w:r w:rsidR="005B72FE" w:rsidRPr="000941FC">
        <w:rPr>
          <w:lang w:val="fr-CH"/>
        </w:rPr>
        <w:t>Il n'est pas nécessaire de modifier cette</w:t>
      </w:r>
      <w:r w:rsidR="005B72FE">
        <w:rPr>
          <w:lang w:val="fr-CH"/>
        </w:rPr>
        <w:t xml:space="preserve"> dé</w:t>
      </w:r>
      <w:r w:rsidR="005B72FE" w:rsidRPr="000941FC">
        <w:rPr>
          <w:lang w:val="fr-CH"/>
        </w:rPr>
        <w:t>finition</w:t>
      </w:r>
      <w:r w:rsidR="009669C0" w:rsidRPr="005B72FE">
        <w:rPr>
          <w:lang w:val="fr-CH"/>
        </w:rPr>
        <w:t>.</w:t>
      </w:r>
    </w:p>
    <w:p w:rsidR="00907111" w:rsidRPr="005B72FE" w:rsidRDefault="00907111" w:rsidP="00907111">
      <w:pPr>
        <w:pStyle w:val="Reasons"/>
        <w:rPr>
          <w:lang w:val="fr-CH"/>
        </w:rPr>
      </w:pPr>
    </w:p>
    <w:p w:rsidR="00935A85" w:rsidRDefault="00BE6007" w:rsidP="00907111">
      <w:pPr>
        <w:pStyle w:val="Proposal"/>
      </w:pPr>
      <w:r>
        <w:rPr>
          <w:u w:val="single"/>
        </w:rPr>
        <w:t>NOC</w:t>
      </w:r>
      <w:r>
        <w:tab/>
        <w:t>CUB/66A23A6/3</w:t>
      </w:r>
    </w:p>
    <w:p w:rsidR="004A6A8C" w:rsidRPr="00880E98" w:rsidRDefault="00BE6007" w:rsidP="00907111">
      <w:r w:rsidRPr="009D3550">
        <w:rPr>
          <w:rStyle w:val="Artdef"/>
        </w:rPr>
        <w:t>1.67</w:t>
      </w:r>
      <w:r w:rsidRPr="0061407F">
        <w:tab/>
      </w:r>
      <w:r w:rsidRPr="00880E98">
        <w:tab/>
      </w:r>
      <w:r w:rsidRPr="00A05E8E">
        <w:rPr>
          <w:i/>
          <w:iCs/>
        </w:rPr>
        <w:t>station mobile</w:t>
      </w:r>
      <w:r w:rsidR="009D575F">
        <w:t>: </w:t>
      </w:r>
      <w:r w:rsidRPr="00A05E8E">
        <w:rPr>
          <w:i/>
          <w:iCs/>
        </w:rPr>
        <w:t xml:space="preserve">Station </w:t>
      </w:r>
      <w:r w:rsidRPr="0046637E">
        <w:t>du</w:t>
      </w:r>
      <w:r w:rsidRPr="00A05E8E">
        <w:rPr>
          <w:i/>
          <w:iCs/>
        </w:rPr>
        <w:t xml:space="preserve"> service mobile</w:t>
      </w:r>
      <w:r w:rsidRPr="00880E98">
        <w:t xml:space="preserve"> destinée à être utilisée lorsqu'elle est en mouvement, ou pendant des haltes en des points non déterminés.</w:t>
      </w:r>
    </w:p>
    <w:p w:rsidR="00935A85" w:rsidRDefault="00BE6007" w:rsidP="00907111">
      <w:pPr>
        <w:pStyle w:val="Reasons"/>
        <w:rPr>
          <w:lang w:val="fr-CH"/>
        </w:rPr>
      </w:pPr>
      <w:r w:rsidRPr="005B72FE">
        <w:rPr>
          <w:b/>
          <w:lang w:val="fr-CH"/>
        </w:rPr>
        <w:t>Motifs:</w:t>
      </w:r>
      <w:r w:rsidRPr="005B72FE">
        <w:rPr>
          <w:lang w:val="fr-CH"/>
        </w:rPr>
        <w:tab/>
      </w:r>
      <w:r w:rsidR="005B72FE" w:rsidRPr="000941FC">
        <w:rPr>
          <w:lang w:val="fr-CH"/>
        </w:rPr>
        <w:t>Il n'est pas nécessaire de modifier cette</w:t>
      </w:r>
      <w:r w:rsidR="005B72FE">
        <w:rPr>
          <w:lang w:val="fr-CH"/>
        </w:rPr>
        <w:t xml:space="preserve"> dé</w:t>
      </w:r>
      <w:r w:rsidR="005B72FE" w:rsidRPr="000941FC">
        <w:rPr>
          <w:lang w:val="fr-CH"/>
        </w:rPr>
        <w:t>finition</w:t>
      </w:r>
      <w:r w:rsidR="009669C0" w:rsidRPr="005B72FE">
        <w:rPr>
          <w:lang w:val="fr-CH"/>
        </w:rPr>
        <w:t>.</w:t>
      </w:r>
    </w:p>
    <w:p w:rsidR="00907111" w:rsidRPr="005B72FE" w:rsidRDefault="00907111" w:rsidP="00907111">
      <w:pPr>
        <w:pStyle w:val="Reasons"/>
        <w:rPr>
          <w:lang w:val="fr-CH"/>
        </w:rPr>
      </w:pPr>
    </w:p>
    <w:p w:rsidR="00935A85" w:rsidRDefault="00BE6007" w:rsidP="00907111">
      <w:pPr>
        <w:pStyle w:val="Proposal"/>
      </w:pPr>
      <w:r>
        <w:t>SUP</w:t>
      </w:r>
      <w:r>
        <w:tab/>
        <w:t>CUB/66A23A6/4</w:t>
      </w:r>
    </w:p>
    <w:p w:rsidR="00DD4258" w:rsidRPr="00605981" w:rsidRDefault="00BE6007" w:rsidP="00907111">
      <w:pPr>
        <w:pStyle w:val="ResNo"/>
      </w:pPr>
      <w:r>
        <w:t xml:space="preserve">RÉSOLUTION </w:t>
      </w:r>
      <w:r w:rsidRPr="00880E4B">
        <w:rPr>
          <w:rStyle w:val="href"/>
        </w:rPr>
        <w:t>957</w:t>
      </w:r>
      <w:r w:rsidRPr="00605981">
        <w:t xml:space="preserve"> (CMR-12)</w:t>
      </w:r>
    </w:p>
    <w:p w:rsidR="00DD4258" w:rsidRPr="009C7CEE" w:rsidRDefault="00BE6007" w:rsidP="00907111">
      <w:pPr>
        <w:pStyle w:val="Restitle"/>
      </w:pPr>
      <w:r w:rsidRPr="009C7CEE">
        <w:t xml:space="preserve">Etudes en vue de l'examen des définitions des termes </w:t>
      </w:r>
      <w:r w:rsidRPr="009C7CEE">
        <w:rPr>
          <w:i/>
          <w:iCs/>
        </w:rPr>
        <w:t>service fixe</w:t>
      </w:r>
      <w:r w:rsidRPr="009C7CEE">
        <w:t xml:space="preserve">, </w:t>
      </w:r>
      <w:r w:rsidRPr="009C7CEE">
        <w:br/>
      </w:r>
      <w:r w:rsidRPr="009C7CEE">
        <w:rPr>
          <w:i/>
          <w:iCs/>
        </w:rPr>
        <w:t>station fixe</w:t>
      </w:r>
      <w:r w:rsidRPr="009C7CEE">
        <w:t xml:space="preserve"> et </w:t>
      </w:r>
      <w:r w:rsidRPr="009C7CEE">
        <w:rPr>
          <w:i/>
          <w:iCs/>
        </w:rPr>
        <w:t>station mobile</w:t>
      </w:r>
    </w:p>
    <w:p w:rsidR="00935A85" w:rsidRPr="005B72FE" w:rsidRDefault="00BE6007" w:rsidP="00907111">
      <w:pPr>
        <w:pStyle w:val="Reasons"/>
        <w:rPr>
          <w:lang w:val="fr-CH"/>
        </w:rPr>
      </w:pPr>
      <w:r w:rsidRPr="005B72FE">
        <w:rPr>
          <w:b/>
          <w:lang w:val="fr-CH"/>
        </w:rPr>
        <w:t>Motifs:</w:t>
      </w:r>
      <w:r w:rsidRPr="005B72FE">
        <w:rPr>
          <w:lang w:val="fr-CH"/>
        </w:rPr>
        <w:tab/>
      </w:r>
      <w:r w:rsidR="005B72FE" w:rsidRPr="005B72FE">
        <w:rPr>
          <w:lang w:val="fr-CH"/>
        </w:rPr>
        <w:t>Les études en question ont été menées à bonne fin</w:t>
      </w:r>
      <w:r w:rsidR="009669C0" w:rsidRPr="005B72FE">
        <w:rPr>
          <w:lang w:val="fr-CH"/>
        </w:rPr>
        <w:t>.</w:t>
      </w:r>
    </w:p>
    <w:p w:rsidR="00BE6007" w:rsidRPr="005B72FE" w:rsidRDefault="00BE6007" w:rsidP="00907111">
      <w:pPr>
        <w:pStyle w:val="Reasons"/>
        <w:rPr>
          <w:lang w:val="fr-CH"/>
        </w:rPr>
      </w:pPr>
    </w:p>
    <w:p w:rsidR="00BE6007" w:rsidRDefault="00BE6007" w:rsidP="00907111">
      <w:pPr>
        <w:jc w:val="center"/>
      </w:pPr>
      <w:r>
        <w:t>______________</w:t>
      </w:r>
    </w:p>
    <w:p w:rsidR="00BE6007" w:rsidRPr="009669C0" w:rsidRDefault="00BE6007" w:rsidP="00907111">
      <w:pPr>
        <w:pStyle w:val="Reasons"/>
        <w:rPr>
          <w:lang w:val="en-US"/>
        </w:rPr>
      </w:pPr>
    </w:p>
    <w:sectPr w:rsidR="00BE6007" w:rsidRPr="009669C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9D575F" w:rsidRDefault="00936D25">
    <w:pPr>
      <w:rPr>
        <w:lang w:val="de-CH"/>
      </w:rPr>
    </w:pPr>
    <w:r>
      <w:fldChar w:fldCharType="begin"/>
    </w:r>
    <w:r w:rsidRPr="009D575F">
      <w:rPr>
        <w:lang w:val="de-CH"/>
      </w:rPr>
      <w:instrText xml:space="preserve"> FILENAME \p  \* MERGEFORMAT </w:instrText>
    </w:r>
    <w:r>
      <w:fldChar w:fldCharType="separate"/>
    </w:r>
    <w:r w:rsidR="00ED6D5E">
      <w:rPr>
        <w:noProof/>
        <w:lang w:val="de-CH"/>
      </w:rPr>
      <w:t>P:\FRA\ITU-R\CONF-R\CMR15\000\066ADD23ADD06F.docx</w:t>
    </w:r>
    <w:r>
      <w:fldChar w:fldCharType="end"/>
    </w:r>
    <w:r w:rsidRPr="009D575F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D5E">
      <w:rPr>
        <w:noProof/>
      </w:rPr>
      <w:t>29.10.15</w:t>
    </w:r>
    <w:r>
      <w:fldChar w:fldCharType="end"/>
    </w:r>
    <w:r w:rsidRPr="009D575F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D5E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6D5E">
      <w:rPr>
        <w:lang w:val="en-US"/>
      </w:rPr>
      <w:t>P:\FRA\ITU-R\CONF-R\CMR15\000\066ADD23ADD06F.docx</w:t>
    </w:r>
    <w:r>
      <w:fldChar w:fldCharType="end"/>
    </w:r>
    <w:r w:rsidR="00FB4978" w:rsidRPr="00D62B62">
      <w:rPr>
        <w:lang w:val="en-US"/>
      </w:rPr>
      <w:t xml:space="preserve"> (388398)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D5E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D5E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D6D5E">
      <w:rPr>
        <w:lang w:val="en-US"/>
      </w:rPr>
      <w:t>P:\FRA\ITU-R\CONF-R\CMR15\000\066ADD23ADD06F.docx</w:t>
    </w:r>
    <w:r>
      <w:fldChar w:fldCharType="end"/>
    </w:r>
    <w:r w:rsidR="00FB4978" w:rsidRPr="00D62B62">
      <w:rPr>
        <w:lang w:val="en-US"/>
      </w:rPr>
      <w:t xml:space="preserve"> (388398)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D5E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6D5E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D6D5E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66(Add.23)(Add.6)-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941F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2086D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0EC5"/>
    <w:rsid w:val="004F1F8E"/>
    <w:rsid w:val="00512A32"/>
    <w:rsid w:val="00586CF2"/>
    <w:rsid w:val="005B72FE"/>
    <w:rsid w:val="005C3768"/>
    <w:rsid w:val="005C6C3F"/>
    <w:rsid w:val="00613635"/>
    <w:rsid w:val="0062093D"/>
    <w:rsid w:val="00637ECF"/>
    <w:rsid w:val="00647B59"/>
    <w:rsid w:val="00661D87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21151"/>
    <w:rsid w:val="00851625"/>
    <w:rsid w:val="00863C0A"/>
    <w:rsid w:val="008A3120"/>
    <w:rsid w:val="008B1294"/>
    <w:rsid w:val="008D41BE"/>
    <w:rsid w:val="008D58D3"/>
    <w:rsid w:val="00907111"/>
    <w:rsid w:val="00923064"/>
    <w:rsid w:val="00930FFD"/>
    <w:rsid w:val="00935A85"/>
    <w:rsid w:val="00936D25"/>
    <w:rsid w:val="00941EA5"/>
    <w:rsid w:val="00964700"/>
    <w:rsid w:val="009669C0"/>
    <w:rsid w:val="00966C16"/>
    <w:rsid w:val="0098732F"/>
    <w:rsid w:val="009A045F"/>
    <w:rsid w:val="009C7E7C"/>
    <w:rsid w:val="009D575F"/>
    <w:rsid w:val="00A00473"/>
    <w:rsid w:val="00A03C9B"/>
    <w:rsid w:val="00A37105"/>
    <w:rsid w:val="00A606C3"/>
    <w:rsid w:val="00A83B09"/>
    <w:rsid w:val="00A84541"/>
    <w:rsid w:val="00AE36A0"/>
    <w:rsid w:val="00B00294"/>
    <w:rsid w:val="00B21BDC"/>
    <w:rsid w:val="00B64FD0"/>
    <w:rsid w:val="00BA5BD0"/>
    <w:rsid w:val="00BB1D82"/>
    <w:rsid w:val="00BD36DD"/>
    <w:rsid w:val="00BE6007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2B62"/>
    <w:rsid w:val="00D66EAC"/>
    <w:rsid w:val="00D730DF"/>
    <w:rsid w:val="00D772F0"/>
    <w:rsid w:val="00D77BDC"/>
    <w:rsid w:val="00DC402B"/>
    <w:rsid w:val="00DD4C9C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D6D5E"/>
    <w:rsid w:val="00EF662E"/>
    <w:rsid w:val="00F00CAB"/>
    <w:rsid w:val="00F148F1"/>
    <w:rsid w:val="00FA3BBF"/>
    <w:rsid w:val="00FB4978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22E5B2D-8044-4545-AED6-6E0516D2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/>
    <DPM_x0020_Author xmlns="32a1a8c5-2265-4ebc-b7a0-2071e2c5c9bb" xsi:nil="false"/>
    <DPM_x0020_Version xmlns="32a1a8c5-2265-4ebc-b7a0-2071e2c5c9bb" xsi:nil="false"/>
    <_dlc_DocId xmlns="996b2e75-67fd-4955-a3b0-5ab9934cb50b" xsi:nil="true"/>
    <_dlc_DocIdUrl xmlns="996b2e75-67fd-4955-a3b0-5ab9934cb50b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E30E0E-EC5E-4BD0-8966-01C515D21DB2}">
  <ds:schemaRefs>
    <ds:schemaRef ds:uri="http://purl.org/dc/terms/"/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2065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R15-WRC15-C-0066!A23-A6!MSW-F</vt:lpstr>
    </vt:vector>
  </TitlesOfParts>
  <Manager>Secrétariat général - Pool</Manager>
  <Company>Union internationale des télécommunications (UIT)</Company>
  <LinksUpToDate>false</LinksUpToDate>
  <CharactersWithSpaces>2387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R15-WRC15-C-0066!A23-A6!MSW-F</dc:title>
  <dc:subject>Conférence mondiale des radiocommunications - 2015</dc:subject>
  <dc:creator>Documents Proposals Manager (DPM)</dc:creator>
  <cp:keywords>DPM_v5.2015.10.270_prod</cp:keywords>
  <dc:description/>
  <cp:lastModifiedBy>Germain, Catherine</cp:lastModifiedBy>
  <cp:revision>6</cp:revision>
  <cp:lastPrinted>2015-10-29T19:02:00Z</cp:lastPrinted>
  <dcterms:created xsi:type="dcterms:W3CDTF">2015-10-29T14:25:00Z</dcterms:created>
  <dcterms:modified xsi:type="dcterms:W3CDTF">2015-10-29T19:02:00Z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