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C14AE7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C14AE7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C14AE7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C14AE7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C14AE7" w:rsidRDefault="003E1608" w:rsidP="00D50D7F">
            <w:pPr>
              <w:pStyle w:val="Adress"/>
              <w:framePr w:hSpace="0" w:wrap="auto" w:xAlign="left" w:yAlign="inline"/>
              <w:rPr>
                <w:rtl/>
              </w:rPr>
            </w:pPr>
            <w:r w:rsidRPr="00C14AE7">
              <w:rPr>
                <w:rtl/>
              </w:rPr>
              <w:t xml:space="preserve">الإضافة </w:t>
            </w:r>
            <w:r w:rsidRPr="00C14AE7">
              <w:t>6</w:t>
            </w:r>
            <w:r w:rsidRPr="00C14AE7">
              <w:br/>
            </w:r>
            <w:r w:rsidRPr="00C14AE7">
              <w:rPr>
                <w:rtl/>
              </w:rPr>
              <w:t xml:space="preserve">للوثيقة </w:t>
            </w:r>
            <w:r w:rsidR="00D50D7F">
              <w:t>66(Add.23)-</w:t>
            </w:r>
            <w:bookmarkStart w:id="1" w:name="_GoBack"/>
            <w:bookmarkEnd w:id="1"/>
            <w:r w:rsidR="00C14AE7" w:rsidRPr="00C14AE7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C14AE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C14AE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C14AE7">
              <w:rPr>
                <w:rFonts w:eastAsia="SimSun"/>
              </w:rPr>
              <w:t>15</w:t>
            </w:r>
            <w:r w:rsidRPr="00C14AE7">
              <w:rPr>
                <w:rFonts w:eastAsia="SimSun"/>
                <w:rtl/>
              </w:rPr>
              <w:t xml:space="preserve"> أكتوبر </w:t>
            </w:r>
            <w:r w:rsidRPr="00C14AE7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C14AE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C14AE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14AE7">
              <w:rPr>
                <w:rFonts w:eastAsia="SimSun"/>
                <w:rtl/>
              </w:rPr>
              <w:t>الأصل: بالإسبانية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C14AE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كوبـا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14AE7" w:rsidP="00D44350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C14AE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C14AE7">
              <w:rPr>
                <w:rFonts w:hint="cs"/>
                <w:rtl/>
              </w:rPr>
              <w:t xml:space="preserve"> </w:t>
            </w:r>
            <w:r w:rsidR="00C14AE7">
              <w:t>(6.1.9)1.9</w:t>
            </w:r>
            <w:r w:rsidR="00C14AE7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534840" w:rsidRPr="00431196" w:rsidRDefault="000A4762" w:rsidP="0006635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0A4762" w:rsidP="00431196">
      <w:pPr>
        <w:rPr>
          <w:rFonts w:eastAsia="SimSun"/>
          <w:rtl/>
        </w:rPr>
      </w:pPr>
      <w:r w:rsidRPr="00431196">
        <w:rPr>
          <w:rFonts w:eastAsia="SimSun"/>
        </w:rPr>
        <w:t>1.9</w:t>
      </w:r>
      <w:r w:rsidRPr="00431196">
        <w:rPr>
          <w:rFonts w:eastAsia="SimSun" w:hint="cs"/>
          <w:rtl/>
        </w:rPr>
        <w:tab/>
        <w:t xml:space="preserve">بشأن أنشطة قطاع الاتصالات الراديوية منذ المؤتمر العالمي للاتصالات الراديوية لعام </w:t>
      </w:r>
      <w:r w:rsidRPr="00431196">
        <w:rPr>
          <w:rFonts w:eastAsia="SimSun"/>
        </w:rPr>
        <w:t>2012</w:t>
      </w:r>
      <w:r w:rsidRPr="00431196">
        <w:rPr>
          <w:rFonts w:eastAsia="SimSun" w:hint="cs"/>
          <w:rtl/>
        </w:rPr>
        <w:t>؛</w:t>
      </w:r>
    </w:p>
    <w:p w:rsidR="00534840" w:rsidRPr="00431196" w:rsidRDefault="000A4762" w:rsidP="00C2775E">
      <w:pPr>
        <w:rPr>
          <w:rFonts w:eastAsia="SimSun"/>
        </w:rPr>
      </w:pPr>
      <w:r w:rsidRPr="00431196">
        <w:rPr>
          <w:rFonts w:eastAsia="SimSun"/>
          <w:lang w:bidi="ar-SY"/>
        </w:rPr>
        <w:t xml:space="preserve"> (</w:t>
      </w:r>
      <w:r w:rsidRPr="00431196">
        <w:rPr>
          <w:rFonts w:eastAsia="SimSun"/>
        </w:rPr>
        <w:t>6.1.9</w:t>
      </w:r>
      <w:r w:rsidRPr="00431196">
        <w:rPr>
          <w:rFonts w:eastAsia="SimSun"/>
          <w:lang w:bidi="ar-SY"/>
        </w:rPr>
        <w:t>)1.9</w:t>
      </w:r>
      <w:r w:rsidRPr="00431196">
        <w:rPr>
          <w:rFonts w:eastAsia="SimSun"/>
          <w:rtl/>
        </w:rPr>
        <w:tab/>
      </w:r>
      <w:r w:rsidRPr="00431196">
        <w:rPr>
          <w:rFonts w:eastAsia="SimSun" w:hint="cs"/>
          <w:rtl/>
        </w:rPr>
        <w:t>القـرار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957 (WRC-12)</w:t>
      </w:r>
      <w:r w:rsidRPr="00431196">
        <w:rPr>
          <w:rFonts w:eastAsia="SimSun" w:hint="cs"/>
          <w:rtl/>
        </w:rPr>
        <w:t xml:space="preserve"> - إجراء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دراسات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بهدف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استعراض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تعاريف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الخدمة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والمحطة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الثابتة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والمحطة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 w:hint="cs"/>
          <w:rtl/>
        </w:rPr>
        <w:t>المتنقلة</w:t>
      </w:r>
    </w:p>
    <w:p w:rsidR="00F16602" w:rsidRDefault="00066359" w:rsidP="00066359">
      <w:pPr>
        <w:pStyle w:val="Heading1"/>
        <w:rPr>
          <w:rtl/>
        </w:rPr>
      </w:pPr>
      <w:r>
        <w:rPr>
          <w:rFonts w:hint="cs"/>
          <w:rtl/>
        </w:rPr>
        <w:t>مقدمة</w:t>
      </w:r>
    </w:p>
    <w:p w:rsidR="00066359" w:rsidRPr="00066359" w:rsidRDefault="00416956" w:rsidP="0041695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ينص </w:t>
      </w:r>
      <w:r w:rsidR="00066359" w:rsidRPr="00066359">
        <w:rPr>
          <w:rFonts w:hint="cs"/>
          <w:rtl/>
          <w:lang w:bidi="ar-EG"/>
        </w:rPr>
        <w:t xml:space="preserve">القـرار </w:t>
      </w:r>
      <w:r w:rsidR="00066359" w:rsidRPr="00066359">
        <w:rPr>
          <w:lang w:bidi="ar-EG"/>
        </w:rPr>
        <w:t>957 (WRC-12)</w:t>
      </w:r>
      <w:r w:rsidR="00066359">
        <w:rPr>
          <w:rFonts w:hint="cs"/>
          <w:rtl/>
          <w:lang w:bidi="ar-EG"/>
        </w:rPr>
        <w:t xml:space="preserve"> في </w:t>
      </w:r>
      <w:r w:rsidR="00066359" w:rsidRPr="00416956">
        <w:rPr>
          <w:rFonts w:hint="cs"/>
          <w:rtl/>
          <w:lang w:bidi="ar-EG"/>
        </w:rPr>
        <w:t>الفقرة</w:t>
      </w:r>
      <w:r w:rsidRPr="00416956">
        <w:rPr>
          <w:rFonts w:hint="cs"/>
          <w:rtl/>
          <w:lang w:bidi="ar-EG"/>
        </w:rPr>
        <w:t xml:space="preserve"> </w:t>
      </w:r>
      <w:r w:rsidRPr="00416956">
        <w:rPr>
          <w:rFonts w:hint="cs"/>
          <w:i/>
          <w:iCs/>
          <w:rtl/>
          <w:lang w:bidi="ar-EG"/>
        </w:rPr>
        <w:t>يقرر</w:t>
      </w:r>
      <w:r w:rsidR="00066359" w:rsidRPr="00416956">
        <w:rPr>
          <w:rFonts w:hint="cs"/>
          <w:rtl/>
          <w:lang w:bidi="ar-EG"/>
        </w:rPr>
        <w:t xml:space="preserve"> </w:t>
      </w:r>
      <w:r w:rsidR="00066359" w:rsidRPr="00416956">
        <w:rPr>
          <w:lang w:bidi="ar-EG"/>
        </w:rPr>
        <w:t>1</w:t>
      </w:r>
      <w:r>
        <w:rPr>
          <w:rFonts w:hint="cs"/>
          <w:rtl/>
          <w:lang w:bidi="ar-EG"/>
        </w:rPr>
        <w:t xml:space="preserve"> على أنه ينبغي أن يعاد النظر في تعاريف الخدمة الثابتة والمحطة الثابتة والمحطة المتنقلة الواردة في المادة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من أجل تعديل محتمل.</w:t>
      </w:r>
    </w:p>
    <w:p w:rsidR="00066359" w:rsidRDefault="00416956" w:rsidP="00826D6E">
      <w:pPr>
        <w:rPr>
          <w:lang w:bidi="ar-EG"/>
        </w:rPr>
      </w:pPr>
      <w:r>
        <w:rPr>
          <w:rFonts w:hint="cs"/>
          <w:rtl/>
          <w:lang w:bidi="ar-EG"/>
        </w:rPr>
        <w:t>وقد أجرت إدارة كوبا دراسة لهذه المسألة ولم تحدد صعوبات كامنة في تطبيق التعاريف الحالية الواردة في لوائح الراديو على عملية تخصيص ترددات للمحطات المتنوعة للخدم</w:t>
      </w:r>
      <w:r w:rsidR="00241A23">
        <w:rPr>
          <w:rFonts w:hint="cs"/>
          <w:rtl/>
          <w:lang w:bidi="ar-EG"/>
        </w:rPr>
        <w:t>تين</w:t>
      </w:r>
      <w:r>
        <w:rPr>
          <w:rFonts w:hint="cs"/>
          <w:rtl/>
          <w:lang w:bidi="ar-EG"/>
        </w:rPr>
        <w:t xml:space="preserve"> الثابتة والمتنقلة بموجب الإطار التنظيمي الحالي؛ كذلك لم تحدد </w:t>
      </w:r>
      <w:r w:rsidR="00241A23">
        <w:rPr>
          <w:rFonts w:hint="cs"/>
          <w:rtl/>
          <w:lang w:bidi="ar-EG"/>
        </w:rPr>
        <w:t>أي صعوبات في</w:t>
      </w:r>
      <w:r w:rsidR="00826D6E">
        <w:rPr>
          <w:rFonts w:hint="eastAsia"/>
          <w:rtl/>
          <w:lang w:bidi="ar-EG"/>
        </w:rPr>
        <w:t> </w:t>
      </w:r>
      <w:r w:rsidR="00241A23">
        <w:rPr>
          <w:rFonts w:hint="cs"/>
          <w:rtl/>
          <w:lang w:bidi="ar-EG"/>
        </w:rPr>
        <w:t>التبليغ عن المحطا</w:t>
      </w:r>
      <w:r w:rsidR="00826D6E">
        <w:rPr>
          <w:rFonts w:hint="cs"/>
          <w:rtl/>
          <w:lang w:bidi="ar-EG"/>
        </w:rPr>
        <w:t>ت الموضوعة تحت سلطتها وتسجيلها.</w:t>
      </w:r>
    </w:p>
    <w:p w:rsidR="00066359" w:rsidRDefault="00826D6E" w:rsidP="00241A23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="00241A23">
        <w:rPr>
          <w:rFonts w:hint="cs"/>
          <w:rtl/>
          <w:lang w:bidi="ar-EG"/>
        </w:rPr>
        <w:t xml:space="preserve">نتيجة لذلك تعتبر إدارة كوبا أنه لا ضرورة لتغيير التعاريف الحالية لمصطلحات "الخدمة الثابتة" و"المحطة الثابتة" و"المحطة المتنقلة"، وبالتالي فإنها تقدم المقترحات التالية للمؤتمر العالمي للاتصالات الراديوية لعام </w:t>
      </w:r>
      <w:r w:rsidR="00241A23">
        <w:rPr>
          <w:lang w:bidi="ar-EG"/>
        </w:rPr>
        <w:t>2015</w:t>
      </w:r>
      <w:r w:rsidR="00241A23">
        <w:rPr>
          <w:rFonts w:hint="cs"/>
          <w:rtl/>
          <w:lang w:bidi="ar-EG"/>
        </w:rPr>
        <w:t>.</w:t>
      </w:r>
    </w:p>
    <w:p w:rsidR="00066359" w:rsidRPr="00066359" w:rsidRDefault="00066359" w:rsidP="00066359">
      <w:pPr>
        <w:rPr>
          <w:lang w:bidi="ar-EG"/>
        </w:rPr>
      </w:pP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0A4762" w:rsidP="009F37C9">
      <w:pPr>
        <w:pStyle w:val="ArtNo"/>
        <w:spacing w:before="0"/>
        <w:rPr>
          <w:rtl/>
        </w:rPr>
      </w:pPr>
      <w:bookmarkStart w:id="2" w:name="_Toc331055722"/>
      <w:r>
        <w:rPr>
          <w:rtl/>
        </w:rPr>
        <w:lastRenderedPageBreak/>
        <w:t xml:space="preserve">المـادة </w:t>
      </w:r>
      <w:r w:rsidRPr="00C41504">
        <w:rPr>
          <w:rStyle w:val="href"/>
        </w:rPr>
        <w:t>1</w:t>
      </w:r>
      <w:bookmarkEnd w:id="2"/>
    </w:p>
    <w:p w:rsidR="009F37C9" w:rsidRPr="007C08E6" w:rsidRDefault="000A4762" w:rsidP="009F37C9">
      <w:pPr>
        <w:pStyle w:val="Arttitle"/>
        <w:rPr>
          <w:b w:val="0"/>
          <w:rtl/>
        </w:rPr>
      </w:pPr>
      <w:bookmarkStart w:id="3" w:name="_Toc331055723"/>
      <w:r w:rsidRPr="007C08E6">
        <w:rPr>
          <w:b w:val="0"/>
          <w:rtl/>
        </w:rPr>
        <w:t>مصطلحات وتعريفات</w:t>
      </w:r>
      <w:bookmarkEnd w:id="3"/>
    </w:p>
    <w:p w:rsidR="009F37C9" w:rsidRPr="00EE6A13" w:rsidRDefault="000A4762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III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الخدمات الراديوية</w:t>
      </w:r>
    </w:p>
    <w:p w:rsidR="00B851DA" w:rsidRDefault="000A4762">
      <w:pPr>
        <w:pStyle w:val="Proposal"/>
      </w:pPr>
      <w:r>
        <w:rPr>
          <w:u w:val="single"/>
        </w:rPr>
        <w:t>NOC</w:t>
      </w:r>
      <w:r>
        <w:tab/>
        <w:t>CUB/66A23A6/1</w:t>
      </w:r>
    </w:p>
    <w:p w:rsidR="009F37C9" w:rsidRDefault="00066359" w:rsidP="00120BBF">
      <w:pPr>
        <w:tabs>
          <w:tab w:val="clear" w:pos="1134"/>
          <w:tab w:val="left" w:pos="1417"/>
        </w:tabs>
        <w:rPr>
          <w:rtl/>
        </w:rPr>
      </w:pPr>
      <w:r>
        <w:rPr>
          <w:rStyle w:val="Artdef"/>
        </w:rPr>
        <w:t>20.1</w:t>
      </w:r>
      <w:r w:rsidR="000A4762">
        <w:rPr>
          <w:rFonts w:hint="cs"/>
          <w:rtl/>
        </w:rPr>
        <w:tab/>
      </w:r>
      <w:r w:rsidR="000A4762">
        <w:rPr>
          <w:rtl/>
        </w:rPr>
        <w:tab/>
      </w:r>
      <w:r w:rsidR="000A4762">
        <w:rPr>
          <w:i/>
          <w:iCs/>
          <w:rtl/>
        </w:rPr>
        <w:t>الخدمة الثابتة</w:t>
      </w:r>
      <w:r w:rsidR="000A4762">
        <w:rPr>
          <w:rtl/>
        </w:rPr>
        <w:t xml:space="preserve">:  هي خدمة </w:t>
      </w:r>
      <w:r w:rsidR="000A4762">
        <w:rPr>
          <w:i/>
          <w:iCs/>
          <w:rtl/>
        </w:rPr>
        <w:t>اتصالات راديوية</w:t>
      </w:r>
      <w:r w:rsidR="000A4762">
        <w:rPr>
          <w:rtl/>
        </w:rPr>
        <w:t xml:space="preserve"> بين نقاط ثابتة معينة.</w:t>
      </w:r>
    </w:p>
    <w:p w:rsidR="00B851DA" w:rsidRPr="00066359" w:rsidRDefault="000A4762" w:rsidP="00241A23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241A23">
        <w:rPr>
          <w:rFonts w:hint="cs"/>
          <w:b w:val="0"/>
          <w:bCs w:val="0"/>
          <w:rtl/>
          <w:lang w:bidi="ar-EG"/>
        </w:rPr>
        <w:t>ليس هناك حاجة محددة لتغيير هذا التعريف.</w:t>
      </w:r>
    </w:p>
    <w:p w:rsidR="009F37C9" w:rsidRPr="00EE6A13" w:rsidRDefault="000A4762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IV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المحطات والأنظمة الراديوية</w:t>
      </w:r>
    </w:p>
    <w:p w:rsidR="00B851DA" w:rsidRDefault="000A4762">
      <w:pPr>
        <w:pStyle w:val="Proposal"/>
      </w:pPr>
      <w:r>
        <w:rPr>
          <w:u w:val="single"/>
        </w:rPr>
        <w:t>NOC</w:t>
      </w:r>
      <w:r>
        <w:tab/>
        <w:t>CUB/66A23A6/2</w:t>
      </w:r>
    </w:p>
    <w:p w:rsidR="009F37C9" w:rsidRDefault="00066359" w:rsidP="00120BBF">
      <w:pPr>
        <w:tabs>
          <w:tab w:val="clear" w:pos="1134"/>
          <w:tab w:val="left" w:pos="1417"/>
        </w:tabs>
        <w:rPr>
          <w:rtl/>
        </w:rPr>
      </w:pPr>
      <w:r>
        <w:rPr>
          <w:rStyle w:val="Artdef"/>
        </w:rPr>
        <w:t>66.1</w:t>
      </w:r>
      <w:r w:rsidR="000A4762" w:rsidRPr="007A3994">
        <w:rPr>
          <w:rStyle w:val="Artdef"/>
          <w:rtl/>
        </w:rPr>
        <w:tab/>
      </w:r>
      <w:r w:rsidR="000A4762" w:rsidRPr="00120BBF">
        <w:rPr>
          <w:i/>
          <w:iCs/>
          <w:rtl/>
        </w:rPr>
        <w:tab/>
        <w:t>المحطة الثابتة</w:t>
      </w:r>
      <w:r w:rsidR="000A4762">
        <w:rPr>
          <w:rtl/>
        </w:rPr>
        <w:t xml:space="preserve">:  هي </w:t>
      </w:r>
      <w:r w:rsidR="000A4762" w:rsidRPr="00120BBF">
        <w:rPr>
          <w:i/>
          <w:iCs/>
          <w:rtl/>
        </w:rPr>
        <w:t>محطة</w:t>
      </w:r>
      <w:r w:rsidR="000A4762">
        <w:rPr>
          <w:rtl/>
        </w:rPr>
        <w:t xml:space="preserve"> في </w:t>
      </w:r>
      <w:r w:rsidR="000A4762" w:rsidRPr="00120BBF">
        <w:rPr>
          <w:i/>
          <w:iCs/>
          <w:rtl/>
        </w:rPr>
        <w:t>الخدمة الثابتة</w:t>
      </w:r>
      <w:r w:rsidR="000A4762">
        <w:rPr>
          <w:rtl/>
        </w:rPr>
        <w:t>.</w:t>
      </w:r>
    </w:p>
    <w:p w:rsidR="00B851DA" w:rsidRDefault="000A4762">
      <w:pPr>
        <w:pStyle w:val="Reasons"/>
      </w:pPr>
      <w:r>
        <w:rPr>
          <w:rtl/>
        </w:rPr>
        <w:t>الأسباب:</w:t>
      </w:r>
      <w:r>
        <w:tab/>
      </w:r>
      <w:r w:rsidR="00241A23">
        <w:rPr>
          <w:rFonts w:hint="cs"/>
          <w:b w:val="0"/>
          <w:bCs w:val="0"/>
          <w:rtl/>
          <w:lang w:bidi="ar-EG"/>
        </w:rPr>
        <w:t>ليس هناك حاجة محددة لتغيير هذا التعريف.</w:t>
      </w:r>
    </w:p>
    <w:p w:rsidR="00B851DA" w:rsidRDefault="000A4762">
      <w:pPr>
        <w:pStyle w:val="Proposal"/>
      </w:pPr>
      <w:r>
        <w:rPr>
          <w:u w:val="single"/>
        </w:rPr>
        <w:t>NOC</w:t>
      </w:r>
      <w:r>
        <w:tab/>
        <w:t>CUB/66A23A6/3</w:t>
      </w:r>
    </w:p>
    <w:p w:rsidR="009F37C9" w:rsidRDefault="000A4762" w:rsidP="00120BBF">
      <w:pPr>
        <w:tabs>
          <w:tab w:val="clear" w:pos="1134"/>
          <w:tab w:val="left" w:pos="1417"/>
        </w:tabs>
        <w:rPr>
          <w:rtl/>
        </w:rPr>
      </w:pPr>
      <w:r w:rsidRPr="00C81506">
        <w:rPr>
          <w:rStyle w:val="Artdef"/>
        </w:rPr>
        <w:t>67.1</w:t>
      </w:r>
      <w:r w:rsidRPr="007A3994">
        <w:rPr>
          <w:rStyle w:val="Artdef"/>
          <w:rtl/>
        </w:rPr>
        <w:tab/>
      </w:r>
      <w:r>
        <w:rPr>
          <w:rtl/>
        </w:rPr>
        <w:tab/>
      </w:r>
      <w:r>
        <w:rPr>
          <w:i/>
          <w:iCs/>
          <w:rtl/>
        </w:rPr>
        <w:t>المحطة المتنقلة</w:t>
      </w:r>
      <w:r>
        <w:rPr>
          <w:rtl/>
        </w:rPr>
        <w:t xml:space="preserve">:  هي </w:t>
      </w:r>
      <w:r>
        <w:rPr>
          <w:i/>
          <w:iCs/>
          <w:rtl/>
        </w:rPr>
        <w:t>محطة</w:t>
      </w:r>
      <w:r>
        <w:rPr>
          <w:rtl/>
        </w:rPr>
        <w:t xml:space="preserve"> في </w:t>
      </w:r>
      <w:r>
        <w:rPr>
          <w:i/>
          <w:iCs/>
          <w:rtl/>
        </w:rPr>
        <w:t xml:space="preserve">الخدمة المتنقلة </w:t>
      </w:r>
      <w:r>
        <w:rPr>
          <w:rtl/>
        </w:rPr>
        <w:t>معدة للاستعمال أثناء تحركها، أو أثناء توقفها في نقاط غير محددة.</w:t>
      </w:r>
    </w:p>
    <w:p w:rsidR="00B851DA" w:rsidRDefault="000A4762">
      <w:pPr>
        <w:pStyle w:val="Reasons"/>
        <w:rPr>
          <w:lang w:bidi="ar-EG"/>
        </w:rPr>
      </w:pPr>
      <w:r>
        <w:rPr>
          <w:rtl/>
        </w:rPr>
        <w:t>الأسباب:</w:t>
      </w:r>
      <w:r>
        <w:tab/>
      </w:r>
      <w:r w:rsidR="00120BBF">
        <w:rPr>
          <w:rFonts w:hint="cs"/>
          <w:b w:val="0"/>
          <w:bCs w:val="0"/>
          <w:rtl/>
          <w:lang w:bidi="ar-EG"/>
        </w:rPr>
        <w:t>ليس هناك حاجة محددة لتغيير هذا التعريف.</w:t>
      </w:r>
    </w:p>
    <w:p w:rsidR="00B851DA" w:rsidRDefault="000A4762">
      <w:pPr>
        <w:pStyle w:val="Proposal"/>
      </w:pPr>
      <w:r>
        <w:t>SUP</w:t>
      </w:r>
      <w:r>
        <w:tab/>
        <w:t>CUB/66A23A6/4</w:t>
      </w:r>
    </w:p>
    <w:p w:rsidR="00F26C6D" w:rsidRDefault="000A4762" w:rsidP="0092116E">
      <w:pPr>
        <w:pStyle w:val="ResNo"/>
        <w:rPr>
          <w:rtl/>
          <w:lang w:bidi="ar-SA"/>
        </w:rPr>
      </w:pPr>
      <w:bookmarkStart w:id="4" w:name="_Toc327956811"/>
      <w:r>
        <w:rPr>
          <w:rFonts w:hint="cs"/>
          <w:rtl/>
        </w:rPr>
        <w:t xml:space="preserve">القـرار </w:t>
      </w:r>
      <w:r w:rsidRPr="00E23BAD">
        <w:rPr>
          <w:rStyle w:val="href"/>
        </w:rPr>
        <w:t>957</w:t>
      </w:r>
      <w:r>
        <w:t> (WRC-12)</w:t>
      </w:r>
      <w:bookmarkEnd w:id="4"/>
    </w:p>
    <w:p w:rsidR="00F26C6D" w:rsidRDefault="000A4762" w:rsidP="00801E05">
      <w:pPr>
        <w:pStyle w:val="Restitle"/>
        <w:rPr>
          <w:rtl/>
          <w:lang w:bidi="ar-EG"/>
        </w:rPr>
      </w:pPr>
      <w:bookmarkStart w:id="5" w:name="_Toc327956812"/>
      <w:r>
        <w:rPr>
          <w:rFonts w:hint="cs"/>
          <w:rtl/>
          <w:lang w:bidi="ar-EG"/>
        </w:rPr>
        <w:t xml:space="preserve">إجراء دراسات بهدف استعراض تعاريف </w:t>
      </w:r>
      <w:r w:rsidRPr="00B76FE9">
        <w:rPr>
          <w:rFonts w:hint="cs"/>
          <w:i/>
          <w:iCs/>
          <w:rtl/>
          <w:lang w:bidi="ar-EG"/>
        </w:rPr>
        <w:t>الخدمة الثابتة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 xml:space="preserve">المحطة الثابتة </w:t>
      </w:r>
      <w:r>
        <w:rPr>
          <w:rFonts w:hint="cs"/>
          <w:rtl/>
          <w:lang w:bidi="ar-EG"/>
        </w:rPr>
        <w:t>و</w:t>
      </w:r>
      <w:r w:rsidRPr="00B76FE9">
        <w:rPr>
          <w:rFonts w:hint="cs"/>
          <w:i/>
          <w:iCs/>
          <w:rtl/>
          <w:lang w:bidi="ar-EG"/>
        </w:rPr>
        <w:t>المحطة المتنقلة</w:t>
      </w:r>
      <w:bookmarkEnd w:id="5"/>
    </w:p>
    <w:p w:rsidR="00B851DA" w:rsidRDefault="000A4762" w:rsidP="00801E05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20BBF">
        <w:rPr>
          <w:rFonts w:hint="cs"/>
          <w:rtl/>
          <w:lang w:bidi="ar-EG"/>
        </w:rPr>
        <w:t>ا</w:t>
      </w:r>
      <w:r w:rsidR="00EE403C">
        <w:rPr>
          <w:rFonts w:hint="cs"/>
          <w:b w:val="0"/>
          <w:bCs w:val="0"/>
          <w:rtl/>
          <w:lang w:bidi="ar-EG"/>
        </w:rPr>
        <w:t>ست</w:t>
      </w:r>
      <w:r w:rsidR="00801E05">
        <w:rPr>
          <w:rFonts w:hint="cs"/>
          <w:b w:val="0"/>
          <w:bCs w:val="0"/>
          <w:rtl/>
          <w:lang w:bidi="ar-EG"/>
        </w:rPr>
        <w:t>كملت الدراسات بالفعل.</w:t>
      </w:r>
    </w:p>
    <w:p w:rsidR="00E92ACA" w:rsidRPr="00E92ACA" w:rsidRDefault="00E92ACA" w:rsidP="009677B4">
      <w:pPr>
        <w:pStyle w:val="Reasons"/>
        <w:rPr>
          <w:rtl/>
          <w:lang w:bidi="ar-EG"/>
        </w:rPr>
      </w:pPr>
    </w:p>
    <w:p w:rsidR="000A4762" w:rsidRPr="000A4762" w:rsidRDefault="000A4762" w:rsidP="000A4762">
      <w:pPr>
        <w:spacing w:before="600"/>
        <w:jc w:val="center"/>
        <w:rPr>
          <w:lang w:bidi="ar-EG"/>
        </w:rPr>
      </w:pPr>
      <w:r>
        <w:rPr>
          <w:rtl/>
          <w:lang w:bidi="ar-EG"/>
        </w:rPr>
        <w:t>___________</w:t>
      </w:r>
    </w:p>
    <w:sectPr w:rsidR="000A4762" w:rsidRPr="000A476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A702D" w:rsidRDefault="00281F5F" w:rsidP="009677B4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2A702D">
      <w:instrText xml:space="preserve"> FILENAME \p \* MERGEFORMAT </w:instrText>
    </w:r>
    <w:r w:rsidRPr="00CB4300">
      <w:fldChar w:fldCharType="separate"/>
    </w:r>
    <w:r w:rsidR="009677B4">
      <w:rPr>
        <w:noProof/>
      </w:rPr>
      <w:t>P:\ARA\ITU-R\CONF-R\CMR15\000\066ADD23ADD06A.docx</w:t>
    </w:r>
    <w:r w:rsidRPr="00CB4300">
      <w:fldChar w:fldCharType="end"/>
    </w:r>
    <w:r w:rsidRPr="002A702D">
      <w:t xml:space="preserve">  (</w:t>
    </w:r>
    <w:r w:rsidR="009677B4">
      <w:t>388398</w:t>
    </w:r>
    <w:r w:rsidRPr="002A702D">
      <w:t>)</w:t>
    </w:r>
    <w:r w:rsidRPr="002A702D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50D7F">
      <w:rPr>
        <w:noProof/>
      </w:rPr>
      <w:t>01.11.15</w:t>
    </w:r>
    <w:r w:rsidRPr="00CB4300">
      <w:fldChar w:fldCharType="end"/>
    </w:r>
    <w:r w:rsidRPr="002A702D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E403C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A702D" w:rsidRDefault="00281F5F" w:rsidP="009677B4">
    <w:pPr>
      <w:pStyle w:val="Footer"/>
    </w:pPr>
    <w:r>
      <w:fldChar w:fldCharType="begin"/>
    </w:r>
    <w:r w:rsidRPr="002A702D">
      <w:instrText xml:space="preserve"> FILENAME \p \* MERGEFORMAT </w:instrText>
    </w:r>
    <w:r>
      <w:fldChar w:fldCharType="separate"/>
    </w:r>
    <w:r w:rsidR="009677B4">
      <w:rPr>
        <w:noProof/>
      </w:rPr>
      <w:t>P:\ARA\ITU-R\CONF-R\CMR15\000\066ADD23ADD06A.docx</w:t>
    </w:r>
    <w:r>
      <w:fldChar w:fldCharType="end"/>
    </w:r>
    <w:r w:rsidRPr="002A702D">
      <w:t xml:space="preserve">   (</w:t>
    </w:r>
    <w:r w:rsidR="009677B4">
      <w:t>388398</w:t>
    </w:r>
    <w:r w:rsidRPr="002A702D">
      <w:t>)</w:t>
    </w:r>
    <w:r w:rsidRPr="002A702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50D7F">
      <w:rPr>
        <w:noProof/>
      </w:rPr>
      <w:t>01.11.15</w:t>
    </w:r>
    <w:r w:rsidRPr="00B12661">
      <w:fldChar w:fldCharType="end"/>
    </w:r>
    <w:r w:rsidRPr="002A702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E403C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50D7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66(Add.23)(Add.6)-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6359"/>
    <w:rsid w:val="00075A3F"/>
    <w:rsid w:val="000A1B16"/>
    <w:rsid w:val="000A4762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0BB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41A23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02D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16956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1E05"/>
    <w:rsid w:val="00810482"/>
    <w:rsid w:val="00817568"/>
    <w:rsid w:val="008204AC"/>
    <w:rsid w:val="008261C2"/>
    <w:rsid w:val="00826D6E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A78AF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77B4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51DA"/>
    <w:rsid w:val="00B86C44"/>
    <w:rsid w:val="00B9727C"/>
    <w:rsid w:val="00BA610A"/>
    <w:rsid w:val="00BA7D44"/>
    <w:rsid w:val="00BD6EF3"/>
    <w:rsid w:val="00BE69C3"/>
    <w:rsid w:val="00C1165E"/>
    <w:rsid w:val="00C14AE7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0D7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2ACA"/>
    <w:rsid w:val="00EA1B76"/>
    <w:rsid w:val="00EA77D7"/>
    <w:rsid w:val="00EC09B9"/>
    <w:rsid w:val="00ED048C"/>
    <w:rsid w:val="00ED4B29"/>
    <w:rsid w:val="00EE403C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2E5778C-D67F-48A2-A390-1DF9428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R15-WRC15-C-0066!A23-A6!MSW-A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20CA6E-6085-4848-ACD3-4875C2D53C8E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96BB01-5E18-4A49-99B2-CF9B410D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1630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R15-WRC15-C-0066!A23-A6!MSW-A</vt:lpstr>
    </vt:vector>
  </TitlesOfParts>
  <Manager>General Secretariat - Pool</Manager>
  <Company>International Telecommunication Union (ITU)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R15-WRC15-C-0066!A23-A6!MSW-A</dc:title>
  <dc:creator>Documents Proposals Manager (DPM)</dc:creator>
  <cp:keywords>DPM_v5.2015.10.15_prod</cp:keywords>
  <cp:lastModifiedBy>Awad, Samy</cp:lastModifiedBy>
  <cp:revision>7</cp:revision>
  <cp:lastPrinted>2015-11-01T13:48:00Z</cp:lastPrinted>
  <dcterms:created xsi:type="dcterms:W3CDTF">2015-11-01T16:43:00Z</dcterms:created>
  <dcterms:modified xsi:type="dcterms:W3CDTF">2015-11-01T18:59:00Z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