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B36B29" w:rsidTr="0050008E">
        <w:trPr>
          <w:cantSplit/>
        </w:trPr>
        <w:tc>
          <w:tcPr>
            <w:tcW w:w="6911" w:type="dxa"/>
          </w:tcPr>
          <w:p w:rsidR="00BB1D82" w:rsidRPr="00B36B29" w:rsidRDefault="00851625" w:rsidP="00B36B29">
            <w:pPr>
              <w:spacing w:before="400" w:after="48"/>
              <w:rPr>
                <w:rFonts w:ascii="Verdana" w:hAnsi="Verdana"/>
                <w:b/>
                <w:bCs/>
                <w:sz w:val="20"/>
                <w:lang w:val="fr-CH"/>
              </w:rPr>
            </w:pPr>
            <w:r w:rsidRPr="00B36B29">
              <w:rPr>
                <w:rFonts w:ascii="Verdana" w:hAnsi="Verdana"/>
                <w:b/>
                <w:bCs/>
                <w:sz w:val="20"/>
                <w:lang w:val="fr-CH"/>
              </w:rPr>
              <w:t>Conférence mondiale des radiocommunications (CMR-15)</w:t>
            </w:r>
            <w:r w:rsidRPr="00B36B29">
              <w:rPr>
                <w:rFonts w:ascii="Verdana" w:hAnsi="Verdana"/>
                <w:b/>
                <w:bCs/>
                <w:sz w:val="20"/>
                <w:lang w:val="fr-CH"/>
              </w:rPr>
              <w:br/>
            </w:r>
            <w:r w:rsidRPr="00B36B29">
              <w:rPr>
                <w:rFonts w:ascii="Verdana" w:hAnsi="Verdana"/>
                <w:b/>
                <w:bCs/>
                <w:sz w:val="18"/>
                <w:szCs w:val="18"/>
                <w:lang w:val="fr-CH"/>
              </w:rPr>
              <w:t>Genève,</w:t>
            </w:r>
            <w:r w:rsidR="00E537FF" w:rsidRPr="00B36B29">
              <w:rPr>
                <w:rFonts w:ascii="Verdana" w:hAnsi="Verdana"/>
                <w:b/>
                <w:bCs/>
                <w:sz w:val="18"/>
                <w:szCs w:val="18"/>
                <w:lang w:val="fr-CH"/>
              </w:rPr>
              <w:t xml:space="preserve"> </w:t>
            </w:r>
            <w:r w:rsidRPr="00B36B29">
              <w:rPr>
                <w:rFonts w:ascii="Verdana" w:hAnsi="Verdana"/>
                <w:b/>
                <w:bCs/>
                <w:sz w:val="18"/>
                <w:szCs w:val="18"/>
                <w:lang w:val="fr-CH"/>
              </w:rPr>
              <w:t>2-27 novembre 2015</w:t>
            </w:r>
          </w:p>
        </w:tc>
        <w:tc>
          <w:tcPr>
            <w:tcW w:w="3120" w:type="dxa"/>
          </w:tcPr>
          <w:p w:rsidR="00BB1D82" w:rsidRPr="00B36B29" w:rsidRDefault="002C28A4" w:rsidP="00B36B29">
            <w:pPr>
              <w:spacing w:before="0"/>
              <w:jc w:val="right"/>
              <w:rPr>
                <w:lang w:val="en-US"/>
              </w:rPr>
            </w:pPr>
            <w:bookmarkStart w:id="0" w:name="ditulogo"/>
            <w:bookmarkEnd w:id="0"/>
            <w:r w:rsidRPr="00B36B29">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B36B29" w:rsidTr="0050008E">
        <w:trPr>
          <w:cantSplit/>
        </w:trPr>
        <w:tc>
          <w:tcPr>
            <w:tcW w:w="6911" w:type="dxa"/>
            <w:tcBorders>
              <w:bottom w:val="single" w:sz="12" w:space="0" w:color="auto"/>
            </w:tcBorders>
          </w:tcPr>
          <w:p w:rsidR="00BB1D82" w:rsidRPr="00B36B29" w:rsidRDefault="002C28A4" w:rsidP="00B36B29">
            <w:pPr>
              <w:spacing w:before="0" w:after="48"/>
              <w:rPr>
                <w:b/>
                <w:smallCaps/>
                <w:szCs w:val="24"/>
                <w:lang w:val="en-US"/>
              </w:rPr>
            </w:pPr>
            <w:bookmarkStart w:id="1" w:name="dhead"/>
            <w:r w:rsidRPr="00B36B29">
              <w:rPr>
                <w:rFonts w:ascii="Verdana" w:hAnsi="Verdana"/>
                <w:b/>
                <w:bCs/>
                <w:sz w:val="20"/>
              </w:rPr>
              <w:t>UNION INTERNATIONALE DES TÉLÉCOMMUNICATIONS</w:t>
            </w:r>
          </w:p>
        </w:tc>
        <w:tc>
          <w:tcPr>
            <w:tcW w:w="3120" w:type="dxa"/>
            <w:tcBorders>
              <w:bottom w:val="single" w:sz="12" w:space="0" w:color="auto"/>
            </w:tcBorders>
          </w:tcPr>
          <w:p w:rsidR="00BB1D82" w:rsidRPr="00B36B29" w:rsidRDefault="00BB1D82" w:rsidP="00B36B29">
            <w:pPr>
              <w:spacing w:before="0"/>
              <w:rPr>
                <w:rFonts w:ascii="Verdana" w:hAnsi="Verdana"/>
                <w:szCs w:val="24"/>
                <w:lang w:val="en-US"/>
              </w:rPr>
            </w:pPr>
          </w:p>
        </w:tc>
      </w:tr>
      <w:tr w:rsidR="00BB1D82" w:rsidRPr="00B36B29" w:rsidTr="00BB1D82">
        <w:trPr>
          <w:cantSplit/>
        </w:trPr>
        <w:tc>
          <w:tcPr>
            <w:tcW w:w="6911" w:type="dxa"/>
            <w:tcBorders>
              <w:top w:val="single" w:sz="12" w:space="0" w:color="auto"/>
            </w:tcBorders>
          </w:tcPr>
          <w:p w:rsidR="00BB1D82" w:rsidRPr="00B36B29" w:rsidRDefault="00BB1D82" w:rsidP="00B36B29">
            <w:pPr>
              <w:spacing w:before="0" w:after="48"/>
              <w:rPr>
                <w:rFonts w:ascii="Verdana" w:hAnsi="Verdana"/>
                <w:b/>
                <w:smallCaps/>
                <w:sz w:val="20"/>
                <w:lang w:val="en-US"/>
              </w:rPr>
            </w:pPr>
          </w:p>
        </w:tc>
        <w:tc>
          <w:tcPr>
            <w:tcW w:w="3120" w:type="dxa"/>
            <w:tcBorders>
              <w:top w:val="single" w:sz="12" w:space="0" w:color="auto"/>
            </w:tcBorders>
          </w:tcPr>
          <w:p w:rsidR="00BB1D82" w:rsidRPr="00B36B29" w:rsidRDefault="00BB1D82" w:rsidP="00B36B29">
            <w:pPr>
              <w:spacing w:before="0"/>
              <w:rPr>
                <w:rFonts w:ascii="Verdana" w:hAnsi="Verdana"/>
                <w:sz w:val="20"/>
                <w:lang w:val="en-US"/>
              </w:rPr>
            </w:pPr>
          </w:p>
        </w:tc>
      </w:tr>
      <w:tr w:rsidR="00BB1D82" w:rsidRPr="00B36B29" w:rsidTr="00BB1D82">
        <w:trPr>
          <w:cantSplit/>
        </w:trPr>
        <w:tc>
          <w:tcPr>
            <w:tcW w:w="6911" w:type="dxa"/>
            <w:shd w:val="clear" w:color="auto" w:fill="auto"/>
          </w:tcPr>
          <w:p w:rsidR="00BB1D82" w:rsidRPr="00B36B29" w:rsidRDefault="00BB1D82" w:rsidP="00B36B29">
            <w:pPr>
              <w:spacing w:before="0"/>
              <w:rPr>
                <w:rFonts w:ascii="Verdana" w:hAnsi="Verdana"/>
                <w:b/>
                <w:sz w:val="20"/>
                <w:lang w:val="en-US"/>
              </w:rPr>
            </w:pPr>
          </w:p>
        </w:tc>
        <w:tc>
          <w:tcPr>
            <w:tcW w:w="3120" w:type="dxa"/>
            <w:shd w:val="clear" w:color="auto" w:fill="auto"/>
          </w:tcPr>
          <w:p w:rsidR="00BB1D82" w:rsidRPr="00B36B29" w:rsidRDefault="006D4724" w:rsidP="00B36B29">
            <w:pPr>
              <w:spacing w:before="0"/>
              <w:rPr>
                <w:rFonts w:ascii="Verdana" w:hAnsi="Verdana"/>
                <w:sz w:val="20"/>
                <w:lang w:val="fr-CH"/>
              </w:rPr>
            </w:pPr>
            <w:r w:rsidRPr="00B36B29">
              <w:rPr>
                <w:rFonts w:ascii="Verdana" w:eastAsia="SimSun" w:hAnsi="Verdana" w:cs="Traditional Arabic"/>
                <w:b/>
                <w:sz w:val="20"/>
                <w:lang w:val="fr-CH"/>
              </w:rPr>
              <w:t>Addendum 1 au</w:t>
            </w:r>
            <w:r w:rsidRPr="00B36B29">
              <w:rPr>
                <w:rFonts w:ascii="Verdana" w:eastAsia="SimSun" w:hAnsi="Verdana" w:cs="Traditional Arabic"/>
                <w:b/>
                <w:sz w:val="20"/>
                <w:lang w:val="fr-CH"/>
              </w:rPr>
              <w:br/>
              <w:t>Document 62(Add.9)</w:t>
            </w:r>
            <w:r w:rsidR="00BB1D82" w:rsidRPr="00B36B29">
              <w:rPr>
                <w:rFonts w:ascii="Verdana" w:hAnsi="Verdana"/>
                <w:b/>
                <w:sz w:val="20"/>
                <w:lang w:val="fr-CH"/>
              </w:rPr>
              <w:t>-</w:t>
            </w:r>
            <w:r w:rsidRPr="00B36B29">
              <w:rPr>
                <w:rFonts w:ascii="Verdana" w:hAnsi="Verdana"/>
                <w:b/>
                <w:sz w:val="20"/>
                <w:lang w:val="fr-CH"/>
              </w:rPr>
              <w:t>F</w:t>
            </w:r>
          </w:p>
        </w:tc>
      </w:tr>
      <w:bookmarkEnd w:id="1"/>
      <w:tr w:rsidR="00690C7B" w:rsidRPr="00B36B29" w:rsidTr="00BB1D82">
        <w:trPr>
          <w:cantSplit/>
        </w:trPr>
        <w:tc>
          <w:tcPr>
            <w:tcW w:w="6911" w:type="dxa"/>
            <w:shd w:val="clear" w:color="auto" w:fill="auto"/>
          </w:tcPr>
          <w:p w:rsidR="00690C7B" w:rsidRPr="00B36B29" w:rsidRDefault="00690C7B" w:rsidP="00B36B29">
            <w:pPr>
              <w:spacing w:before="0"/>
              <w:rPr>
                <w:rFonts w:ascii="Verdana" w:hAnsi="Verdana"/>
                <w:b/>
                <w:sz w:val="20"/>
                <w:lang w:val="fr-CH"/>
              </w:rPr>
            </w:pPr>
          </w:p>
        </w:tc>
        <w:tc>
          <w:tcPr>
            <w:tcW w:w="3120" w:type="dxa"/>
            <w:shd w:val="clear" w:color="auto" w:fill="auto"/>
          </w:tcPr>
          <w:p w:rsidR="00690C7B" w:rsidRPr="00B36B29" w:rsidRDefault="00690C7B" w:rsidP="00B36B29">
            <w:pPr>
              <w:spacing w:before="0"/>
              <w:rPr>
                <w:rFonts w:ascii="Verdana" w:hAnsi="Verdana"/>
                <w:b/>
                <w:sz w:val="20"/>
                <w:lang w:val="en-US"/>
              </w:rPr>
            </w:pPr>
            <w:r w:rsidRPr="00B36B29">
              <w:rPr>
                <w:rFonts w:ascii="Verdana" w:hAnsi="Verdana"/>
                <w:b/>
                <w:sz w:val="20"/>
                <w:lang w:val="en-US"/>
              </w:rPr>
              <w:t>16 octobre 2015</w:t>
            </w:r>
          </w:p>
        </w:tc>
      </w:tr>
      <w:tr w:rsidR="00690C7B" w:rsidRPr="00B36B29" w:rsidTr="00BB1D82">
        <w:trPr>
          <w:cantSplit/>
        </w:trPr>
        <w:tc>
          <w:tcPr>
            <w:tcW w:w="6911" w:type="dxa"/>
          </w:tcPr>
          <w:p w:rsidR="00690C7B" w:rsidRPr="00B36B29" w:rsidRDefault="00690C7B" w:rsidP="00B36B29">
            <w:pPr>
              <w:spacing w:before="0" w:after="48"/>
              <w:rPr>
                <w:rFonts w:ascii="Verdana" w:hAnsi="Verdana"/>
                <w:b/>
                <w:smallCaps/>
                <w:sz w:val="20"/>
                <w:lang w:val="en-US"/>
              </w:rPr>
            </w:pPr>
          </w:p>
        </w:tc>
        <w:tc>
          <w:tcPr>
            <w:tcW w:w="3120" w:type="dxa"/>
          </w:tcPr>
          <w:p w:rsidR="00690C7B" w:rsidRPr="00B36B29" w:rsidRDefault="00690C7B" w:rsidP="00B36B29">
            <w:pPr>
              <w:spacing w:before="0"/>
              <w:rPr>
                <w:rFonts w:ascii="Verdana" w:hAnsi="Verdana"/>
                <w:b/>
                <w:sz w:val="20"/>
                <w:lang w:val="en-US"/>
              </w:rPr>
            </w:pPr>
            <w:r w:rsidRPr="00B36B29">
              <w:rPr>
                <w:rFonts w:ascii="Verdana" w:hAnsi="Verdana"/>
                <w:b/>
                <w:sz w:val="20"/>
                <w:lang w:val="en-US"/>
              </w:rPr>
              <w:t>Original: chinois</w:t>
            </w:r>
          </w:p>
        </w:tc>
      </w:tr>
      <w:tr w:rsidR="00690C7B" w:rsidRPr="00B36B29" w:rsidTr="00C11970">
        <w:trPr>
          <w:cantSplit/>
        </w:trPr>
        <w:tc>
          <w:tcPr>
            <w:tcW w:w="10031" w:type="dxa"/>
            <w:gridSpan w:val="2"/>
          </w:tcPr>
          <w:p w:rsidR="00690C7B" w:rsidRPr="00B36B29" w:rsidRDefault="00690C7B" w:rsidP="00B36B29">
            <w:pPr>
              <w:spacing w:before="0"/>
              <w:rPr>
                <w:rFonts w:ascii="Verdana" w:hAnsi="Verdana"/>
                <w:b/>
                <w:sz w:val="20"/>
                <w:lang w:val="en-US"/>
              </w:rPr>
            </w:pPr>
          </w:p>
        </w:tc>
      </w:tr>
      <w:tr w:rsidR="00690C7B" w:rsidRPr="00B36B29" w:rsidTr="0050008E">
        <w:trPr>
          <w:cantSplit/>
        </w:trPr>
        <w:tc>
          <w:tcPr>
            <w:tcW w:w="10031" w:type="dxa"/>
            <w:gridSpan w:val="2"/>
          </w:tcPr>
          <w:p w:rsidR="00690C7B" w:rsidRPr="00B36B29" w:rsidRDefault="00690C7B" w:rsidP="00B36B29">
            <w:pPr>
              <w:pStyle w:val="Source"/>
              <w:rPr>
                <w:lang w:val="en-US"/>
              </w:rPr>
            </w:pPr>
            <w:bookmarkStart w:id="2" w:name="dsource" w:colFirst="0" w:colLast="0"/>
            <w:r w:rsidRPr="00B36B29">
              <w:rPr>
                <w:lang w:val="en-US"/>
              </w:rPr>
              <w:t>Chine (République populaire de)</w:t>
            </w:r>
          </w:p>
        </w:tc>
      </w:tr>
      <w:tr w:rsidR="00690C7B" w:rsidRPr="00B36B29" w:rsidTr="0050008E">
        <w:trPr>
          <w:cantSplit/>
        </w:trPr>
        <w:tc>
          <w:tcPr>
            <w:tcW w:w="10031" w:type="dxa"/>
            <w:gridSpan w:val="2"/>
          </w:tcPr>
          <w:p w:rsidR="00690C7B" w:rsidRPr="00B36B29" w:rsidRDefault="001F6561" w:rsidP="00B36B29">
            <w:pPr>
              <w:pStyle w:val="Title1"/>
              <w:rPr>
                <w:lang w:val="fr-CH"/>
              </w:rPr>
            </w:pPr>
            <w:bookmarkStart w:id="3" w:name="dtitle1" w:colFirst="0" w:colLast="0"/>
            <w:bookmarkEnd w:id="2"/>
            <w:r w:rsidRPr="00B36B29">
              <w:rPr>
                <w:lang w:val="fr-CH"/>
              </w:rPr>
              <w:t>propositions pour les travaux de la conférence</w:t>
            </w:r>
          </w:p>
        </w:tc>
      </w:tr>
      <w:tr w:rsidR="00690C7B" w:rsidRPr="00B36B29" w:rsidTr="0050008E">
        <w:trPr>
          <w:cantSplit/>
        </w:trPr>
        <w:tc>
          <w:tcPr>
            <w:tcW w:w="10031" w:type="dxa"/>
            <w:gridSpan w:val="2"/>
          </w:tcPr>
          <w:p w:rsidR="00690C7B" w:rsidRPr="00B36B29" w:rsidRDefault="00690C7B" w:rsidP="00B36B29">
            <w:pPr>
              <w:pStyle w:val="Title2"/>
              <w:rPr>
                <w:lang w:val="fr-CH"/>
              </w:rPr>
            </w:pPr>
            <w:bookmarkStart w:id="4" w:name="dtitle2" w:colFirst="0" w:colLast="0"/>
            <w:bookmarkEnd w:id="3"/>
          </w:p>
        </w:tc>
      </w:tr>
      <w:tr w:rsidR="00690C7B" w:rsidRPr="00B36B29" w:rsidTr="0050008E">
        <w:trPr>
          <w:cantSplit/>
        </w:trPr>
        <w:tc>
          <w:tcPr>
            <w:tcW w:w="10031" w:type="dxa"/>
            <w:gridSpan w:val="2"/>
          </w:tcPr>
          <w:p w:rsidR="00690C7B" w:rsidRPr="00B36B29" w:rsidRDefault="00690C7B" w:rsidP="00B36B29">
            <w:pPr>
              <w:pStyle w:val="Agendaitem"/>
            </w:pPr>
            <w:bookmarkStart w:id="5" w:name="dtitle3" w:colFirst="0" w:colLast="0"/>
            <w:bookmarkEnd w:id="4"/>
            <w:r w:rsidRPr="00B36B29">
              <w:t>Point 1.9.1 de l'ordre du jour</w:t>
            </w:r>
          </w:p>
        </w:tc>
      </w:tr>
    </w:tbl>
    <w:bookmarkEnd w:id="5"/>
    <w:p w:rsidR="001C0E40" w:rsidRPr="00B36B29" w:rsidRDefault="00A1109C" w:rsidP="00B36B29">
      <w:r w:rsidRPr="00B36B29">
        <w:t>1.9</w:t>
      </w:r>
      <w:r w:rsidRPr="00B36B29">
        <w:tab/>
        <w:t>examiner, conformément à la Résolution </w:t>
      </w:r>
      <w:r w:rsidRPr="00B36B29">
        <w:rPr>
          <w:b/>
          <w:bCs/>
        </w:rPr>
        <w:t>758 (CMR-12)</w:t>
      </w:r>
      <w:r w:rsidRPr="00B36B29">
        <w:t>:</w:t>
      </w:r>
    </w:p>
    <w:p w:rsidR="001C0E40" w:rsidRPr="00B36B29" w:rsidRDefault="00A1109C" w:rsidP="00B36B29">
      <w:pPr>
        <w:rPr>
          <w:lang w:val="fr-CA"/>
        </w:rPr>
      </w:pPr>
      <w:r w:rsidRPr="00B36B29">
        <w:rPr>
          <w:lang w:val="fr-CA"/>
        </w:rPr>
        <w:t>1.9.1</w:t>
      </w:r>
      <w:r w:rsidRPr="00B36B29">
        <w:rPr>
          <w:lang w:val="fr-CA"/>
        </w:rPr>
        <w:tab/>
        <w:t>la possibilité de faire de nouvelles attributions au service fixe par satellite dans les bandes de fréquences 7 150-7 250 MHz (espace vers Terre) et 8 400-8 500 MHz (Terre vers espace), à condition de prévoir des conditions de partage appropriées;</w:t>
      </w:r>
    </w:p>
    <w:p w:rsidR="003A583E" w:rsidRPr="00B36B29" w:rsidRDefault="001F6561" w:rsidP="00B36B29">
      <w:pPr>
        <w:pStyle w:val="Headingb"/>
      </w:pPr>
      <w:r w:rsidRPr="00B36B29">
        <w:t>Introduction</w:t>
      </w:r>
    </w:p>
    <w:p w:rsidR="001F6561" w:rsidRPr="00B36B29" w:rsidRDefault="00830FDC" w:rsidP="005478F5">
      <w:pPr>
        <w:rPr>
          <w:lang w:eastAsia="ko-KR"/>
        </w:rPr>
      </w:pPr>
      <w:r w:rsidRPr="00B36B29">
        <w:rPr>
          <w:lang w:eastAsia="ko-KR"/>
        </w:rPr>
        <w:t>Les bandes de fréquences 7 250-7 750 MHz (espace vers Terre) et 7 900-8 400 MHz (Terre vers espace) sont attribuées à l'échelle mondiale au service fixe par satellite (SFS)</w:t>
      </w:r>
      <w:r w:rsidR="001F6561" w:rsidRPr="00B36B29">
        <w:rPr>
          <w:rFonts w:hint="eastAsia"/>
          <w:lang w:eastAsia="ko-KR"/>
        </w:rPr>
        <w:t xml:space="preserve">. </w:t>
      </w:r>
      <w:r w:rsidRPr="00B36B29">
        <w:rPr>
          <w:lang w:eastAsia="ko-KR"/>
        </w:rPr>
        <w:t>Considérant que certaines administrations ont indiqué que la quantité de spectre disponible pour leurs applications du SFS actuelles ou futures était insuffisante, et que, selon les estimations, les besoins de largeur de bande supplémentaires pour la transmission des données sur les satellites de prochaine génération sont de l'ordre de 100 MHz au plus, la CMR-12 a adopté la Résolution 758 (CMR-12) qui porte sur la possibilité d'étendre les attributions actuelles au SFS aux bandes 7 150-7 250 MHz (espace vers Terre) et 8 400-8 500 MHz (Terre vers espace) au titre du point 1.9.1 de l'ordre du jour de la CMR</w:t>
      </w:r>
      <w:r w:rsidR="005478F5">
        <w:rPr>
          <w:lang w:eastAsia="ko-KR"/>
        </w:rPr>
        <w:noBreakHyphen/>
      </w:r>
      <w:r w:rsidRPr="00B36B29">
        <w:rPr>
          <w:lang w:eastAsia="ko-KR"/>
        </w:rPr>
        <w:t>15</w:t>
      </w:r>
      <w:r w:rsidR="001F6561" w:rsidRPr="00B36B29">
        <w:rPr>
          <w:rFonts w:hint="eastAsia"/>
          <w:lang w:eastAsia="ko-KR"/>
        </w:rPr>
        <w:t>.</w:t>
      </w:r>
    </w:p>
    <w:p w:rsidR="001F6561" w:rsidRPr="00B36B29" w:rsidRDefault="00830FDC" w:rsidP="00B36B29">
      <w:pPr>
        <w:rPr>
          <w:lang w:eastAsia="ko-KR"/>
        </w:rPr>
      </w:pPr>
      <w:r w:rsidRPr="00B36B29">
        <w:rPr>
          <w:lang w:eastAsia="ko-KR"/>
        </w:rPr>
        <w:t>Sur la base du texte de la RPC rédigé par le groupe chargé de l'étude (GT 4A de l'UIT-R), la RPC15-2 a élaboré la partie du Rapport de la RPC relative au point 1.9.1 de l'ordre du jour de la CMR-15</w:t>
      </w:r>
      <w:r w:rsidR="001F6561" w:rsidRPr="00B36B29">
        <w:rPr>
          <w:rFonts w:hint="eastAsia"/>
          <w:lang w:eastAsia="ko-KR"/>
        </w:rPr>
        <w:t xml:space="preserve">. </w:t>
      </w:r>
      <w:r w:rsidRPr="00B36B29">
        <w:rPr>
          <w:lang w:eastAsia="ko-KR"/>
        </w:rPr>
        <w:t>Trois méthodes sont proposées pour traiter ce point de l'ordre du jour</w:t>
      </w:r>
      <w:r w:rsidR="001F6561" w:rsidRPr="00B36B29">
        <w:rPr>
          <w:lang w:eastAsia="ko-KR"/>
        </w:rPr>
        <w:t>:</w:t>
      </w:r>
    </w:p>
    <w:p w:rsidR="001F6561" w:rsidRPr="00B36B29" w:rsidRDefault="00830FDC" w:rsidP="00B36B29">
      <w:pPr>
        <w:pStyle w:val="enumlev1"/>
        <w:rPr>
          <w:lang w:eastAsia="ko-KR"/>
        </w:rPr>
      </w:pPr>
      <w:r w:rsidRPr="00B36B29">
        <w:rPr>
          <w:lang w:eastAsia="ko-KR"/>
        </w:rPr>
        <w:t>•</w:t>
      </w:r>
      <w:r w:rsidRPr="00B36B29">
        <w:rPr>
          <w:lang w:eastAsia="ko-KR"/>
        </w:rPr>
        <w:tab/>
        <w:t>Mé</w:t>
      </w:r>
      <w:r w:rsidR="001F6561" w:rsidRPr="00B36B29">
        <w:rPr>
          <w:lang w:eastAsia="ko-KR"/>
        </w:rPr>
        <w:t>thod</w:t>
      </w:r>
      <w:r w:rsidRPr="00B36B29">
        <w:rPr>
          <w:lang w:eastAsia="ko-KR"/>
        </w:rPr>
        <w:t>e</w:t>
      </w:r>
      <w:r w:rsidR="001F6561" w:rsidRPr="00B36B29">
        <w:rPr>
          <w:lang w:eastAsia="ko-KR"/>
        </w:rPr>
        <w:t xml:space="preserve"> A: </w:t>
      </w:r>
      <w:r w:rsidRPr="00B36B29">
        <w:rPr>
          <w:lang w:eastAsia="ko-KR"/>
        </w:rPr>
        <w:t>Nouvelles attributions à l’échelle mondiale au SFS, à titre primaire, dans les bandes 7 150-7 250 MHz (espace vers Terre) et 8 400-8 500 MHz (Terre vers espace), dans certaines conditions (voir la Section 4.1/1.9.1/5.1 du Rapport de la RPC</w:t>
      </w:r>
      <w:r w:rsidR="001F6561" w:rsidRPr="00B36B29">
        <w:rPr>
          <w:rFonts w:eastAsiaTheme="minorEastAsia" w:hint="eastAsia"/>
          <w:lang w:eastAsia="ko-KR"/>
        </w:rPr>
        <w:t>)</w:t>
      </w:r>
      <w:r w:rsidR="001F6561" w:rsidRPr="00B36B29">
        <w:rPr>
          <w:lang w:eastAsia="ko-KR"/>
        </w:rPr>
        <w:t>;</w:t>
      </w:r>
    </w:p>
    <w:p w:rsidR="001F6561" w:rsidRPr="00B36B29" w:rsidRDefault="00830FDC" w:rsidP="00B36B29">
      <w:pPr>
        <w:pStyle w:val="enumlev1"/>
        <w:rPr>
          <w:lang w:eastAsia="ko-KR"/>
        </w:rPr>
      </w:pPr>
      <w:r w:rsidRPr="00B36B29">
        <w:rPr>
          <w:lang w:eastAsia="ko-KR"/>
        </w:rPr>
        <w:t>•</w:t>
      </w:r>
      <w:r w:rsidRPr="00B36B29">
        <w:rPr>
          <w:lang w:eastAsia="ko-KR"/>
        </w:rPr>
        <w:tab/>
        <w:t>Mé</w:t>
      </w:r>
      <w:r w:rsidR="001F6561" w:rsidRPr="00B36B29">
        <w:rPr>
          <w:lang w:eastAsia="ko-KR"/>
        </w:rPr>
        <w:t>thod</w:t>
      </w:r>
      <w:r w:rsidRPr="00B36B29">
        <w:rPr>
          <w:lang w:eastAsia="ko-KR"/>
        </w:rPr>
        <w:t>e</w:t>
      </w:r>
      <w:r w:rsidR="001F6561" w:rsidRPr="00B36B29">
        <w:rPr>
          <w:lang w:eastAsia="ko-KR"/>
        </w:rPr>
        <w:t xml:space="preserve"> B: </w:t>
      </w:r>
      <w:r w:rsidRPr="00B36B29">
        <w:rPr>
          <w:lang w:eastAsia="ko-KR"/>
        </w:rPr>
        <w:t>Nouvelles attributions à l’échelle mondiale au SFS, à titre primaire, dans les bandes 7 190-7 250 MHz (espace vers Terre) et 8 400-8 500 MHz (Terre vers espace), dans certaines conditions (voir la Section 4.1/1.9.1/5.2 du Rapport de la RPC)</w:t>
      </w:r>
      <w:r w:rsidR="001F6561" w:rsidRPr="00B36B29">
        <w:rPr>
          <w:lang w:eastAsia="ko-KR"/>
        </w:rPr>
        <w:t>;</w:t>
      </w:r>
    </w:p>
    <w:p w:rsidR="001F6561" w:rsidRPr="00B36B29" w:rsidRDefault="001F6561" w:rsidP="00B36B29">
      <w:pPr>
        <w:pStyle w:val="enumlev1"/>
      </w:pPr>
      <w:r w:rsidRPr="00B36B29">
        <w:rPr>
          <w:lang w:eastAsia="ko-KR"/>
        </w:rPr>
        <w:t>•</w:t>
      </w:r>
      <w:r w:rsidRPr="00B36B29">
        <w:rPr>
          <w:lang w:eastAsia="ko-KR"/>
        </w:rPr>
        <w:tab/>
      </w:r>
      <w:r w:rsidR="00830FDC" w:rsidRPr="00B36B29">
        <w:rPr>
          <w:rFonts w:hint="eastAsia"/>
          <w:lang w:eastAsia="ko-KR"/>
        </w:rPr>
        <w:t>M</w:t>
      </w:r>
      <w:r w:rsidR="00830FDC" w:rsidRPr="00B36B29">
        <w:rPr>
          <w:lang w:eastAsia="ko-KR"/>
        </w:rPr>
        <w:t>é</w:t>
      </w:r>
      <w:r w:rsidRPr="00B36B29">
        <w:rPr>
          <w:rFonts w:hint="eastAsia"/>
          <w:lang w:eastAsia="ko-KR"/>
        </w:rPr>
        <w:t>thod</w:t>
      </w:r>
      <w:r w:rsidR="00830FDC" w:rsidRPr="00B36B29">
        <w:rPr>
          <w:lang w:eastAsia="ko-KR"/>
        </w:rPr>
        <w:t>e</w:t>
      </w:r>
      <w:r w:rsidRPr="00B36B29">
        <w:rPr>
          <w:rFonts w:hint="eastAsia"/>
          <w:lang w:eastAsia="ko-KR"/>
        </w:rPr>
        <w:t xml:space="preserve"> C: </w:t>
      </w:r>
      <w:r w:rsidR="00830FDC" w:rsidRPr="00B36B29">
        <w:rPr>
          <w:lang w:eastAsia="ko-KR"/>
        </w:rPr>
        <w:t>Pas de nouvelles attributions au SFS (voir la Section 4.1/1.9.1/5.3 du Rapport de la RPC</w:t>
      </w:r>
      <w:r w:rsidRPr="00B36B29">
        <w:rPr>
          <w:lang w:eastAsia="ko-KR"/>
        </w:rPr>
        <w:t>)</w:t>
      </w:r>
      <w:r w:rsidRPr="00B36B29">
        <w:t>.</w:t>
      </w:r>
    </w:p>
    <w:p w:rsidR="001F6561" w:rsidRPr="00B36B29" w:rsidRDefault="00830FDC" w:rsidP="00B36B29">
      <w:pPr>
        <w:rPr>
          <w:lang w:eastAsia="zh-CN"/>
        </w:rPr>
      </w:pPr>
      <w:r w:rsidRPr="00B36B29">
        <w:rPr>
          <w:lang w:eastAsia="ko-KR"/>
        </w:rPr>
        <w:lastRenderedPageBreak/>
        <w:t>Cela étant, l'avant-projet de nouveau Rapport UIT-R.S[FSS 7/8 GHz COMPATIBILITY] , dans lequel figurent les résultats des études de compatibilité du partage du SFS avec les services de Terre et les autres services spatiaux dans les bandes 7/8 GHz, n'a pas été achevé pendant le présent cycle d'étude</w:t>
      </w:r>
      <w:r w:rsidR="001F6561" w:rsidRPr="00B36B29">
        <w:t>.</w:t>
      </w:r>
    </w:p>
    <w:p w:rsidR="005478F5" w:rsidRDefault="004577E6" w:rsidP="005478F5">
      <w:pPr>
        <w:rPr>
          <w:lang w:val="fr-CH"/>
        </w:rPr>
      </w:pPr>
      <w:r w:rsidRPr="00B36B29">
        <w:rPr>
          <w:lang w:val="fr-CH"/>
        </w:rPr>
        <w:t xml:space="preserve">Au vu des études de l'UIT dont les résultats montrent qu'il est apparemment impossible de garantir la compatibilité avec les services existants et d'en assurer la protection, la Chine est opposée à l'attribution des bandes de fréquences </w:t>
      </w:r>
      <w:r w:rsidR="001F6561" w:rsidRPr="00B36B29">
        <w:rPr>
          <w:lang w:val="fr-CH"/>
        </w:rPr>
        <w:t xml:space="preserve">7 </w:t>
      </w:r>
      <w:r w:rsidRPr="00B36B29">
        <w:rPr>
          <w:lang w:val="fr-CH"/>
        </w:rPr>
        <w:t>1</w:t>
      </w:r>
      <w:r w:rsidR="001F6561" w:rsidRPr="00B36B29">
        <w:rPr>
          <w:lang w:val="fr-CH"/>
        </w:rPr>
        <w:t xml:space="preserve">50-7 </w:t>
      </w:r>
      <w:r w:rsidRPr="00B36B29">
        <w:rPr>
          <w:lang w:val="fr-CH"/>
        </w:rPr>
        <w:t>2</w:t>
      </w:r>
      <w:r w:rsidR="001F6561" w:rsidRPr="00B36B29">
        <w:rPr>
          <w:lang w:val="fr-CH"/>
        </w:rPr>
        <w:t xml:space="preserve">50 MHz (espace vers Terre) et </w:t>
      </w:r>
      <w:r w:rsidRPr="00B36B29">
        <w:rPr>
          <w:lang w:val="fr-CH"/>
        </w:rPr>
        <w:t>8</w:t>
      </w:r>
      <w:r w:rsidR="001F6561" w:rsidRPr="00B36B29">
        <w:rPr>
          <w:lang w:val="fr-CH"/>
        </w:rPr>
        <w:t xml:space="preserve"> </w:t>
      </w:r>
      <w:r w:rsidRPr="00B36B29">
        <w:rPr>
          <w:lang w:val="fr-CH"/>
        </w:rPr>
        <w:t>4</w:t>
      </w:r>
      <w:r w:rsidR="001F6561" w:rsidRPr="00B36B29">
        <w:rPr>
          <w:lang w:val="fr-CH"/>
        </w:rPr>
        <w:t xml:space="preserve">00-8 </w:t>
      </w:r>
      <w:r w:rsidRPr="00B36B29">
        <w:rPr>
          <w:lang w:val="fr-CH"/>
        </w:rPr>
        <w:t>5</w:t>
      </w:r>
      <w:r w:rsidR="001F6561" w:rsidRPr="00B36B29">
        <w:rPr>
          <w:lang w:val="fr-CH"/>
        </w:rPr>
        <w:t>00 MHz (Terre vers espace)</w:t>
      </w:r>
      <w:r w:rsidRPr="00B36B29">
        <w:rPr>
          <w:lang w:val="fr-CH"/>
        </w:rPr>
        <w:t xml:space="preserve"> au SFS</w:t>
      </w:r>
      <w:r w:rsidR="001F6561" w:rsidRPr="00B36B29">
        <w:rPr>
          <w:lang w:val="fr-CH"/>
        </w:rPr>
        <w:t>.</w:t>
      </w:r>
    </w:p>
    <w:p w:rsidR="005478F5" w:rsidRPr="00B36B29" w:rsidRDefault="005478F5" w:rsidP="005478F5">
      <w:pPr>
        <w:pStyle w:val="Headingb"/>
        <w:rPr>
          <w:lang w:val="fr-CH"/>
        </w:rPr>
      </w:pPr>
      <w:r>
        <w:rPr>
          <w:lang w:val="fr-CH"/>
        </w:rPr>
        <w:t>Propositions</w:t>
      </w:r>
    </w:p>
    <w:p w:rsidR="0015203F" w:rsidRPr="00B36B29" w:rsidRDefault="0015203F" w:rsidP="00B36B29">
      <w:pPr>
        <w:tabs>
          <w:tab w:val="clear" w:pos="1134"/>
          <w:tab w:val="clear" w:pos="1871"/>
          <w:tab w:val="clear" w:pos="2268"/>
        </w:tabs>
        <w:overflowPunct/>
        <w:autoSpaceDE/>
        <w:autoSpaceDN/>
        <w:adjustRightInd/>
        <w:spacing w:before="0"/>
        <w:textAlignment w:val="auto"/>
        <w:rPr>
          <w:lang w:val="fr-CH"/>
        </w:rPr>
      </w:pPr>
      <w:r w:rsidRPr="00B36B29">
        <w:rPr>
          <w:lang w:val="fr-CH"/>
        </w:rPr>
        <w:br w:type="page"/>
      </w:r>
    </w:p>
    <w:p w:rsidR="004A6A8C" w:rsidRPr="00B36B29" w:rsidRDefault="00A1109C" w:rsidP="00B36B29">
      <w:pPr>
        <w:pStyle w:val="ArtNo"/>
      </w:pPr>
      <w:r w:rsidRPr="00B36B29">
        <w:lastRenderedPageBreak/>
        <w:t xml:space="preserve">ARTICLE </w:t>
      </w:r>
      <w:r w:rsidRPr="00B36B29">
        <w:rPr>
          <w:rStyle w:val="href"/>
          <w:color w:val="000000"/>
        </w:rPr>
        <w:t>5</w:t>
      </w:r>
    </w:p>
    <w:p w:rsidR="004A6A8C" w:rsidRPr="00B36B29" w:rsidRDefault="00A1109C" w:rsidP="00B36B29">
      <w:pPr>
        <w:pStyle w:val="Arttitle"/>
        <w:rPr>
          <w:lang w:val="fr-CH"/>
        </w:rPr>
      </w:pPr>
      <w:r w:rsidRPr="00B36B29">
        <w:rPr>
          <w:lang w:val="fr-CH"/>
        </w:rPr>
        <w:t>Attribution des bandes de fréquences</w:t>
      </w:r>
    </w:p>
    <w:p w:rsidR="004A6A8C" w:rsidRPr="00B36B29" w:rsidRDefault="00A1109C" w:rsidP="00B36B29">
      <w:pPr>
        <w:pStyle w:val="Section1"/>
        <w:keepNext/>
      </w:pPr>
      <w:r w:rsidRPr="00B36B29">
        <w:t>Section IV – Tableau d'attribution des bandes de fréquences</w:t>
      </w:r>
      <w:r w:rsidRPr="00B36B29">
        <w:br/>
      </w:r>
      <w:r w:rsidRPr="005478F5">
        <w:rPr>
          <w:b w:val="0"/>
          <w:bCs/>
        </w:rPr>
        <w:t>(Voir le numéro</w:t>
      </w:r>
      <w:r w:rsidRPr="00B36B29">
        <w:t xml:space="preserve"> 2.1</w:t>
      </w:r>
      <w:r w:rsidRPr="005478F5">
        <w:rPr>
          <w:b w:val="0"/>
          <w:bCs/>
        </w:rPr>
        <w:t>)</w:t>
      </w:r>
      <w:r w:rsidRPr="00B36B29">
        <w:rPr>
          <w:b w:val="0"/>
          <w:color w:val="000000"/>
        </w:rPr>
        <w:br/>
      </w:r>
      <w:r w:rsidRPr="00B36B29">
        <w:rPr>
          <w:b w:val="0"/>
          <w:color w:val="000000"/>
        </w:rPr>
        <w:br/>
      </w:r>
    </w:p>
    <w:p w:rsidR="002B5233" w:rsidRPr="00B36B29" w:rsidRDefault="00A1109C" w:rsidP="00B36B29">
      <w:pPr>
        <w:pStyle w:val="Proposal"/>
      </w:pPr>
      <w:r w:rsidRPr="00B36B29">
        <w:rPr>
          <w:u w:val="single"/>
        </w:rPr>
        <w:t>NOC</w:t>
      </w:r>
      <w:r w:rsidRPr="00B36B29">
        <w:tab/>
        <w:t>CHN/62A9A1/1</w:t>
      </w:r>
    </w:p>
    <w:p w:rsidR="004A6A8C" w:rsidRPr="00B36B29" w:rsidRDefault="00A1109C" w:rsidP="00B36B29">
      <w:pPr>
        <w:pStyle w:val="Tabletitle"/>
        <w:rPr>
          <w:color w:val="000000"/>
        </w:rPr>
      </w:pPr>
      <w:r w:rsidRPr="00B36B29">
        <w:rPr>
          <w:color w:val="000000"/>
        </w:rPr>
        <w:t>5 570-7 250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4A6A8C" w:rsidRPr="00B36B29" w:rsidTr="00D94B99">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4A6A8C" w:rsidRPr="00B36B29" w:rsidRDefault="00A1109C" w:rsidP="00B36B29">
            <w:pPr>
              <w:pStyle w:val="Tablehead"/>
              <w:rPr>
                <w:color w:val="000000"/>
              </w:rPr>
            </w:pPr>
            <w:r w:rsidRPr="00B36B29">
              <w:rPr>
                <w:color w:val="000000"/>
              </w:rPr>
              <w:t>Attribution aux services</w:t>
            </w:r>
          </w:p>
        </w:tc>
      </w:tr>
      <w:tr w:rsidR="004A6A8C" w:rsidRPr="00B36B29"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Pr="00B36B29" w:rsidRDefault="00A1109C" w:rsidP="00B36B29">
            <w:pPr>
              <w:pStyle w:val="Tablehead"/>
              <w:rPr>
                <w:color w:val="000000"/>
              </w:rPr>
            </w:pPr>
            <w:r w:rsidRPr="00B36B29">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4A6A8C" w:rsidRPr="00B36B29" w:rsidRDefault="00A1109C" w:rsidP="00B36B29">
            <w:pPr>
              <w:pStyle w:val="Tablehead"/>
              <w:rPr>
                <w:color w:val="000000"/>
              </w:rPr>
            </w:pPr>
            <w:r w:rsidRPr="00B36B29">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rsidR="004A6A8C" w:rsidRPr="00B36B29" w:rsidRDefault="00A1109C" w:rsidP="00B36B29">
            <w:pPr>
              <w:pStyle w:val="Tablehead"/>
              <w:rPr>
                <w:color w:val="000000"/>
              </w:rPr>
            </w:pPr>
            <w:r w:rsidRPr="00B36B29">
              <w:rPr>
                <w:color w:val="000000"/>
              </w:rPr>
              <w:t>Région 3</w:t>
            </w:r>
          </w:p>
        </w:tc>
      </w:tr>
      <w:tr w:rsidR="004A6A8C" w:rsidRPr="00B36B29" w:rsidTr="00D94B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9304" w:type="dxa"/>
            <w:gridSpan w:val="3"/>
          </w:tcPr>
          <w:p w:rsidR="004A6A8C" w:rsidRPr="00B36B29" w:rsidRDefault="00A1109C" w:rsidP="00B36B29">
            <w:pPr>
              <w:pStyle w:val="TableTextS5"/>
              <w:tabs>
                <w:tab w:val="clear" w:pos="170"/>
                <w:tab w:val="clear" w:pos="567"/>
                <w:tab w:val="clear" w:pos="737"/>
                <w:tab w:val="clear" w:pos="2977"/>
                <w:tab w:val="clear" w:pos="3266"/>
                <w:tab w:val="left" w:pos="3005"/>
              </w:tabs>
              <w:spacing w:before="10" w:after="10"/>
              <w:rPr>
                <w:color w:val="000000"/>
                <w:lang w:val="fr-CH"/>
              </w:rPr>
            </w:pPr>
            <w:r w:rsidRPr="00B36B29">
              <w:rPr>
                <w:rStyle w:val="Tablefreq"/>
              </w:rPr>
              <w:t>7 145-7 235</w:t>
            </w:r>
            <w:r w:rsidRPr="00B36B29">
              <w:rPr>
                <w:color w:val="000000"/>
                <w:lang w:val="fr-CH"/>
              </w:rPr>
              <w:tab/>
              <w:t>FIXE</w:t>
            </w:r>
          </w:p>
          <w:p w:rsidR="004A6A8C" w:rsidRPr="00B36B29" w:rsidRDefault="00A1109C" w:rsidP="00B36B29">
            <w:pPr>
              <w:pStyle w:val="TableTextS5"/>
              <w:tabs>
                <w:tab w:val="clear" w:pos="170"/>
                <w:tab w:val="clear" w:pos="567"/>
                <w:tab w:val="clear" w:pos="737"/>
                <w:tab w:val="clear" w:pos="2977"/>
                <w:tab w:val="clear" w:pos="3266"/>
                <w:tab w:val="left" w:pos="3005"/>
              </w:tabs>
              <w:spacing w:before="10" w:after="10"/>
              <w:rPr>
                <w:color w:val="000000"/>
                <w:lang w:val="fr-CH"/>
              </w:rPr>
            </w:pPr>
            <w:r w:rsidRPr="00B36B29">
              <w:rPr>
                <w:color w:val="000000"/>
                <w:lang w:val="fr-CH"/>
              </w:rPr>
              <w:tab/>
              <w:t>MOBILE</w:t>
            </w:r>
          </w:p>
          <w:p w:rsidR="004A6A8C" w:rsidRPr="00B36B29" w:rsidRDefault="00A1109C" w:rsidP="00B36B29">
            <w:pPr>
              <w:pStyle w:val="TableTextS5"/>
              <w:tabs>
                <w:tab w:val="clear" w:pos="170"/>
                <w:tab w:val="clear" w:pos="567"/>
                <w:tab w:val="clear" w:pos="737"/>
                <w:tab w:val="clear" w:pos="2977"/>
                <w:tab w:val="clear" w:pos="3266"/>
                <w:tab w:val="left" w:pos="3005"/>
              </w:tabs>
              <w:spacing w:before="10" w:after="10"/>
              <w:rPr>
                <w:rStyle w:val="Artref"/>
                <w:color w:val="000000"/>
              </w:rPr>
            </w:pPr>
            <w:r w:rsidRPr="00B36B29">
              <w:rPr>
                <w:color w:val="000000"/>
                <w:lang w:val="fr-CH"/>
              </w:rPr>
              <w:tab/>
              <w:t xml:space="preserve">RECHERCHE SPATIALE (Terre vers espace)  </w:t>
            </w:r>
            <w:r w:rsidRPr="00B36B29">
              <w:rPr>
                <w:rStyle w:val="Artref"/>
                <w:color w:val="000000"/>
              </w:rPr>
              <w:t>5.460</w:t>
            </w:r>
          </w:p>
          <w:p w:rsidR="004A6A8C" w:rsidRPr="00B36B29" w:rsidRDefault="00A1109C" w:rsidP="00B36B29">
            <w:pPr>
              <w:pStyle w:val="TableTextS5"/>
              <w:tabs>
                <w:tab w:val="clear" w:pos="170"/>
                <w:tab w:val="clear" w:pos="567"/>
                <w:tab w:val="clear" w:pos="737"/>
              </w:tabs>
              <w:spacing w:before="10" w:after="10"/>
              <w:rPr>
                <w:rStyle w:val="Tablefreq"/>
                <w:color w:val="000000"/>
              </w:rPr>
            </w:pPr>
            <w:r w:rsidRPr="00B36B29">
              <w:rPr>
                <w:color w:val="000000"/>
                <w:lang w:val="fr-CH"/>
              </w:rPr>
              <w:tab/>
            </w:r>
            <w:r w:rsidRPr="00B36B29">
              <w:t>5.458</w:t>
            </w:r>
            <w:r w:rsidRPr="00B36B29">
              <w:rPr>
                <w:color w:val="000000"/>
                <w:lang w:val="fr-CH"/>
              </w:rPr>
              <w:t xml:space="preserve">  </w:t>
            </w:r>
            <w:r w:rsidRPr="00B36B29">
              <w:t>5.459</w:t>
            </w:r>
          </w:p>
        </w:tc>
      </w:tr>
      <w:tr w:rsidR="004A6A8C" w:rsidRPr="00B36B29" w:rsidTr="00D94B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9304" w:type="dxa"/>
            <w:gridSpan w:val="3"/>
          </w:tcPr>
          <w:p w:rsidR="004A6A8C" w:rsidRPr="00B36B29" w:rsidRDefault="00A1109C" w:rsidP="00B36B29">
            <w:pPr>
              <w:pStyle w:val="TableTextS5"/>
              <w:tabs>
                <w:tab w:val="clear" w:pos="170"/>
                <w:tab w:val="clear" w:pos="567"/>
                <w:tab w:val="clear" w:pos="737"/>
                <w:tab w:val="clear" w:pos="2977"/>
                <w:tab w:val="clear" w:pos="3266"/>
                <w:tab w:val="left" w:pos="3005"/>
              </w:tabs>
              <w:spacing w:before="10" w:after="10"/>
              <w:rPr>
                <w:color w:val="000000"/>
                <w:lang w:val="fr-CH"/>
              </w:rPr>
            </w:pPr>
            <w:r w:rsidRPr="00B36B29">
              <w:rPr>
                <w:rStyle w:val="Tablefreq"/>
              </w:rPr>
              <w:t>7 235-7 250</w:t>
            </w:r>
            <w:r w:rsidRPr="00B36B29">
              <w:rPr>
                <w:color w:val="000000"/>
                <w:lang w:val="fr-CH"/>
              </w:rPr>
              <w:tab/>
              <w:t>FIXE</w:t>
            </w:r>
          </w:p>
          <w:p w:rsidR="004A6A8C" w:rsidRPr="00B36B29" w:rsidRDefault="00A1109C" w:rsidP="00B36B29">
            <w:pPr>
              <w:pStyle w:val="TableTextS5"/>
              <w:tabs>
                <w:tab w:val="clear" w:pos="170"/>
                <w:tab w:val="clear" w:pos="567"/>
                <w:tab w:val="clear" w:pos="737"/>
                <w:tab w:val="clear" w:pos="2977"/>
                <w:tab w:val="clear" w:pos="3266"/>
                <w:tab w:val="left" w:pos="3005"/>
              </w:tabs>
              <w:spacing w:before="10" w:after="10"/>
              <w:rPr>
                <w:color w:val="000000"/>
                <w:lang w:val="fr-CH"/>
              </w:rPr>
            </w:pPr>
            <w:r w:rsidRPr="00B36B29">
              <w:rPr>
                <w:color w:val="000000"/>
                <w:lang w:val="fr-CH"/>
              </w:rPr>
              <w:tab/>
              <w:t>MOBILE</w:t>
            </w:r>
          </w:p>
          <w:p w:rsidR="004A6A8C" w:rsidRPr="00B36B29" w:rsidRDefault="00A1109C" w:rsidP="00B36B29">
            <w:pPr>
              <w:pStyle w:val="TableTextS5"/>
              <w:tabs>
                <w:tab w:val="clear" w:pos="170"/>
                <w:tab w:val="clear" w:pos="567"/>
                <w:tab w:val="clear" w:pos="737"/>
                <w:tab w:val="clear" w:pos="2977"/>
                <w:tab w:val="clear" w:pos="3266"/>
                <w:tab w:val="left" w:pos="3005"/>
              </w:tabs>
              <w:spacing w:before="10" w:after="10"/>
            </w:pPr>
            <w:r w:rsidRPr="00B36B29">
              <w:rPr>
                <w:color w:val="000000"/>
                <w:lang w:val="fr-CH"/>
              </w:rPr>
              <w:tab/>
            </w:r>
            <w:r w:rsidRPr="00B36B29">
              <w:t>5.458</w:t>
            </w:r>
          </w:p>
        </w:tc>
      </w:tr>
    </w:tbl>
    <w:p w:rsidR="002B5233" w:rsidRPr="00B36B29" w:rsidRDefault="00A1109C" w:rsidP="00B36B29">
      <w:pPr>
        <w:pStyle w:val="Reasons"/>
      </w:pPr>
      <w:r w:rsidRPr="00B36B29">
        <w:rPr>
          <w:b/>
        </w:rPr>
        <w:t>Motifs:</w:t>
      </w:r>
      <w:r w:rsidRPr="00B36B29">
        <w:tab/>
      </w:r>
      <w:r w:rsidR="004577E6" w:rsidRPr="00B36B29">
        <w:t>Pas de changement</w:t>
      </w:r>
      <w:r w:rsidRPr="00B36B29">
        <w:t>.</w:t>
      </w:r>
    </w:p>
    <w:p w:rsidR="002B5233" w:rsidRPr="00B36B29" w:rsidRDefault="00A1109C" w:rsidP="00B36B29">
      <w:pPr>
        <w:pStyle w:val="Proposal"/>
      </w:pPr>
      <w:r w:rsidRPr="00B36B29">
        <w:rPr>
          <w:u w:val="single"/>
        </w:rPr>
        <w:t>NOC</w:t>
      </w:r>
      <w:r w:rsidRPr="00B36B29">
        <w:tab/>
        <w:t>CHN/62A9A1/2</w:t>
      </w:r>
    </w:p>
    <w:p w:rsidR="004A6A8C" w:rsidRPr="00B36B29" w:rsidRDefault="00A1109C" w:rsidP="00B36B29">
      <w:pPr>
        <w:pStyle w:val="Tabletitle"/>
        <w:rPr>
          <w:color w:val="000000"/>
        </w:rPr>
      </w:pPr>
      <w:r w:rsidRPr="00B36B29">
        <w:rPr>
          <w:color w:val="000000"/>
        </w:rPr>
        <w:t>7 250-8 500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4A6A8C" w:rsidRPr="00B36B29" w:rsidTr="00D94B99">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4A6A8C" w:rsidRPr="00B36B29" w:rsidRDefault="00A1109C" w:rsidP="00B36B29">
            <w:pPr>
              <w:pStyle w:val="Tablehead"/>
              <w:rPr>
                <w:color w:val="000000"/>
              </w:rPr>
            </w:pPr>
            <w:r w:rsidRPr="00B36B29">
              <w:rPr>
                <w:color w:val="000000"/>
              </w:rPr>
              <w:t>Attribution aux services</w:t>
            </w:r>
          </w:p>
        </w:tc>
      </w:tr>
      <w:tr w:rsidR="004A6A8C" w:rsidRPr="00B36B29"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Pr="00B36B29" w:rsidRDefault="00A1109C" w:rsidP="00B36B29">
            <w:pPr>
              <w:pStyle w:val="Tablehead"/>
              <w:rPr>
                <w:color w:val="000000"/>
              </w:rPr>
            </w:pPr>
            <w:r w:rsidRPr="00B36B29">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4A6A8C" w:rsidRPr="00B36B29" w:rsidRDefault="00A1109C" w:rsidP="00B36B29">
            <w:pPr>
              <w:pStyle w:val="Tablehead"/>
              <w:rPr>
                <w:color w:val="000000"/>
              </w:rPr>
            </w:pPr>
            <w:r w:rsidRPr="00B36B29">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rsidR="004A6A8C" w:rsidRPr="00B36B29" w:rsidRDefault="00A1109C" w:rsidP="00B36B29">
            <w:pPr>
              <w:pStyle w:val="Tablehead"/>
              <w:rPr>
                <w:color w:val="000000"/>
              </w:rPr>
            </w:pPr>
            <w:r w:rsidRPr="00B36B29">
              <w:rPr>
                <w:color w:val="000000"/>
              </w:rPr>
              <w:t>Région 3</w:t>
            </w:r>
          </w:p>
        </w:tc>
      </w:tr>
      <w:tr w:rsidR="004A6A8C" w:rsidRPr="00B36B29" w:rsidTr="00D94B99">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4A6A8C" w:rsidRPr="00B36B29" w:rsidRDefault="00A1109C" w:rsidP="00B36B29">
            <w:pPr>
              <w:pStyle w:val="TableTextS5"/>
              <w:spacing w:before="30" w:after="30"/>
              <w:rPr>
                <w:color w:val="000000"/>
              </w:rPr>
            </w:pPr>
            <w:r w:rsidRPr="00B36B29">
              <w:rPr>
                <w:rStyle w:val="Tablefreq"/>
              </w:rPr>
              <w:t>8 400-8 500</w:t>
            </w:r>
            <w:r w:rsidRPr="00B36B29">
              <w:rPr>
                <w:color w:val="000000"/>
              </w:rPr>
              <w:tab/>
              <w:t>FIXE</w:t>
            </w:r>
          </w:p>
          <w:p w:rsidR="004A6A8C" w:rsidRPr="00B36B29" w:rsidRDefault="00A1109C" w:rsidP="00B36B29">
            <w:pPr>
              <w:pStyle w:val="TableTextS5"/>
              <w:spacing w:before="30" w:after="30"/>
              <w:rPr>
                <w:color w:val="000000"/>
              </w:rPr>
            </w:pPr>
            <w:r w:rsidRPr="00B36B29">
              <w:rPr>
                <w:color w:val="000000"/>
              </w:rPr>
              <w:tab/>
            </w:r>
            <w:r w:rsidRPr="00B36B29">
              <w:rPr>
                <w:color w:val="000000"/>
              </w:rPr>
              <w:tab/>
            </w:r>
            <w:r w:rsidRPr="00B36B29">
              <w:rPr>
                <w:color w:val="000000"/>
              </w:rPr>
              <w:tab/>
            </w:r>
            <w:r w:rsidRPr="00B36B29">
              <w:rPr>
                <w:color w:val="000000"/>
              </w:rPr>
              <w:tab/>
              <w:t>MOBILE sauf mobile aéronautique</w:t>
            </w:r>
          </w:p>
          <w:p w:rsidR="004A6A8C" w:rsidRPr="00B36B29" w:rsidRDefault="00A1109C" w:rsidP="00B36B29">
            <w:pPr>
              <w:pStyle w:val="TableTextS5"/>
              <w:spacing w:before="30" w:after="30"/>
              <w:rPr>
                <w:color w:val="000000"/>
                <w:lang w:val="fr-CH"/>
              </w:rPr>
            </w:pPr>
            <w:r w:rsidRPr="00B36B29">
              <w:rPr>
                <w:color w:val="000000"/>
              </w:rPr>
              <w:tab/>
            </w:r>
            <w:r w:rsidRPr="00B36B29">
              <w:rPr>
                <w:color w:val="000000"/>
              </w:rPr>
              <w:tab/>
            </w:r>
            <w:r w:rsidRPr="00B36B29">
              <w:rPr>
                <w:color w:val="000000"/>
              </w:rPr>
              <w:tab/>
            </w:r>
            <w:r w:rsidRPr="00B36B29">
              <w:rPr>
                <w:color w:val="000000"/>
              </w:rPr>
              <w:tab/>
              <w:t xml:space="preserve">RECHERCHE SPATIALE (espace vers Terre)  </w:t>
            </w:r>
            <w:r w:rsidRPr="00B36B29">
              <w:rPr>
                <w:rStyle w:val="Artref"/>
                <w:color w:val="000000"/>
              </w:rPr>
              <w:t>5.465</w:t>
            </w:r>
            <w:r w:rsidRPr="00B36B29">
              <w:rPr>
                <w:color w:val="000000"/>
              </w:rPr>
              <w:t xml:space="preserve">  </w:t>
            </w:r>
            <w:r w:rsidRPr="00B36B29">
              <w:rPr>
                <w:rStyle w:val="Artref"/>
                <w:color w:val="000000"/>
              </w:rPr>
              <w:t>5.466</w:t>
            </w:r>
          </w:p>
        </w:tc>
      </w:tr>
    </w:tbl>
    <w:p w:rsidR="002B5233" w:rsidRPr="00B36B29" w:rsidRDefault="00A1109C" w:rsidP="00B36B29">
      <w:pPr>
        <w:pStyle w:val="Reasons"/>
      </w:pPr>
      <w:r w:rsidRPr="00B36B29">
        <w:rPr>
          <w:b/>
        </w:rPr>
        <w:t>Motifs:</w:t>
      </w:r>
      <w:r w:rsidRPr="00B36B29">
        <w:tab/>
      </w:r>
      <w:r w:rsidR="004577E6" w:rsidRPr="00B36B29">
        <w:t>Pas de changement</w:t>
      </w:r>
      <w:r w:rsidRPr="00B36B29">
        <w:t>.</w:t>
      </w:r>
    </w:p>
    <w:p w:rsidR="002B5233" w:rsidRPr="00B36B29" w:rsidRDefault="00A1109C" w:rsidP="00B36B29">
      <w:pPr>
        <w:pStyle w:val="Proposal"/>
      </w:pPr>
      <w:r w:rsidRPr="00B36B29">
        <w:t>SUP</w:t>
      </w:r>
      <w:r w:rsidRPr="00B36B29">
        <w:tab/>
        <w:t>CHN/62A9A1/3</w:t>
      </w:r>
    </w:p>
    <w:p w:rsidR="00DD4258" w:rsidRPr="00B36B29" w:rsidRDefault="00A1109C" w:rsidP="00B36B29">
      <w:pPr>
        <w:pStyle w:val="ResNo"/>
      </w:pPr>
      <w:r w:rsidRPr="00B36B29">
        <w:t xml:space="preserve">RÉSOLUTION </w:t>
      </w:r>
      <w:r w:rsidRPr="00B36B29">
        <w:rPr>
          <w:rStyle w:val="href"/>
        </w:rPr>
        <w:t>758</w:t>
      </w:r>
      <w:r w:rsidRPr="00B36B29">
        <w:t xml:space="preserve"> (CMR-12)</w:t>
      </w:r>
    </w:p>
    <w:p w:rsidR="00DD4258" w:rsidRPr="00B36B29" w:rsidRDefault="00A1109C" w:rsidP="00B36B29">
      <w:pPr>
        <w:pStyle w:val="Restitle"/>
      </w:pPr>
      <w:r w:rsidRPr="00B36B29">
        <w:t xml:space="preserve">Attribution au service fixe par satellite et au service mobile maritime </w:t>
      </w:r>
      <w:r w:rsidRPr="00B36B29">
        <w:br/>
        <w:t>par satellite dans la gamme 7/8 GHz</w:t>
      </w:r>
    </w:p>
    <w:p w:rsidR="002B5233" w:rsidRPr="00B36B29" w:rsidRDefault="00A1109C" w:rsidP="00B36B29">
      <w:pPr>
        <w:pStyle w:val="Reasons"/>
      </w:pPr>
      <w:r w:rsidRPr="00B36B29">
        <w:rPr>
          <w:b/>
        </w:rPr>
        <w:t>Motifs:</w:t>
      </w:r>
      <w:r w:rsidRPr="00B36B29">
        <w:tab/>
      </w:r>
      <w:r w:rsidR="004577E6" w:rsidRPr="00B36B29">
        <w:t>Cette Résolution n'est plus nécessaire</w:t>
      </w:r>
      <w:r w:rsidRPr="00B36B29">
        <w:t>.</w:t>
      </w:r>
    </w:p>
    <w:p w:rsidR="00A1109C" w:rsidRPr="00B36B29" w:rsidRDefault="00A1109C" w:rsidP="00B36B29">
      <w:pPr>
        <w:pStyle w:val="Reasons"/>
      </w:pPr>
      <w:bookmarkStart w:id="6" w:name="_GoBack"/>
      <w:bookmarkEnd w:id="6"/>
    </w:p>
    <w:p w:rsidR="00A1109C" w:rsidRDefault="00A1109C" w:rsidP="00B36B29">
      <w:pPr>
        <w:jc w:val="center"/>
      </w:pPr>
      <w:r w:rsidRPr="00B36B29">
        <w:t>______________</w:t>
      </w:r>
    </w:p>
    <w:p w:rsidR="00A1109C" w:rsidRPr="00A1109C" w:rsidRDefault="00A1109C" w:rsidP="00B36B29">
      <w:pPr>
        <w:pStyle w:val="Reasons"/>
        <w:rPr>
          <w:lang w:val="en-US"/>
        </w:rPr>
      </w:pPr>
    </w:p>
    <w:sectPr w:rsidR="00A1109C" w:rsidRPr="00A1109C">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EBF" w:rsidRDefault="00865EBF">
      <w:r>
        <w:separator/>
      </w:r>
    </w:p>
  </w:endnote>
  <w:endnote w:type="continuationSeparator" w:id="0">
    <w:p w:rsidR="00865EBF" w:rsidRDefault="0086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A1109C">
      <w:rPr>
        <w:noProof/>
        <w:lang w:val="en-US"/>
      </w:rPr>
      <w:t>P:\TRAD\F\ITU-R\CONF-R\CMR15\000\062ADD09ADD01FMontage.docx</w:t>
    </w:r>
    <w:r>
      <w:fldChar w:fldCharType="end"/>
    </w:r>
    <w:r>
      <w:rPr>
        <w:lang w:val="en-US"/>
      </w:rPr>
      <w:tab/>
    </w:r>
    <w:r>
      <w:fldChar w:fldCharType="begin"/>
    </w:r>
    <w:r>
      <w:instrText xml:space="preserve"> SAVEDATE \@ DD.MM.YY </w:instrText>
    </w:r>
    <w:r>
      <w:fldChar w:fldCharType="separate"/>
    </w:r>
    <w:r w:rsidR="005478F5">
      <w:rPr>
        <w:noProof/>
      </w:rPr>
      <w:t>27.10.15</w:t>
    </w:r>
    <w:r>
      <w:fldChar w:fldCharType="end"/>
    </w:r>
    <w:r>
      <w:rPr>
        <w:lang w:val="en-US"/>
      </w:rPr>
      <w:tab/>
    </w:r>
    <w:r>
      <w:fldChar w:fldCharType="begin"/>
    </w:r>
    <w:r>
      <w:instrText xml:space="preserve"> PRINTDATE \@ DD.MM.YY </w:instrText>
    </w:r>
    <w:r>
      <w:fldChar w:fldCharType="separate"/>
    </w:r>
    <w:r w:rsidR="00A1109C">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B36B29">
      <w:rPr>
        <w:lang w:val="en-US"/>
      </w:rPr>
      <w:t>P:\FRA\ITU-R\CONF-R\CMR15\000\062ADD09ADD01F.docx</w:t>
    </w:r>
    <w:r>
      <w:fldChar w:fldCharType="end"/>
    </w:r>
    <w:r w:rsidR="00A1109C">
      <w:t xml:space="preserve"> (388506)</w:t>
    </w:r>
    <w:r>
      <w:rPr>
        <w:lang w:val="en-US"/>
      </w:rPr>
      <w:tab/>
    </w:r>
    <w:r>
      <w:fldChar w:fldCharType="begin"/>
    </w:r>
    <w:r>
      <w:instrText xml:space="preserve"> SAVEDATE \@ DD.MM.YY </w:instrText>
    </w:r>
    <w:r>
      <w:fldChar w:fldCharType="separate"/>
    </w:r>
    <w:r w:rsidR="005478F5">
      <w:t>27.10.15</w:t>
    </w:r>
    <w:r>
      <w:fldChar w:fldCharType="end"/>
    </w:r>
    <w:r>
      <w:rPr>
        <w:lang w:val="en-US"/>
      </w:rPr>
      <w:tab/>
    </w:r>
    <w:r>
      <w:fldChar w:fldCharType="begin"/>
    </w:r>
    <w:r>
      <w:instrText xml:space="preserve"> PRINTDATE \@ DD.MM.YY </w:instrText>
    </w:r>
    <w:r>
      <w:fldChar w:fldCharType="separate"/>
    </w:r>
    <w:r w:rsidR="00A1109C">
      <w:t>26.10.15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B36B29">
      <w:rPr>
        <w:lang w:val="en-US"/>
      </w:rPr>
      <w:t>P:\FRA\ITU-R\CONF-R\CMR15\000\062ADD09ADD01F.docx</w:t>
    </w:r>
    <w:r>
      <w:fldChar w:fldCharType="end"/>
    </w:r>
    <w:r w:rsidR="00A1109C">
      <w:t xml:space="preserve"> (388506)</w:t>
    </w:r>
    <w:r>
      <w:rPr>
        <w:lang w:val="en-US"/>
      </w:rPr>
      <w:tab/>
    </w:r>
    <w:r>
      <w:fldChar w:fldCharType="begin"/>
    </w:r>
    <w:r>
      <w:instrText xml:space="preserve"> SAVEDATE \@ DD.MM.YY </w:instrText>
    </w:r>
    <w:r>
      <w:fldChar w:fldCharType="separate"/>
    </w:r>
    <w:r w:rsidR="005478F5">
      <w:t>27.10.15</w:t>
    </w:r>
    <w:r>
      <w:fldChar w:fldCharType="end"/>
    </w:r>
    <w:r>
      <w:rPr>
        <w:lang w:val="en-US"/>
      </w:rPr>
      <w:tab/>
    </w:r>
    <w:r>
      <w:fldChar w:fldCharType="begin"/>
    </w:r>
    <w:r>
      <w:instrText xml:space="preserve"> PRINTDATE \@ DD.MM.YY </w:instrText>
    </w:r>
    <w:r>
      <w:fldChar w:fldCharType="separate"/>
    </w:r>
    <w:r w:rsidR="00A1109C">
      <w:t>26.10.15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EBF" w:rsidRDefault="00865EBF">
      <w:r>
        <w:rPr>
          <w:b/>
        </w:rPr>
        <w:t>_______________</w:t>
      </w:r>
    </w:p>
  </w:footnote>
  <w:footnote w:type="continuationSeparator" w:id="0">
    <w:p w:rsidR="00865EBF" w:rsidRDefault="00865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5478F5">
      <w:rPr>
        <w:noProof/>
      </w:rPr>
      <w:t>3</w:t>
    </w:r>
    <w:r>
      <w:fldChar w:fldCharType="end"/>
    </w:r>
  </w:p>
  <w:p w:rsidR="004F1F8E" w:rsidRDefault="004F1F8E" w:rsidP="002C28A4">
    <w:pPr>
      <w:pStyle w:val="Header"/>
    </w:pPr>
    <w:r>
      <w:t>CMR1</w:t>
    </w:r>
    <w:r w:rsidR="002C28A4">
      <w:t>5</w:t>
    </w:r>
    <w:r>
      <w:t>/</w:t>
    </w:r>
    <w:r w:rsidR="006A4B45">
      <w:t>62(Add.9)(Add.1)-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72D9B4B-93CD-4C36-8043-6E7FC1DE90E6}"/>
    <w:docVar w:name="dgnword-eventsink" w:val="164900672"/>
  </w:docVars>
  <w:rsids>
    <w:rsidRoot w:val="00BB1D82"/>
    <w:rsid w:val="00007EC7"/>
    <w:rsid w:val="00010B43"/>
    <w:rsid w:val="00016648"/>
    <w:rsid w:val="00022668"/>
    <w:rsid w:val="0003522F"/>
    <w:rsid w:val="00080E2C"/>
    <w:rsid w:val="000A4755"/>
    <w:rsid w:val="000B2E0C"/>
    <w:rsid w:val="000B3D0C"/>
    <w:rsid w:val="000F1518"/>
    <w:rsid w:val="001167B9"/>
    <w:rsid w:val="00125A02"/>
    <w:rsid w:val="001267A0"/>
    <w:rsid w:val="0015203F"/>
    <w:rsid w:val="00160C64"/>
    <w:rsid w:val="0018169B"/>
    <w:rsid w:val="0019352B"/>
    <w:rsid w:val="001960D0"/>
    <w:rsid w:val="001F17E8"/>
    <w:rsid w:val="001F6561"/>
    <w:rsid w:val="00204306"/>
    <w:rsid w:val="00232FD2"/>
    <w:rsid w:val="0026554E"/>
    <w:rsid w:val="002A4622"/>
    <w:rsid w:val="002A6F8F"/>
    <w:rsid w:val="002B17E5"/>
    <w:rsid w:val="002B5233"/>
    <w:rsid w:val="002C0EBF"/>
    <w:rsid w:val="002C28A4"/>
    <w:rsid w:val="00315AFE"/>
    <w:rsid w:val="003606A6"/>
    <w:rsid w:val="0036650C"/>
    <w:rsid w:val="00393ACD"/>
    <w:rsid w:val="003A583E"/>
    <w:rsid w:val="003E112B"/>
    <w:rsid w:val="003E1D1C"/>
    <w:rsid w:val="003E7B05"/>
    <w:rsid w:val="004577E6"/>
    <w:rsid w:val="00466211"/>
    <w:rsid w:val="004834A9"/>
    <w:rsid w:val="004D01FC"/>
    <w:rsid w:val="004E28C3"/>
    <w:rsid w:val="004F1F8E"/>
    <w:rsid w:val="00512A32"/>
    <w:rsid w:val="005478F5"/>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43122"/>
    <w:rsid w:val="00764342"/>
    <w:rsid w:val="00774362"/>
    <w:rsid w:val="00786598"/>
    <w:rsid w:val="007A04E8"/>
    <w:rsid w:val="00830FDC"/>
    <w:rsid w:val="00851625"/>
    <w:rsid w:val="00863C0A"/>
    <w:rsid w:val="00865EBF"/>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1109C"/>
    <w:rsid w:val="00A37105"/>
    <w:rsid w:val="00A606C3"/>
    <w:rsid w:val="00A83B09"/>
    <w:rsid w:val="00A84541"/>
    <w:rsid w:val="00AE36A0"/>
    <w:rsid w:val="00B00294"/>
    <w:rsid w:val="00B36B29"/>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5950321-DD66-4258-BEDA-94DFE864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styleId="BalloonText">
    <w:name w:val="Balloon Text"/>
    <w:basedOn w:val="Normal"/>
    <w:link w:val="BalloonTextChar"/>
    <w:semiHidden/>
    <w:unhideWhenUsed/>
    <w:rsid w:val="00830FDC"/>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830FDC"/>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R15-WRC15-C-0062!A9-A1!MSW-F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63865DAA-D76F-4A61-8A5C-EC0DE2A107BF}">
  <ds:schemaRefs>
    <ds:schemaRef ds:uri="http://purl.org/dc/elements/1.1/"/>
    <ds:schemaRef ds:uri="http://purl.org/dc/dcmitype/"/>
    <ds:schemaRef ds:uri="32a1a8c5-2265-4ebc-b7a0-2071e2c5c9bb"/>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996b2e75-67fd-4955-a3b0-5ab9934cb50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600</Words>
  <Characters>3164</Characters>
  <Application>Microsoft Office Word</Application>
  <DocSecurity>0</DocSecurity>
  <Lines>126</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R15-WRC15-C-0062!A9-A1!MSW-F</vt:lpstr>
      <vt:lpstr>R15-WRC15-C-0062!A9-A1!MSW-F</vt:lpstr>
    </vt:vector>
  </TitlesOfParts>
  <Manager>Secrétariat général - Pool</Manager>
  <Company>Union internationale des télécommunications (UIT)</Company>
  <LinksUpToDate>false</LinksUpToDate>
  <CharactersWithSpaces>3668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R15-WRC15-C-0062!A9-A1!MSW-F</dc:title>
  <dc:subject>Conférence mondiale des radiocommunications - 2015</dc:subject>
  <dc:creator>Documents Proposals Manager (DPM)</dc:creator>
  <cp:keywords>DPM_v5.2015.10.230_prod</cp:keywords>
  <dc:description/>
  <cp:lastModifiedBy>Saxod, Nathalie</cp:lastModifiedBy>
  <cp:revision>5</cp:revision>
  <cp:lastPrinted>2015-10-26T16:34:00Z</cp:lastPrinted>
  <dcterms:created xsi:type="dcterms:W3CDTF">2015-10-27T21:48:00Z</dcterms:created>
  <dcterms:modified xsi:type="dcterms:W3CDTF">2015-10-29T09:36:00Z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