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4D02AF">
            <w:pPr>
              <w:spacing w:before="400" w:after="48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4D02AF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4D02A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4D02A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4D02A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4D02A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02AF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4D02AF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62(Add.6)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4D02A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4D02A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4D02AF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4D02A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4D02A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4D02AF">
            <w:pPr>
              <w:pStyle w:val="Source"/>
            </w:pPr>
            <w:r>
              <w:t>China (People's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4D02AF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4D02AF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D02AF">
            <w:pPr>
              <w:pStyle w:val="Agendaitem"/>
            </w:pPr>
            <w:r>
              <w:t>Agenda item 1.6.2</w:t>
            </w:r>
          </w:p>
        </w:tc>
      </w:tr>
    </w:tbl>
    <w:bookmarkEnd w:id="6"/>
    <w:bookmarkEnd w:id="7"/>
    <w:p w:rsidR="0010142A" w:rsidRPr="009A2B70" w:rsidRDefault="00683044" w:rsidP="004D02AF">
      <w:pPr>
        <w:overflowPunct/>
        <w:autoSpaceDE/>
        <w:autoSpaceDN/>
        <w:adjustRightInd/>
        <w:textAlignment w:val="auto"/>
      </w:pPr>
      <w:r w:rsidRPr="009A2B70">
        <w:t>1.6</w:t>
      </w:r>
      <w:r w:rsidRPr="009A2B70">
        <w:tab/>
        <w:t>to consider possible additional primary allocations:</w:t>
      </w:r>
    </w:p>
    <w:p w:rsidR="00FD3324" w:rsidRPr="009A2B70" w:rsidRDefault="00683044" w:rsidP="004D02AF">
      <w:pPr>
        <w:overflowPunct/>
        <w:autoSpaceDE/>
        <w:autoSpaceDN/>
        <w:adjustRightInd/>
        <w:textAlignment w:val="auto"/>
      </w:pPr>
      <w:r w:rsidRPr="009A2B70">
        <w:t>1.6.2</w:t>
      </w:r>
      <w:r w:rsidRPr="009A2B70">
        <w:tab/>
        <w:t>to the fixed-satellite service (Earth-to-space) of 250 MHz in Region 2 and 300 MHz in Region 3 within the range 13-17 GHz;</w:t>
      </w:r>
    </w:p>
    <w:p w:rsidR="00241FA2" w:rsidRDefault="00683044" w:rsidP="004D02AF">
      <w:pPr>
        <w:overflowPunct/>
        <w:autoSpaceDE/>
        <w:autoSpaceDN/>
        <w:adjustRightInd/>
        <w:textAlignment w:val="auto"/>
        <w:rPr>
          <w:bCs/>
        </w:rPr>
      </w:pPr>
      <w:r w:rsidRPr="009A2B70">
        <w:t>and review the regulatory provisions on the current allocations to the fixed-satellite service within each range, taking into account the results of ITU</w:t>
      </w:r>
      <w:r w:rsidRPr="009A2B70">
        <w:noBreakHyphen/>
        <w:t>R studies, in accordance with Resolutions </w:t>
      </w:r>
      <w:r w:rsidRPr="009A2B70">
        <w:rPr>
          <w:b/>
          <w:bCs/>
        </w:rPr>
        <w:t>151 (WRC</w:t>
      </w:r>
      <w:r w:rsidRPr="009A2B70">
        <w:rPr>
          <w:b/>
          <w:bCs/>
        </w:rPr>
        <w:noBreakHyphen/>
        <w:t>12)</w:t>
      </w:r>
      <w:r w:rsidRPr="009A2B70">
        <w:t xml:space="preserve"> and </w:t>
      </w:r>
      <w:r w:rsidRPr="009A2B70">
        <w:rPr>
          <w:b/>
          <w:bCs/>
        </w:rPr>
        <w:t>152 (WRC</w:t>
      </w:r>
      <w:r w:rsidRPr="009A2B70">
        <w:rPr>
          <w:b/>
          <w:bCs/>
        </w:rPr>
        <w:noBreakHyphen/>
        <w:t>12)</w:t>
      </w:r>
      <w:r w:rsidRPr="009A2B70">
        <w:t>, respectively</w:t>
      </w:r>
      <w:r w:rsidRPr="009A2B70">
        <w:rPr>
          <w:bCs/>
        </w:rPr>
        <w:t>;</w:t>
      </w:r>
    </w:p>
    <w:p w:rsidR="005D0DC6" w:rsidRPr="008D283D" w:rsidRDefault="004D02AF" w:rsidP="008D283D">
      <w:pPr>
        <w:pStyle w:val="Headingb"/>
        <w:rPr>
          <w:lang w:val="en-US"/>
        </w:rPr>
      </w:pPr>
      <w:r w:rsidRPr="008D283D">
        <w:rPr>
          <w:lang w:val="en-US"/>
        </w:rPr>
        <w:t>Intr</w:t>
      </w:r>
      <w:bookmarkStart w:id="8" w:name="_GoBack"/>
      <w:bookmarkEnd w:id="8"/>
      <w:r w:rsidRPr="008D283D">
        <w:rPr>
          <w:lang w:val="en-US"/>
        </w:rPr>
        <w:t>oduction</w:t>
      </w:r>
    </w:p>
    <w:p w:rsidR="005D0DC6" w:rsidRDefault="005D0DC6" w:rsidP="008D283D">
      <w:pPr>
        <w:rPr>
          <w:lang w:eastAsia="zh-CN"/>
        </w:rPr>
      </w:pPr>
      <w:r>
        <w:rPr>
          <w:rFonts w:hint="eastAsia"/>
          <w:lang w:eastAsia="zh-CN"/>
        </w:rPr>
        <w:t>China</w:t>
      </w:r>
      <w:r w:rsidRPr="00FE75F5">
        <w:t xml:space="preserve"> do</w:t>
      </w:r>
      <w:r>
        <w:rPr>
          <w:rFonts w:hint="eastAsia"/>
          <w:lang w:eastAsia="zh-CN"/>
        </w:rPr>
        <w:t>es</w:t>
      </w:r>
      <w:r w:rsidRPr="00FE75F5">
        <w:t xml:space="preserve"> not support the additional allocation to the FSS (Earth-to-space</w:t>
      </w:r>
      <w:r>
        <w:t>) in Region</w:t>
      </w:r>
      <w:r w:rsidR="004D02AF">
        <w:t>s</w:t>
      </w:r>
      <w:r>
        <w:t xml:space="preserve"> </w:t>
      </w:r>
      <w:r>
        <w:rPr>
          <w:rFonts w:hint="eastAsia"/>
          <w:lang w:eastAsia="zh-CN"/>
        </w:rPr>
        <w:t>2 and 3</w:t>
      </w:r>
      <w:r>
        <w:t xml:space="preserve"> in the frequency band</w:t>
      </w:r>
      <w:r w:rsidRPr="00A93290">
        <w:t xml:space="preserve"> </w:t>
      </w:r>
      <w:r>
        <w:rPr>
          <w:bCs/>
        </w:rPr>
        <w:t>13.</w:t>
      </w:r>
      <w:r>
        <w:rPr>
          <w:rFonts w:hint="eastAsia"/>
          <w:bCs/>
          <w:lang w:eastAsia="zh-CN"/>
        </w:rPr>
        <w:t>25</w:t>
      </w:r>
      <w:r>
        <w:rPr>
          <w:bCs/>
        </w:rPr>
        <w:t>-13.75</w:t>
      </w:r>
      <w:r w:rsidRPr="00A93290">
        <w:rPr>
          <w:b/>
        </w:rPr>
        <w:t xml:space="preserve"> </w:t>
      </w:r>
      <w:r w:rsidRPr="00A93290">
        <w:t>GHz</w:t>
      </w:r>
      <w:r>
        <w:rPr>
          <w:rFonts w:hint="eastAsia"/>
          <w:lang w:eastAsia="zh-CN"/>
        </w:rPr>
        <w:t>.</w:t>
      </w:r>
    </w:p>
    <w:p w:rsidR="005D0DC6" w:rsidRDefault="005D0DC6" w:rsidP="008D283D">
      <w:pPr>
        <w:rPr>
          <w:lang w:eastAsia="zh-CN"/>
        </w:rPr>
      </w:pPr>
      <w:r>
        <w:rPr>
          <w:lang w:eastAsia="zh-CN"/>
        </w:rPr>
        <w:t xml:space="preserve">On </w:t>
      </w:r>
      <w:r w:rsidRPr="006643FC">
        <w:rPr>
          <w:lang w:eastAsia="zh-CN"/>
        </w:rPr>
        <w:t xml:space="preserve">condition </w:t>
      </w:r>
      <w:r>
        <w:rPr>
          <w:lang w:eastAsia="zh-CN"/>
        </w:rPr>
        <w:t xml:space="preserve">that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protection</w:t>
      </w:r>
      <w:r w:rsidRPr="006643FC">
        <w:rPr>
          <w:lang w:eastAsia="zh-CN"/>
        </w:rPr>
        <w:t xml:space="preserve"> of the AP30A Plan and List </w:t>
      </w:r>
      <w:r>
        <w:rPr>
          <w:rFonts w:hint="eastAsia"/>
          <w:lang w:eastAsia="zh-CN"/>
        </w:rPr>
        <w:t>is</w:t>
      </w:r>
      <w:r w:rsidRPr="006643FC">
        <w:rPr>
          <w:lang w:eastAsia="zh-CN"/>
        </w:rPr>
        <w:t xml:space="preserve"> ensured, additional primary allocation</w:t>
      </w:r>
      <w:r w:rsidR="004D02AF">
        <w:rPr>
          <w:lang w:eastAsia="zh-CN"/>
        </w:rPr>
        <w:t>s</w:t>
      </w:r>
      <w:r w:rsidRPr="006643FC">
        <w:rPr>
          <w:lang w:eastAsia="zh-CN"/>
        </w:rPr>
        <w:t xml:space="preserve"> of FSS</w:t>
      </w:r>
      <w:r w:rsidRPr="00FE75F5">
        <w:t xml:space="preserve"> (Earth-to-space</w:t>
      </w:r>
      <w:r>
        <w:t>)</w:t>
      </w:r>
      <w:r w:rsidRPr="006643FC">
        <w:rPr>
          <w:lang w:eastAsia="zh-CN"/>
        </w:rPr>
        <w:t xml:space="preserve"> that are not limited to BSS feeder links </w:t>
      </w:r>
      <w:r w:rsidR="004B56D7">
        <w:rPr>
          <w:rFonts w:hint="eastAsia"/>
          <w:lang w:eastAsia="zh-CN"/>
        </w:rPr>
        <w:t>in the band 14.5-14.8</w:t>
      </w:r>
      <w:r w:rsidR="004B56D7">
        <w:rPr>
          <w:lang w:eastAsia="zh-CN"/>
        </w:rPr>
        <w:t> </w:t>
      </w:r>
      <w:r>
        <w:rPr>
          <w:rFonts w:hint="eastAsia"/>
          <w:lang w:eastAsia="zh-CN"/>
        </w:rPr>
        <w:t>GHz in Region</w:t>
      </w:r>
      <w:r w:rsidR="004D02AF">
        <w:rPr>
          <w:lang w:eastAsia="zh-CN"/>
        </w:rPr>
        <w:t>s</w:t>
      </w:r>
      <w:r>
        <w:rPr>
          <w:rFonts w:hint="eastAsia"/>
          <w:lang w:eastAsia="zh-CN"/>
        </w:rPr>
        <w:t xml:space="preserve"> 2 and 3 can be</w:t>
      </w:r>
      <w:r w:rsidRPr="006643FC">
        <w:rPr>
          <w:lang w:eastAsia="zh-CN"/>
        </w:rPr>
        <w:t xml:space="preserve"> acceptable</w:t>
      </w:r>
      <w:r>
        <w:rPr>
          <w:rFonts w:hint="eastAsia"/>
          <w:lang w:eastAsia="zh-CN"/>
        </w:rPr>
        <w:t>.</w:t>
      </w:r>
      <w:r w:rsidRPr="004B0204">
        <w:t xml:space="preserve"> </w:t>
      </w:r>
      <w:r w:rsidR="004D02AF">
        <w:t>Further</w:t>
      </w:r>
      <w:r>
        <w:t xml:space="preserve"> consideration need</w:t>
      </w:r>
      <w:r w:rsidR="004D02AF">
        <w:t>s</w:t>
      </w:r>
      <w:r>
        <w:t xml:space="preserve"> to be given to the appropriate measures which need to be taken regarding the relevant RR Articles and Appendix</w:t>
      </w:r>
      <w:r w:rsidR="004B56D7">
        <w:t> </w:t>
      </w:r>
      <w:r>
        <w:t>30A to ensure the integrity and full protection of the AP30A Plan and List.</w:t>
      </w:r>
    </w:p>
    <w:p w:rsidR="00683044" w:rsidRPr="002B15E8" w:rsidRDefault="005D0DC6" w:rsidP="004D02AF">
      <w:pPr>
        <w:jc w:val="both"/>
        <w:rPr>
          <w:b/>
          <w:lang w:eastAsia="zh-CN"/>
        </w:rPr>
      </w:pPr>
      <w:r>
        <w:rPr>
          <w:rFonts w:hint="eastAsia"/>
          <w:lang w:eastAsia="zh-CN"/>
        </w:rPr>
        <w:t>China</w:t>
      </w:r>
      <w:r w:rsidRPr="00A93290">
        <w:t xml:space="preserve"> support</w:t>
      </w:r>
      <w:r>
        <w:rPr>
          <w:rFonts w:hint="eastAsia"/>
          <w:lang w:eastAsia="zh-CN"/>
        </w:rPr>
        <w:t>s</w:t>
      </w:r>
      <w:r w:rsidRPr="00A93290">
        <w:t xml:space="preserve"> </w:t>
      </w:r>
      <w:r>
        <w:rPr>
          <w:rFonts w:hint="eastAsia"/>
          <w:lang w:eastAsia="zh-CN"/>
        </w:rPr>
        <w:t xml:space="preserve">the </w:t>
      </w:r>
      <w:r w:rsidRPr="00A93290">
        <w:t xml:space="preserve">no change (NOC) method </w:t>
      </w:r>
      <w:r>
        <w:rPr>
          <w:rFonts w:hint="eastAsia"/>
          <w:lang w:eastAsia="zh-CN"/>
        </w:rPr>
        <w:t>for</w:t>
      </w:r>
      <w:r w:rsidRPr="00A93290">
        <w:t xml:space="preserve"> the frequency </w:t>
      </w:r>
      <w:r>
        <w:t>band</w:t>
      </w:r>
      <w:r w:rsidRPr="00FE75F5">
        <w:t xml:space="preserve"> 14.8-</w:t>
      </w:r>
      <w:r>
        <w:rPr>
          <w:rFonts w:hint="eastAsia"/>
          <w:lang w:eastAsia="zh-CN"/>
        </w:rPr>
        <w:t>15.35</w:t>
      </w:r>
      <w:r w:rsidRPr="00FE75F5">
        <w:t xml:space="preserve"> GHz</w:t>
      </w:r>
      <w:r>
        <w:rPr>
          <w:rFonts w:hint="eastAsia"/>
          <w:lang w:eastAsia="zh-CN"/>
        </w:rPr>
        <w:t>.</w:t>
      </w:r>
    </w:p>
    <w:p w:rsidR="008D283D" w:rsidRPr="004B56D7" w:rsidRDefault="005D0DC6" w:rsidP="008D283D">
      <w:pPr>
        <w:pStyle w:val="Headingb"/>
        <w:rPr>
          <w:lang w:val="en-US" w:eastAsia="zh-CN"/>
        </w:rPr>
      </w:pPr>
      <w:r w:rsidRPr="004B56D7">
        <w:rPr>
          <w:rFonts w:hint="eastAsia"/>
          <w:lang w:val="en-US" w:eastAsia="zh-CN"/>
        </w:rPr>
        <w:t>Proposals</w:t>
      </w:r>
    </w:p>
    <w:p w:rsidR="00187BD9" w:rsidRPr="00683044" w:rsidRDefault="00187BD9" w:rsidP="008D283D">
      <w:pPr>
        <w:pStyle w:val="Headingb"/>
        <w:rPr>
          <w:lang w:val="en-US"/>
        </w:rPr>
      </w:pPr>
      <w:r w:rsidRPr="00683044">
        <w:rPr>
          <w:lang w:val="en-US"/>
        </w:rPr>
        <w:br w:type="page"/>
      </w:r>
    </w:p>
    <w:p w:rsidR="009B463A" w:rsidRDefault="00683044" w:rsidP="004D02AF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683044" w:rsidP="004D02AF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683044" w:rsidP="004D02AF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3C3651" w:rsidRDefault="00683044" w:rsidP="004D02AF">
      <w:pPr>
        <w:pStyle w:val="Proposal"/>
      </w:pPr>
      <w:r>
        <w:rPr>
          <w:u w:val="single"/>
        </w:rPr>
        <w:t>NOC</w:t>
      </w:r>
      <w:r>
        <w:tab/>
        <w:t>CHN/62A6A2/1</w:t>
      </w:r>
    </w:p>
    <w:p w:rsidR="009B463A" w:rsidRPr="008C7634" w:rsidRDefault="00683044" w:rsidP="004D02AF">
      <w:pPr>
        <w:pStyle w:val="Tabletitle"/>
      </w:pPr>
      <w:r w:rsidRPr="008C7634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83044" w:rsidP="004D02AF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83044" w:rsidP="004D02AF">
            <w:pPr>
              <w:pStyle w:val="Tablehead"/>
            </w:pPr>
            <w:r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83044" w:rsidP="004D02AF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83044" w:rsidP="004D02AF">
            <w:pPr>
              <w:pStyle w:val="Tablehead"/>
            </w:pPr>
            <w:r>
              <w:t>Region 3</w:t>
            </w:r>
          </w:p>
        </w:tc>
      </w:tr>
      <w:tr w:rsidR="009B463A" w:rsidTr="004775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13.25-13.4</w:t>
            </w:r>
            <w:r>
              <w:rPr>
                <w:color w:val="000000"/>
                <w:lang w:val="en-AU"/>
              </w:rPr>
              <w:tab/>
              <w:t>EARTH EXPLORATION-SATELLITE (active)</w:t>
            </w:r>
          </w:p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AERONAUTICAL RADIONAVIGATION  </w:t>
            </w:r>
            <w:r>
              <w:rPr>
                <w:rStyle w:val="Artref"/>
                <w:color w:val="000000"/>
                <w:lang w:val="en-AU"/>
              </w:rPr>
              <w:t>5.497</w:t>
            </w:r>
          </w:p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(active)</w:t>
            </w:r>
          </w:p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5.498A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5.499</w:t>
            </w:r>
          </w:p>
        </w:tc>
      </w:tr>
      <w:tr w:rsidR="009B463A" w:rsidTr="004775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13.4-13.75</w:t>
            </w:r>
            <w:r>
              <w:rPr>
                <w:color w:val="000000"/>
                <w:lang w:val="en-AU"/>
              </w:rPr>
              <w:tab/>
              <w:t>EARTH EXPLORATION-SATELLITE (active)</w:t>
            </w:r>
          </w:p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RADIOLOCATION</w:t>
            </w:r>
          </w:p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SPACE RESEARCH  </w:t>
            </w:r>
            <w:r>
              <w:rPr>
                <w:rStyle w:val="Artref"/>
                <w:color w:val="000000"/>
                <w:lang w:val="en-AU"/>
              </w:rPr>
              <w:t>5.501A</w:t>
            </w:r>
          </w:p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Standard frequency and time signal-satellite (Earth-to-space)</w:t>
            </w:r>
          </w:p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5.499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5.500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5.501B</w:t>
            </w:r>
          </w:p>
        </w:tc>
      </w:tr>
    </w:tbl>
    <w:p w:rsidR="003C3651" w:rsidRDefault="00683044" w:rsidP="008A206A">
      <w:pPr>
        <w:pStyle w:val="Reasons"/>
        <w:rPr>
          <w:lang w:eastAsia="zh-CN"/>
        </w:rPr>
      </w:pPr>
      <w:r>
        <w:rPr>
          <w:b/>
          <w:lang w:eastAsia="zh-CN"/>
        </w:rPr>
        <w:t>Reasons:</w:t>
      </w:r>
      <w:r>
        <w:rPr>
          <w:lang w:eastAsia="zh-CN"/>
        </w:rPr>
        <w:tab/>
      </w:r>
      <w:r w:rsidR="0051430D" w:rsidRPr="0051430D">
        <w:rPr>
          <w:lang w:eastAsia="zh-CN"/>
        </w:rPr>
        <w:t>No additional allocation to the FSS (E</w:t>
      </w:r>
      <w:r w:rsidR="0051430D">
        <w:rPr>
          <w:lang w:eastAsia="zh-CN"/>
        </w:rPr>
        <w:t xml:space="preserve">arth-to-space) should be made </w:t>
      </w:r>
      <w:r w:rsidR="008A206A">
        <w:rPr>
          <w:lang w:eastAsia="zh-CN"/>
        </w:rPr>
        <w:t>in</w:t>
      </w:r>
      <w:r w:rsidR="0051430D" w:rsidRPr="0051430D">
        <w:rPr>
          <w:lang w:eastAsia="zh-CN"/>
        </w:rPr>
        <w:t xml:space="preserve"> the band 13.25-13.75 GHz for Region</w:t>
      </w:r>
      <w:r w:rsidR="008A206A">
        <w:rPr>
          <w:lang w:eastAsia="zh-CN"/>
        </w:rPr>
        <w:t>s</w:t>
      </w:r>
      <w:r w:rsidR="0051430D" w:rsidRPr="0051430D">
        <w:rPr>
          <w:lang w:eastAsia="zh-CN"/>
        </w:rPr>
        <w:t xml:space="preserve"> 2 and 3 </w:t>
      </w:r>
      <w:r w:rsidR="008A206A">
        <w:rPr>
          <w:lang w:eastAsia="zh-CN"/>
        </w:rPr>
        <w:t>owing</w:t>
      </w:r>
      <w:r w:rsidR="0051430D" w:rsidRPr="0051430D">
        <w:rPr>
          <w:lang w:eastAsia="zh-CN"/>
        </w:rPr>
        <w:t xml:space="preserve"> to incompatibility with existing services.</w:t>
      </w:r>
    </w:p>
    <w:p w:rsidR="003C3651" w:rsidRDefault="00683044" w:rsidP="004D02AF">
      <w:pPr>
        <w:pStyle w:val="Proposal"/>
      </w:pPr>
      <w:r>
        <w:rPr>
          <w:u w:val="single"/>
        </w:rPr>
        <w:t>NOC</w:t>
      </w:r>
      <w:r>
        <w:tab/>
        <w:t>CHN/62A6A2/2</w:t>
      </w:r>
    </w:p>
    <w:p w:rsidR="009B463A" w:rsidRPr="005A0175" w:rsidRDefault="00683044" w:rsidP="004D02AF">
      <w:pPr>
        <w:pStyle w:val="Tabletitle"/>
      </w:pPr>
      <w:r w:rsidRPr="005A0175"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C96DC5" w:rsidRDefault="00683044" w:rsidP="004D02AF">
            <w:pPr>
              <w:pStyle w:val="Tablehead"/>
              <w:rPr>
                <w:lang w:val="en-US"/>
              </w:rPr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51908" w:rsidRDefault="00683044" w:rsidP="004D02AF">
            <w:pPr>
              <w:pStyle w:val="Tablehead"/>
            </w:pPr>
            <w:r w:rsidRPr="00651908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51908" w:rsidRDefault="00683044" w:rsidP="004D02AF">
            <w:pPr>
              <w:pStyle w:val="Tablehead"/>
            </w:pPr>
            <w:r w:rsidRPr="00651908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51908" w:rsidRDefault="00683044" w:rsidP="004D02AF">
            <w:pPr>
              <w:pStyle w:val="Tablehead"/>
            </w:pPr>
            <w:r w:rsidRPr="00651908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14.8-15.35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</w:t>
            </w:r>
          </w:p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</w:t>
            </w:r>
          </w:p>
          <w:p w:rsidR="009B463A" w:rsidRDefault="00683044" w:rsidP="004D02AF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5.339</w:t>
            </w:r>
          </w:p>
        </w:tc>
      </w:tr>
    </w:tbl>
    <w:p w:rsidR="00C300BD" w:rsidRDefault="00683044" w:rsidP="008A206A">
      <w:pPr>
        <w:pStyle w:val="Reasons"/>
        <w:rPr>
          <w:lang w:eastAsia="zh-CN"/>
        </w:rPr>
      </w:pPr>
      <w:r>
        <w:rPr>
          <w:b/>
          <w:lang w:eastAsia="zh-CN"/>
        </w:rPr>
        <w:t>Reasons:</w:t>
      </w:r>
      <w:r>
        <w:rPr>
          <w:lang w:eastAsia="zh-CN"/>
        </w:rPr>
        <w:tab/>
      </w:r>
      <w:r w:rsidR="0051430D">
        <w:rPr>
          <w:lang w:eastAsia="zh-CN"/>
        </w:rPr>
        <w:t xml:space="preserve">No change </w:t>
      </w:r>
      <w:r w:rsidR="0051430D">
        <w:rPr>
          <w:rFonts w:hint="eastAsia"/>
          <w:lang w:eastAsia="zh-CN"/>
        </w:rPr>
        <w:t>to</w:t>
      </w:r>
      <w:r w:rsidR="0051430D" w:rsidRPr="0051430D">
        <w:rPr>
          <w:lang w:eastAsia="zh-CN"/>
        </w:rPr>
        <w:t xml:space="preserve"> the band 14.8-15.35 GHz </w:t>
      </w:r>
      <w:r w:rsidR="008A206A">
        <w:rPr>
          <w:lang w:eastAsia="zh-CN"/>
        </w:rPr>
        <w:t>owing</w:t>
      </w:r>
      <w:r w:rsidR="0051430D" w:rsidRPr="0051430D">
        <w:rPr>
          <w:lang w:eastAsia="zh-CN"/>
        </w:rPr>
        <w:t xml:space="preserve"> to </w:t>
      </w:r>
      <w:r w:rsidR="008A206A">
        <w:rPr>
          <w:lang w:eastAsia="zh-CN"/>
        </w:rPr>
        <w:t xml:space="preserve">the </w:t>
      </w:r>
      <w:r w:rsidR="0051430D" w:rsidRPr="0051430D">
        <w:rPr>
          <w:lang w:eastAsia="zh-CN"/>
        </w:rPr>
        <w:t xml:space="preserve">difficulty </w:t>
      </w:r>
      <w:r w:rsidR="008A206A">
        <w:rPr>
          <w:lang w:eastAsia="zh-CN"/>
        </w:rPr>
        <w:t>of</w:t>
      </w:r>
      <w:r w:rsidR="0051430D" w:rsidRPr="0051430D">
        <w:rPr>
          <w:lang w:eastAsia="zh-CN"/>
        </w:rPr>
        <w:t xml:space="preserve"> implementing the FSS in this band.</w:t>
      </w:r>
    </w:p>
    <w:p w:rsidR="004B56D7" w:rsidRDefault="004B56D7" w:rsidP="008A206A">
      <w:pPr>
        <w:pStyle w:val="Reasons"/>
        <w:rPr>
          <w:lang w:eastAsia="zh-CN"/>
        </w:rPr>
      </w:pPr>
    </w:p>
    <w:p w:rsidR="004B56D7" w:rsidRDefault="004B56D7" w:rsidP="008A206A">
      <w:pPr>
        <w:pStyle w:val="Reasons"/>
        <w:rPr>
          <w:lang w:eastAsia="zh-CN"/>
        </w:rPr>
      </w:pPr>
    </w:p>
    <w:p w:rsidR="00C300BD" w:rsidRPr="00C300BD" w:rsidRDefault="00C300BD" w:rsidP="004D02AF">
      <w:pPr>
        <w:jc w:val="center"/>
        <w:rPr>
          <w:lang w:eastAsia="zh-CN"/>
        </w:rPr>
      </w:pPr>
      <w:r>
        <w:t>______________</w:t>
      </w:r>
    </w:p>
    <w:sectPr w:rsidR="00C300BD" w:rsidRPr="00C300B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3186A">
      <w:rPr>
        <w:noProof/>
        <w:lang w:val="en-US"/>
      </w:rPr>
      <w:t>P:\TRAD\C\ITU-R\CONF-R\CMR15\000\062ADD06ADD02C.docx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60EA">
      <w:rPr>
        <w:noProof/>
      </w:rPr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186A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4B56D7" w:rsidP="00683044">
    <w:pPr>
      <w:pStyle w:val="Footer"/>
    </w:pPr>
    <w:fldSimple w:instr=" FILENAME \p  \* MERGEFORMAT ">
      <w:r>
        <w:t>P:\ENG\ITU-R\CONF-R\CMR15\000\062ADD06ADD02V2E.docx</w:t>
      </w:r>
    </w:fldSimple>
    <w:r w:rsidR="0081075C">
      <w:t xml:space="preserve"> (388501)</w:t>
    </w:r>
    <w:r w:rsidR="0081075C">
      <w:tab/>
    </w:r>
    <w:r w:rsidR="0081075C">
      <w:fldChar w:fldCharType="begin"/>
    </w:r>
    <w:r w:rsidR="0081075C">
      <w:instrText xml:space="preserve"> SAVEDATE \@ DD.MM.YY </w:instrText>
    </w:r>
    <w:r w:rsidR="0081075C">
      <w:fldChar w:fldCharType="separate"/>
    </w:r>
    <w:r w:rsidR="001060EA">
      <w:t>26.10.15</w:t>
    </w:r>
    <w:r w:rsidR="0081075C">
      <w:fldChar w:fldCharType="end"/>
    </w:r>
    <w:r w:rsidR="0081075C">
      <w:tab/>
    </w:r>
    <w:r w:rsidR="0081075C">
      <w:fldChar w:fldCharType="begin"/>
    </w:r>
    <w:r w:rsidR="0081075C">
      <w:instrText xml:space="preserve"> PRINTDATE \@ DD.MM.YY </w:instrText>
    </w:r>
    <w:r w:rsidR="0081075C">
      <w:fldChar w:fldCharType="separate"/>
    </w:r>
    <w:r w:rsidR="0081075C">
      <w:t>19.10.15</w:t>
    </w:r>
    <w:r w:rsidR="0081075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81075C" w:rsidRDefault="001060EA" w:rsidP="0081075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B56D7">
      <w:t>P:\ENG\ITU-R\CONF-R\CMR15\000\062ADD06ADD02V2E.docx</w:t>
    </w:r>
    <w:r>
      <w:fldChar w:fldCharType="end"/>
    </w:r>
    <w:r w:rsidR="0081075C">
      <w:t xml:space="preserve"> (388501)</w:t>
    </w:r>
    <w:r w:rsidR="0081075C">
      <w:tab/>
    </w:r>
    <w:r w:rsidR="0081075C">
      <w:fldChar w:fldCharType="begin"/>
    </w:r>
    <w:r w:rsidR="0081075C">
      <w:instrText xml:space="preserve"> SAVEDATE \@ DD.MM.YY </w:instrText>
    </w:r>
    <w:r w:rsidR="0081075C">
      <w:fldChar w:fldCharType="separate"/>
    </w:r>
    <w:r>
      <w:t>26.10.15</w:t>
    </w:r>
    <w:r w:rsidR="0081075C">
      <w:fldChar w:fldCharType="end"/>
    </w:r>
    <w:r w:rsidR="0081075C">
      <w:tab/>
    </w:r>
    <w:r w:rsidR="0081075C">
      <w:fldChar w:fldCharType="begin"/>
    </w:r>
    <w:r w:rsidR="0081075C">
      <w:instrText xml:space="preserve"> PRINTDATE \@ DD.MM.YY </w:instrText>
    </w:r>
    <w:r w:rsidR="0081075C">
      <w:fldChar w:fldCharType="separate"/>
    </w:r>
    <w:r w:rsidR="0081075C">
      <w:t>19.10.15</w:t>
    </w:r>
    <w:r w:rsidR="0081075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060EA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62(Add.6)(Add.2)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0D05C2F-0063-4127-976B-EE6325B06B95}"/>
    <w:docVar w:name="dgnword-eventsink" w:val="351474416"/>
  </w:docVars>
  <w:rsids>
    <w:rsidRoot w:val="00A066F1"/>
    <w:rsid w:val="000041EA"/>
    <w:rsid w:val="00022A29"/>
    <w:rsid w:val="0003404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060EA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C3651"/>
    <w:rsid w:val="003D0F8B"/>
    <w:rsid w:val="003E0DB6"/>
    <w:rsid w:val="0041348E"/>
    <w:rsid w:val="00420873"/>
    <w:rsid w:val="00492075"/>
    <w:rsid w:val="004969AD"/>
    <w:rsid w:val="004A26C4"/>
    <w:rsid w:val="004B13CB"/>
    <w:rsid w:val="004B56D7"/>
    <w:rsid w:val="004D02AF"/>
    <w:rsid w:val="004D26EA"/>
    <w:rsid w:val="004D2BFB"/>
    <w:rsid w:val="004D5D5C"/>
    <w:rsid w:val="0050139F"/>
    <w:rsid w:val="0051430D"/>
    <w:rsid w:val="0055140B"/>
    <w:rsid w:val="005964AB"/>
    <w:rsid w:val="005C099A"/>
    <w:rsid w:val="005C31A5"/>
    <w:rsid w:val="005D0DC6"/>
    <w:rsid w:val="005E10C9"/>
    <w:rsid w:val="005E290B"/>
    <w:rsid w:val="005E61DD"/>
    <w:rsid w:val="006023DF"/>
    <w:rsid w:val="00616219"/>
    <w:rsid w:val="00657DE0"/>
    <w:rsid w:val="00683044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075C"/>
    <w:rsid w:val="00811633"/>
    <w:rsid w:val="00841216"/>
    <w:rsid w:val="00872FC8"/>
    <w:rsid w:val="008845D0"/>
    <w:rsid w:val="00884D60"/>
    <w:rsid w:val="008A206A"/>
    <w:rsid w:val="008B43F2"/>
    <w:rsid w:val="008B6CFF"/>
    <w:rsid w:val="008D283D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86A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00BD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1BF5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922AC"/>
    <w:rsid w:val="00FA6855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905C33A-41AD-47B6-8ED3-9D8F7A5E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46BD7-8815-4406-A48F-60728FD9799E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www.w3.org/XML/1998/namespace"/>
    <ds:schemaRef ds:uri="996b2e75-67fd-4955-a3b0-5ab9934cb50b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751B384-30C1-48F5-B0E1-998F20F0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8</TotalTime>
  <Pages>2</Pages>
  <Words>337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R15-WRC15-C-0062!A6-A2!MSW-E</vt:lpstr>
    </vt:vector>
  </TitlesOfParts>
  <Manager>General Secretariat - Pool</Manager>
  <Company>International Telecommunication Union (ITU)</Company>
  <LinksUpToDate>false</LinksUpToDate>
  <CharactersWithSpaces>2351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R15-WRC15-C-0062!A6-A2!MSW-E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Pavlenko, Kseniia</cp:lastModifiedBy>
  <cp:revision>4</cp:revision>
  <cp:lastPrinted>2015-10-19T13:46:00Z</cp:lastPrinted>
  <dcterms:created xsi:type="dcterms:W3CDTF">2015-10-26T12:38:00Z</dcterms:created>
  <dcterms:modified xsi:type="dcterms:W3CDTF">2015-10-26T13:19:00Z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