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81D7F" w:rsidTr="0050008E">
        <w:trPr>
          <w:cantSplit/>
        </w:trPr>
        <w:tc>
          <w:tcPr>
            <w:tcW w:w="6911" w:type="dxa"/>
          </w:tcPr>
          <w:p w:rsidR="00BB1D82" w:rsidRPr="00E81D7F" w:rsidRDefault="00851625" w:rsidP="00A47553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E81D7F">
              <w:rPr>
                <w:rFonts w:ascii="Verdana" w:hAnsi="Verdana"/>
                <w:b/>
                <w:bCs/>
                <w:sz w:val="20"/>
              </w:rPr>
              <w:t>Conférence mondiale des radiocommunications (CMR-15)</w:t>
            </w:r>
            <w:r w:rsidRPr="00E81D7F">
              <w:rPr>
                <w:rFonts w:ascii="Verdana" w:hAnsi="Verdana"/>
                <w:b/>
                <w:bCs/>
                <w:sz w:val="20"/>
              </w:rPr>
              <w:br/>
            </w:r>
            <w:r w:rsidRPr="00E81D7F">
              <w:rPr>
                <w:rFonts w:ascii="Verdana" w:hAnsi="Verdana"/>
                <w:b/>
                <w:bCs/>
                <w:sz w:val="18"/>
                <w:szCs w:val="18"/>
              </w:rPr>
              <w:t>Genève,</w:t>
            </w:r>
            <w:r w:rsidR="00E537FF" w:rsidRPr="00E81D7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81D7F">
              <w:rPr>
                <w:rFonts w:ascii="Verdana" w:hAnsi="Verdana"/>
                <w:b/>
                <w:bCs/>
                <w:sz w:val="18"/>
                <w:szCs w:val="18"/>
              </w:rPr>
              <w:t>2-27 novembre 2015</w:t>
            </w:r>
          </w:p>
        </w:tc>
        <w:tc>
          <w:tcPr>
            <w:tcW w:w="3120" w:type="dxa"/>
          </w:tcPr>
          <w:p w:rsidR="00BB1D82" w:rsidRPr="00E81D7F" w:rsidRDefault="002C28A4" w:rsidP="00A47553">
            <w:pPr>
              <w:spacing w:before="0"/>
              <w:jc w:val="right"/>
            </w:pPr>
            <w:bookmarkStart w:id="0" w:name="ditulogo"/>
            <w:bookmarkEnd w:id="0"/>
            <w:r w:rsidRPr="00E81D7F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81D7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E81D7F" w:rsidRDefault="002C28A4" w:rsidP="00A47553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E81D7F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E81D7F" w:rsidRDefault="00BB1D82" w:rsidP="00A47553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E81D7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E81D7F" w:rsidRDefault="00BB1D82" w:rsidP="00A4755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E81D7F" w:rsidRDefault="00BB1D82" w:rsidP="00A47553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E81D7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E81D7F" w:rsidRDefault="006D4724" w:rsidP="00A4755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1D7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E81D7F" w:rsidRDefault="006D4724" w:rsidP="00A47553">
            <w:pPr>
              <w:spacing w:before="0"/>
              <w:rPr>
                <w:rFonts w:ascii="Verdana" w:hAnsi="Verdana"/>
                <w:sz w:val="20"/>
              </w:rPr>
            </w:pPr>
            <w:r w:rsidRPr="00E81D7F">
              <w:rPr>
                <w:rFonts w:ascii="Verdana" w:eastAsia="SimSun" w:hAnsi="Verdana" w:cs="Traditional Arabic"/>
                <w:b/>
                <w:sz w:val="20"/>
              </w:rPr>
              <w:t>Addendum 25 au</w:t>
            </w:r>
            <w:r w:rsidRPr="00E81D7F">
              <w:rPr>
                <w:rFonts w:ascii="Verdana" w:eastAsia="SimSun" w:hAnsi="Verdana" w:cs="Traditional Arabic"/>
                <w:b/>
                <w:sz w:val="20"/>
              </w:rPr>
              <w:br/>
              <w:t>Document 62</w:t>
            </w:r>
            <w:r w:rsidR="00BB1D82" w:rsidRPr="00E81D7F">
              <w:rPr>
                <w:rFonts w:ascii="Verdana" w:hAnsi="Verdana"/>
                <w:b/>
                <w:sz w:val="20"/>
              </w:rPr>
              <w:t>-</w:t>
            </w:r>
            <w:r w:rsidRPr="00E81D7F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E81D7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E81D7F" w:rsidRDefault="00690C7B" w:rsidP="00A4755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E81D7F" w:rsidRDefault="00690C7B" w:rsidP="00A4755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1D7F">
              <w:rPr>
                <w:rFonts w:ascii="Verdana" w:hAnsi="Verdana"/>
                <w:b/>
                <w:sz w:val="20"/>
              </w:rPr>
              <w:t>16 octobre 2015</w:t>
            </w:r>
          </w:p>
        </w:tc>
      </w:tr>
      <w:tr w:rsidR="00690C7B" w:rsidRPr="00E81D7F" w:rsidTr="00BB1D82">
        <w:trPr>
          <w:cantSplit/>
        </w:trPr>
        <w:tc>
          <w:tcPr>
            <w:tcW w:w="6911" w:type="dxa"/>
          </w:tcPr>
          <w:p w:rsidR="00690C7B" w:rsidRPr="00E81D7F" w:rsidRDefault="00690C7B" w:rsidP="00A4755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E81D7F" w:rsidRDefault="00690C7B" w:rsidP="00A4755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1D7F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E81D7F" w:rsidTr="00C11970">
        <w:trPr>
          <w:cantSplit/>
        </w:trPr>
        <w:tc>
          <w:tcPr>
            <w:tcW w:w="10031" w:type="dxa"/>
            <w:gridSpan w:val="2"/>
          </w:tcPr>
          <w:p w:rsidR="00690C7B" w:rsidRPr="00E81D7F" w:rsidRDefault="00690C7B" w:rsidP="00A4755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81D7F" w:rsidTr="0050008E">
        <w:trPr>
          <w:cantSplit/>
        </w:trPr>
        <w:tc>
          <w:tcPr>
            <w:tcW w:w="10031" w:type="dxa"/>
            <w:gridSpan w:val="2"/>
          </w:tcPr>
          <w:p w:rsidR="00690C7B" w:rsidRPr="00E81D7F" w:rsidRDefault="00690C7B" w:rsidP="00A47553">
            <w:pPr>
              <w:pStyle w:val="Source"/>
            </w:pPr>
            <w:bookmarkStart w:id="2" w:name="dsource" w:colFirst="0" w:colLast="0"/>
            <w:r w:rsidRPr="00E81D7F">
              <w:t>Chine (République populaire de)</w:t>
            </w:r>
          </w:p>
        </w:tc>
      </w:tr>
      <w:tr w:rsidR="00690C7B" w:rsidRPr="00E81D7F" w:rsidTr="0050008E">
        <w:trPr>
          <w:cantSplit/>
        </w:trPr>
        <w:tc>
          <w:tcPr>
            <w:tcW w:w="10031" w:type="dxa"/>
            <w:gridSpan w:val="2"/>
          </w:tcPr>
          <w:p w:rsidR="00690C7B" w:rsidRPr="00E81D7F" w:rsidRDefault="00304EB9" w:rsidP="00A47553">
            <w:pPr>
              <w:pStyle w:val="Title1"/>
            </w:pPr>
            <w:bookmarkStart w:id="3" w:name="dtitle1" w:colFirst="0" w:colLast="0"/>
            <w:bookmarkEnd w:id="2"/>
            <w:r w:rsidRPr="00E81D7F">
              <w:t>PROPOSITIONS POUR LES TRAVAUX DE LA CONFÉRENCE</w:t>
            </w:r>
          </w:p>
        </w:tc>
      </w:tr>
      <w:tr w:rsidR="00690C7B" w:rsidRPr="00E81D7F" w:rsidTr="0050008E">
        <w:trPr>
          <w:cantSplit/>
        </w:trPr>
        <w:tc>
          <w:tcPr>
            <w:tcW w:w="10031" w:type="dxa"/>
            <w:gridSpan w:val="2"/>
          </w:tcPr>
          <w:p w:rsidR="00690C7B" w:rsidRPr="00E81D7F" w:rsidRDefault="00690C7B" w:rsidP="00A4755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E81D7F" w:rsidTr="0050008E">
        <w:trPr>
          <w:cantSplit/>
        </w:trPr>
        <w:tc>
          <w:tcPr>
            <w:tcW w:w="10031" w:type="dxa"/>
            <w:gridSpan w:val="2"/>
          </w:tcPr>
          <w:p w:rsidR="00690C7B" w:rsidRPr="00E81D7F" w:rsidRDefault="00690C7B" w:rsidP="00A47553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E81D7F">
              <w:rPr>
                <w:lang w:val="fr-FR"/>
              </w:rPr>
              <w:t>Point GFT(PP-14) de l'ordre du jour</w:t>
            </w:r>
          </w:p>
        </w:tc>
      </w:tr>
    </w:tbl>
    <w:bookmarkEnd w:id="5"/>
    <w:p w:rsidR="00A92BC4" w:rsidRPr="00E81D7F" w:rsidRDefault="00A168DC" w:rsidP="00A47553">
      <w:r w:rsidRPr="00E81D7F">
        <w:t xml:space="preserve">Résolution 185 (Busan, 2014) </w:t>
      </w:r>
      <w:r w:rsidRPr="00E81D7F">
        <w:tab/>
        <w:t xml:space="preserve">Suivi des vols à l'échelle mondiale pour l'aviation civile </w:t>
      </w:r>
      <w:r w:rsidR="00FB4122">
        <w:t>–</w:t>
      </w:r>
      <w:r w:rsidRPr="00E81D7F">
        <w:t xml:space="preserve"> La Conférence de plénipotentiaires de l'Union internationale des télécommunications (Busan, 2014), décide de charger la CMR-15, conformément au numéro 119 de la Convention de l'UIT, d'inscrire, d'urgence, à son ordre du jour la question du suivi des vols à l'échelle mondiale, y compris, s'il y a lieu et conformément aux pratiques suivies par l'UIT, divers aspects de cette question, compte tenu des études de l'UIT-R,</w:t>
      </w:r>
    </w:p>
    <w:p w:rsidR="003A583E" w:rsidRPr="00E81D7F" w:rsidRDefault="00304EB9" w:rsidP="00A47553">
      <w:pPr>
        <w:pStyle w:val="Headingb"/>
      </w:pPr>
      <w:r w:rsidRPr="00E81D7F">
        <w:t>Introduction</w:t>
      </w:r>
    </w:p>
    <w:p w:rsidR="00304EB9" w:rsidRPr="00E81D7F" w:rsidRDefault="00304EB9" w:rsidP="00A47553">
      <w:r w:rsidRPr="00E81D7F">
        <w:t xml:space="preserve">En novembre 2014, la Conférence de plénipotentiaires de l'UIT a adopté une Résolution à l'effet de charger la CMR-15 d'inscrire </w:t>
      </w:r>
      <w:r w:rsidR="00894680" w:rsidRPr="00E81D7F">
        <w:t xml:space="preserve">le suivi </w:t>
      </w:r>
      <w:r w:rsidRPr="00E81D7F">
        <w:t xml:space="preserve">des vols à l'échelle mondiale à son ordre du jour. </w:t>
      </w:r>
      <w:r w:rsidR="00894680" w:rsidRPr="00E81D7F">
        <w:t xml:space="preserve">Les Groupes de travail chargés de l'examen de ce point sont le GT </w:t>
      </w:r>
      <w:r w:rsidRPr="00E81D7F">
        <w:t xml:space="preserve">5B </w:t>
      </w:r>
      <w:r w:rsidR="00894680" w:rsidRPr="00E81D7F">
        <w:t>et le GT</w:t>
      </w:r>
      <w:r w:rsidRPr="00E81D7F">
        <w:t xml:space="preserve"> 4C.</w:t>
      </w:r>
    </w:p>
    <w:p w:rsidR="00304EB9" w:rsidRPr="00E81D7F" w:rsidRDefault="00304EB9" w:rsidP="00A47553">
      <w:pPr>
        <w:pStyle w:val="enumlev1"/>
      </w:pPr>
      <w:r w:rsidRPr="00E81D7F">
        <w:t>•</w:t>
      </w:r>
      <w:r w:rsidRPr="00E81D7F">
        <w:tab/>
      </w:r>
      <w:r w:rsidR="00E81D7F" w:rsidRPr="00E81D7F">
        <w:t>E</w:t>
      </w:r>
      <w:r w:rsidR="00894680" w:rsidRPr="00E81D7F">
        <w:t>tudes du GT</w:t>
      </w:r>
      <w:r w:rsidRPr="00E81D7F">
        <w:t xml:space="preserve"> 5B </w:t>
      </w:r>
    </w:p>
    <w:p w:rsidR="00304EB9" w:rsidRPr="00E81D7F" w:rsidRDefault="0038443D" w:rsidP="00A47553">
      <w:r w:rsidRPr="00E81D7F">
        <w:t>Compte tenu de la Résolution 185</w:t>
      </w:r>
      <w:r w:rsidR="00894680" w:rsidRPr="00E81D7F">
        <w:t xml:space="preserve">, certaines </w:t>
      </w:r>
      <w:r w:rsidRPr="00E81D7F">
        <w:t xml:space="preserve">administrations ont proposé </w:t>
      </w:r>
      <w:r w:rsidR="002232E5" w:rsidRPr="00E81D7F">
        <w:t>d'examiner</w:t>
      </w:r>
      <w:r w:rsidR="00F97283" w:rsidRPr="00E81D7F">
        <w:t>,</w:t>
      </w:r>
      <w:r w:rsidR="002232E5" w:rsidRPr="00E81D7F">
        <w:t xml:space="preserve"> </w:t>
      </w:r>
      <w:r w:rsidR="00F97283" w:rsidRPr="00E81D7F">
        <w:t>dans le cadre des commissions d'études de l'UIT</w:t>
      </w:r>
      <w:r w:rsidR="00F97283" w:rsidRPr="00E81D7F">
        <w:noBreakHyphen/>
        <w:t xml:space="preserve">R et à la CMR-15, </w:t>
      </w:r>
      <w:r w:rsidR="002232E5" w:rsidRPr="00E81D7F">
        <w:t>la possibilité de relayer</w:t>
      </w:r>
      <w:r w:rsidRPr="00E81D7F">
        <w:t xml:space="preserve"> par satellite les signaux de surveillance dépendante automatique en mode diffusion (ADS-B) émis par des aéronefs.</w:t>
      </w:r>
      <w:r w:rsidRPr="00E81D7F">
        <w:rPr>
          <w:lang w:eastAsia="zh-CN"/>
        </w:rPr>
        <w:t xml:space="preserve"> </w:t>
      </w:r>
      <w:r w:rsidR="002232E5" w:rsidRPr="00E81D7F">
        <w:rPr>
          <w:lang w:eastAsia="zh-CN"/>
        </w:rPr>
        <w:t xml:space="preserve">Le GT </w:t>
      </w:r>
      <w:r w:rsidRPr="00E81D7F">
        <w:t>5B</w:t>
      </w:r>
      <w:r w:rsidRPr="00E81D7F">
        <w:rPr>
          <w:lang w:eastAsia="zh-CN"/>
        </w:rPr>
        <w:t xml:space="preserve"> </w:t>
      </w:r>
      <w:r w:rsidR="002232E5" w:rsidRPr="00E81D7F">
        <w:rPr>
          <w:lang w:eastAsia="zh-CN"/>
        </w:rPr>
        <w:t>élabore actuellement deux rapports concernant cette question</w:t>
      </w:r>
      <w:r w:rsidRPr="00E81D7F">
        <w:t xml:space="preserve">, </w:t>
      </w:r>
      <w:r w:rsidR="002232E5" w:rsidRPr="00E81D7F">
        <w:t>sous la form</w:t>
      </w:r>
      <w:r w:rsidR="002232E5" w:rsidRPr="00E81D7F">
        <w:rPr>
          <w:lang w:eastAsia="zh-CN"/>
        </w:rPr>
        <w:t xml:space="preserve">e de documents de travail en vue de l'établissement des avant-projets de nouveaux Rapports </w:t>
      </w:r>
      <w:r w:rsidRPr="00E81D7F">
        <w:t xml:space="preserve">M.[GFT] </w:t>
      </w:r>
      <w:r w:rsidR="002232E5" w:rsidRPr="00E81D7F">
        <w:t xml:space="preserve">et </w:t>
      </w:r>
      <w:r w:rsidRPr="00E81D7F">
        <w:t>M.[ADS-B].</w:t>
      </w:r>
    </w:p>
    <w:p w:rsidR="002232E5" w:rsidRPr="00E81D7F" w:rsidRDefault="002232E5" w:rsidP="00A47553">
      <w:r w:rsidRPr="00E81D7F">
        <w:t>L</w:t>
      </w:r>
      <w:r w:rsidR="008458AB" w:rsidRPr="00E81D7F">
        <w:t>e document de travail en vue de l</w:t>
      </w:r>
      <w:r w:rsidRPr="00E81D7F">
        <w:t>'avant-projet de nouveau Rapport</w:t>
      </w:r>
      <w:r w:rsidR="00DD62BE" w:rsidRPr="00E81D7F">
        <w:t xml:space="preserve"> M.[GFT] </w:t>
      </w:r>
      <w:r w:rsidRPr="00E81D7F">
        <w:t xml:space="preserve">contient une présentation générale de la question du suivi des vols à l'échelle mondiale, y compris la conception, les </w:t>
      </w:r>
      <w:r w:rsidR="0038322E" w:rsidRPr="00E81D7F">
        <w:t>prescriptions</w:t>
      </w:r>
      <w:r w:rsidRPr="00E81D7F">
        <w:t xml:space="preserve">, les objectifs, les systèmes </w:t>
      </w:r>
      <w:r w:rsidR="002D0356" w:rsidRPr="00E81D7F">
        <w:t>concernés</w:t>
      </w:r>
      <w:r w:rsidR="0038322E" w:rsidRPr="00E81D7F">
        <w:t xml:space="preserve"> </w:t>
      </w:r>
      <w:r w:rsidRPr="00E81D7F">
        <w:t xml:space="preserve">et les systèmes en cours d'élaboration. </w:t>
      </w:r>
      <w:r w:rsidR="00ED1FA8" w:rsidRPr="00E81D7F">
        <w:t>D'après le Rapport, tous les systèmes de Terre et par satellite qui peuvent être utilisés</w:t>
      </w:r>
      <w:r w:rsidR="008458AB" w:rsidRPr="00E81D7F">
        <w:t xml:space="preserve">, tels que les systèmes de radars secondaires de surveillance (SSR) et les systèmes de surveillance dépendante automatique en mode contrat (ADS-C), </w:t>
      </w:r>
      <w:r w:rsidR="00ED1FA8" w:rsidRPr="00E81D7F">
        <w:t xml:space="preserve">devraient être pris en considération </w:t>
      </w:r>
      <w:r w:rsidR="0038322E" w:rsidRPr="00E81D7F">
        <w:t>lors de l'examen de</w:t>
      </w:r>
      <w:r w:rsidR="008458AB" w:rsidRPr="00E81D7F">
        <w:t xml:space="preserve"> la question du</w:t>
      </w:r>
      <w:r w:rsidR="00ED1FA8" w:rsidRPr="00E81D7F">
        <w:t xml:space="preserve"> suivi des vols à </w:t>
      </w:r>
      <w:r w:rsidR="008458AB" w:rsidRPr="00E81D7F">
        <w:t>l'échelle mondiale.</w:t>
      </w:r>
    </w:p>
    <w:p w:rsidR="00DD62BE" w:rsidRPr="00E81D7F" w:rsidRDefault="008458AB" w:rsidP="00A47553">
      <w:r w:rsidRPr="00E81D7F">
        <w:t xml:space="preserve">Le document de travail en vue de l'avant-projet de nouveau Rapport </w:t>
      </w:r>
      <w:r w:rsidR="00DD62BE" w:rsidRPr="00E81D7F">
        <w:t xml:space="preserve">M.[ADS-B] </w:t>
      </w:r>
      <w:r w:rsidRPr="00E81D7F">
        <w:t xml:space="preserve">décrit le fonctionnement actuel des systèmes </w:t>
      </w:r>
      <w:r w:rsidR="0038322E" w:rsidRPr="00E81D7F">
        <w:t xml:space="preserve">ADS-B </w:t>
      </w:r>
      <w:r w:rsidRPr="00E81D7F">
        <w:t xml:space="preserve">de Terre </w:t>
      </w:r>
      <w:r w:rsidR="0038322E" w:rsidRPr="00E81D7F">
        <w:t xml:space="preserve">fonctionnant conformément aux normes </w:t>
      </w:r>
      <w:r w:rsidR="0038322E" w:rsidRPr="00E81D7F">
        <w:lastRenderedPageBreak/>
        <w:t>internationales</w:t>
      </w:r>
      <w:r w:rsidRPr="00E81D7F">
        <w:t xml:space="preserve"> et</w:t>
      </w:r>
      <w:r w:rsidR="00A47553" w:rsidRPr="00E81D7F">
        <w:t xml:space="preserve"> </w:t>
      </w:r>
      <w:r w:rsidR="0038322E" w:rsidRPr="00E81D7F">
        <w:t xml:space="preserve">la mise en œuvre possible de la composante satellite des </w:t>
      </w:r>
      <w:r w:rsidRPr="00E81D7F">
        <w:t>systèmes AD</w:t>
      </w:r>
      <w:r w:rsidR="0038322E" w:rsidRPr="00E81D7F">
        <w:t xml:space="preserve">S-B, </w:t>
      </w:r>
      <w:r w:rsidRPr="00E81D7F">
        <w:t xml:space="preserve">et contient une étude de </w:t>
      </w:r>
      <w:r w:rsidR="00DD62BE" w:rsidRPr="00E81D7F">
        <w:t>co</w:t>
      </w:r>
      <w:r w:rsidRPr="00E81D7F">
        <w:t>mpatibilité</w:t>
      </w:r>
      <w:r w:rsidR="00DD62BE" w:rsidRPr="00E81D7F">
        <w:t xml:space="preserve"> </w:t>
      </w:r>
      <w:r w:rsidR="0038322E" w:rsidRPr="00E81D7F">
        <w:t>entre le</w:t>
      </w:r>
      <w:r w:rsidRPr="00E81D7F">
        <w:t xml:space="preserve"> </w:t>
      </w:r>
      <w:r w:rsidR="0038322E" w:rsidRPr="00E81D7F">
        <w:t>système</w:t>
      </w:r>
      <w:r w:rsidRPr="00E81D7F">
        <w:t xml:space="preserve"> </w:t>
      </w:r>
      <w:r w:rsidR="00DD62BE" w:rsidRPr="00E81D7F">
        <w:t xml:space="preserve">ADS-B </w:t>
      </w:r>
      <w:r w:rsidRPr="00E81D7F">
        <w:t>par satellite</w:t>
      </w:r>
      <w:r w:rsidR="0038322E" w:rsidRPr="00E81D7F">
        <w:t xml:space="preserve"> proposé</w:t>
      </w:r>
      <w:r w:rsidRPr="00E81D7F">
        <w:t xml:space="preserve"> et les services existants fonctionnant dans la même bande</w:t>
      </w:r>
      <w:r w:rsidR="00DD62BE" w:rsidRPr="00E81D7F">
        <w:t>.</w:t>
      </w:r>
      <w:r w:rsidR="00DD62BE" w:rsidRPr="00E81D7F">
        <w:rPr>
          <w:lang w:eastAsia="zh-CN"/>
        </w:rPr>
        <w:t xml:space="preserve"> </w:t>
      </w:r>
      <w:r w:rsidRPr="00E81D7F">
        <w:rPr>
          <w:lang w:eastAsia="zh-CN"/>
        </w:rPr>
        <w:t xml:space="preserve">Le système </w:t>
      </w:r>
      <w:r w:rsidR="00DD62BE" w:rsidRPr="00E81D7F">
        <w:t xml:space="preserve">ADS-B </w:t>
      </w:r>
      <w:r w:rsidRPr="00E81D7F">
        <w:t xml:space="preserve">par </w:t>
      </w:r>
      <w:r w:rsidR="00DD62BE" w:rsidRPr="00E81D7F">
        <w:t xml:space="preserve">satellite </w:t>
      </w:r>
      <w:r w:rsidRPr="00E81D7F">
        <w:t xml:space="preserve">proposé nécessite une nouvelle attribution au service mobile aéronautique </w:t>
      </w:r>
      <w:r w:rsidR="00DD62BE" w:rsidRPr="00E81D7F">
        <w:t xml:space="preserve">(R) </w:t>
      </w:r>
      <w:r w:rsidR="002D0356" w:rsidRPr="00E81D7F">
        <w:t>par satellite au voisinage de</w:t>
      </w:r>
      <w:r w:rsidR="00DD62BE" w:rsidRPr="00E81D7F">
        <w:t xml:space="preserve"> 1 090 MHz. </w:t>
      </w:r>
      <w:r w:rsidR="00A702C9" w:rsidRPr="00E81D7F">
        <w:t xml:space="preserve">La bande de fréquences </w:t>
      </w:r>
      <w:r w:rsidR="00DD62BE" w:rsidRPr="00E81D7F">
        <w:t xml:space="preserve">960-1 164 MHz </w:t>
      </w:r>
      <w:r w:rsidR="00A702C9" w:rsidRPr="00E81D7F">
        <w:t xml:space="preserve">est actuellement attribuée dans le </w:t>
      </w:r>
      <w:r w:rsidR="00DD62BE" w:rsidRPr="00E81D7F">
        <w:rPr>
          <w:lang w:eastAsia="zh-CN"/>
        </w:rPr>
        <w:t xml:space="preserve">RR </w:t>
      </w:r>
      <w:r w:rsidR="00A702C9" w:rsidRPr="00E81D7F">
        <w:rPr>
          <w:lang w:eastAsia="zh-CN"/>
        </w:rPr>
        <w:t>au service mobile aéronautique</w:t>
      </w:r>
      <w:r w:rsidR="00DD62BE" w:rsidRPr="00E81D7F">
        <w:t xml:space="preserve"> (R) </w:t>
      </w:r>
      <w:r w:rsidR="0038322E" w:rsidRPr="00E81D7F">
        <w:t>et au</w:t>
      </w:r>
      <w:r w:rsidR="00A702C9" w:rsidRPr="00E81D7F">
        <w:t xml:space="preserve"> service de radionavigation aéronautique</w:t>
      </w:r>
      <w:r w:rsidR="00DD62BE" w:rsidRPr="00E81D7F">
        <w:t xml:space="preserve"> (</w:t>
      </w:r>
      <w:r w:rsidR="00A702C9" w:rsidRPr="00E81D7F">
        <w:t>SRNA</w:t>
      </w:r>
      <w:r w:rsidR="00DD62BE" w:rsidRPr="00E81D7F">
        <w:t xml:space="preserve">) </w:t>
      </w:r>
      <w:r w:rsidR="00A702C9" w:rsidRPr="00E81D7F">
        <w:t>à titre primaire</w:t>
      </w:r>
      <w:r w:rsidR="00DD62BE" w:rsidRPr="00E81D7F">
        <w:t xml:space="preserve">. </w:t>
      </w:r>
      <w:r w:rsidR="00A702C9" w:rsidRPr="00E81D7F">
        <w:t>Aucune attribution n'est faite dans cette bande pour l'exploitation des satellites</w:t>
      </w:r>
      <w:r w:rsidR="00DD62BE" w:rsidRPr="00E81D7F">
        <w:t xml:space="preserve">. </w:t>
      </w:r>
      <w:r w:rsidR="00A702C9" w:rsidRPr="00E81D7F">
        <w:t>Comme indiqué dans la Résolution 417 (Ré</w:t>
      </w:r>
      <w:r w:rsidR="00DD62BE" w:rsidRPr="00E81D7F">
        <w:t>v.</w:t>
      </w:r>
      <w:r w:rsidR="00A702C9" w:rsidRPr="00E81D7F">
        <w:t>CMR</w:t>
      </w:r>
      <w:r w:rsidR="00DD62BE" w:rsidRPr="00E81D7F">
        <w:t xml:space="preserve">-12), </w:t>
      </w:r>
      <w:r w:rsidR="00A702C9" w:rsidRPr="00E81D7F">
        <w:t>dans de nombreux pays</w:t>
      </w:r>
      <w:r w:rsidR="00DD62BE" w:rsidRPr="00E81D7F">
        <w:t xml:space="preserve">, </w:t>
      </w:r>
      <w:r w:rsidR="00A702C9" w:rsidRPr="00E81D7F">
        <w:t>y compris la Chine</w:t>
      </w:r>
      <w:r w:rsidR="00DD62BE" w:rsidRPr="00E81D7F">
        <w:t xml:space="preserve">, </w:t>
      </w:r>
      <w:r w:rsidR="00A702C9" w:rsidRPr="00E81D7F">
        <w:t>un certain nombre de systèmes du SRNA fonctionnant dans cette bande ne sont pas normalisés par l'OACI</w:t>
      </w:r>
      <w:r w:rsidR="00DD62BE" w:rsidRPr="00E81D7F">
        <w:t xml:space="preserve"> (</w:t>
      </w:r>
      <w:r w:rsidR="00A702C9" w:rsidRPr="00E81D7F">
        <w:t>Organisation de l'aviation civile internationale).</w:t>
      </w:r>
    </w:p>
    <w:p w:rsidR="00A702C9" w:rsidRPr="00E81D7F" w:rsidRDefault="00A702C9" w:rsidP="00A47553">
      <w:r w:rsidRPr="00E81D7F">
        <w:t>D'après les conclusions de la dernière réunion du GT 5B tenue en juillet 2015, les Rapports M.[GFT] et M.[ADS</w:t>
      </w:r>
      <w:r w:rsidRPr="00E81D7F">
        <w:noBreakHyphen/>
        <w:t xml:space="preserve">B] ne sont pas </w:t>
      </w:r>
      <w:r w:rsidR="00C16DA3" w:rsidRPr="00E81D7F">
        <w:t xml:space="preserve">achevés et certains aspects </w:t>
      </w:r>
      <w:r w:rsidRPr="00E81D7F">
        <w:t xml:space="preserve">techniques doivent </w:t>
      </w:r>
      <w:r w:rsidR="00C16DA3" w:rsidRPr="00E81D7F">
        <w:t>être examiné</w:t>
      </w:r>
      <w:r w:rsidRPr="00E81D7F">
        <w:t>s</w:t>
      </w:r>
      <w:r w:rsidR="00C16DA3" w:rsidRPr="00E81D7F">
        <w:t xml:space="preserve"> plus avant, </w:t>
      </w:r>
      <w:r w:rsidR="0038322E" w:rsidRPr="00E81D7F">
        <w:t>tels que</w:t>
      </w:r>
      <w:r w:rsidRPr="00E81D7F">
        <w:t xml:space="preserve"> la compatibilité entre le</w:t>
      </w:r>
      <w:r w:rsidR="0038322E" w:rsidRPr="00E81D7F">
        <w:t xml:space="preserve"> système</w:t>
      </w:r>
      <w:r w:rsidRPr="00E81D7F">
        <w:t xml:space="preserve"> </w:t>
      </w:r>
      <w:r w:rsidR="00C16DA3" w:rsidRPr="00E81D7F">
        <w:t xml:space="preserve">ADS-B </w:t>
      </w:r>
      <w:r w:rsidRPr="00E81D7F">
        <w:t>par satellite</w:t>
      </w:r>
      <w:r w:rsidR="00C16DA3" w:rsidRPr="00E81D7F">
        <w:t xml:space="preserve"> et les systèmes du SRNA fonctionnant dans </w:t>
      </w:r>
      <w:r w:rsidR="0038322E" w:rsidRPr="00E81D7F">
        <w:t>la</w:t>
      </w:r>
      <w:r w:rsidR="00C16DA3" w:rsidRPr="00E81D7F">
        <w:t xml:space="preserve"> m</w:t>
      </w:r>
      <w:r w:rsidR="0038322E" w:rsidRPr="00E81D7F">
        <w:t>ême bande qui ne sont pas</w:t>
      </w:r>
      <w:r w:rsidR="00C16DA3" w:rsidRPr="00E81D7F">
        <w:t xml:space="preserve"> normalisés par l'OACI, la réception des signaux ADS-B provenant d'un petit aéronef uniquement équipé d'une antenne placée en bas de la structure, la réception de signaux ADS-B provenant </w:t>
      </w:r>
      <w:r w:rsidR="001C1AAC" w:rsidRPr="00E81D7F">
        <w:t xml:space="preserve">d'aéronefs de l'aviation générale qui ne sont pas émis sur la fréquence 1 090 MHz ou le mécanisme de coordination entre les systèmes ADS-B </w:t>
      </w:r>
      <w:r w:rsidR="00F97283" w:rsidRPr="00E81D7F">
        <w:t xml:space="preserve">par satellite </w:t>
      </w:r>
      <w:r w:rsidR="001C1AAC" w:rsidRPr="00E81D7F">
        <w:t>et les systèmes fonctionnant dans les mêmes bandes.</w:t>
      </w:r>
    </w:p>
    <w:p w:rsidR="00DD62BE" w:rsidRPr="00E81D7F" w:rsidRDefault="00DD62BE" w:rsidP="00A47553">
      <w:pPr>
        <w:pStyle w:val="enumlev1"/>
      </w:pPr>
      <w:r w:rsidRPr="00E81D7F">
        <w:t>•</w:t>
      </w:r>
      <w:r w:rsidRPr="00E81D7F">
        <w:tab/>
      </w:r>
      <w:r w:rsidR="00E81D7F" w:rsidRPr="00E81D7F">
        <w:t>E</w:t>
      </w:r>
      <w:r w:rsidR="00A702C9" w:rsidRPr="00E81D7F">
        <w:t>tudes du GT</w:t>
      </w:r>
      <w:r w:rsidRPr="00E81D7F">
        <w:t xml:space="preserve"> 4C </w:t>
      </w:r>
    </w:p>
    <w:p w:rsidR="00825E04" w:rsidRPr="00E81D7F" w:rsidRDefault="002D0356" w:rsidP="00FB4122">
      <w:r w:rsidRPr="00E81D7F">
        <w:t>A</w:t>
      </w:r>
      <w:r w:rsidR="00825E04" w:rsidRPr="00E81D7F">
        <w:t xml:space="preserve"> sa dernière réunion, en juin 2015, le GT </w:t>
      </w:r>
      <w:r w:rsidR="00DD62BE" w:rsidRPr="00E81D7F">
        <w:t xml:space="preserve">4C </w:t>
      </w:r>
      <w:r w:rsidR="00825E04" w:rsidRPr="00E81D7F">
        <w:t>a élaboré l'avant-projet de Rapport UIT</w:t>
      </w:r>
      <w:r w:rsidR="00A47553" w:rsidRPr="00E81D7F">
        <w:t>-R M.[ADS</w:t>
      </w:r>
      <w:r w:rsidR="00FB4122">
        <w:noBreakHyphen/>
      </w:r>
      <w:r w:rsidR="00DD62BE" w:rsidRPr="00E81D7F">
        <w:t xml:space="preserve">MSS], </w:t>
      </w:r>
      <w:r w:rsidR="00825E04" w:rsidRPr="00E81D7F">
        <w:t>qui porte sur l'utilisation du service mobile par satellite pour assurer les services ADS-C et ADS-B au</w:t>
      </w:r>
      <w:r w:rsidRPr="00E81D7F">
        <w:t>x fins du suivi des vols. Dans c</w:t>
      </w:r>
      <w:r w:rsidR="00825E04" w:rsidRPr="00E81D7F">
        <w:t xml:space="preserve">e Rapport, il est indiqué que plusieurs réseaux du SMS sont actuellement en service et assurent, ou devraient assurer, une couverture </w:t>
      </w:r>
      <w:r w:rsidR="00DC4D5A" w:rsidRPr="00E81D7F">
        <w:t xml:space="preserve">régionale et, dans certains cas, </w:t>
      </w:r>
      <w:r w:rsidRPr="00E81D7F">
        <w:t xml:space="preserve">une couverture </w:t>
      </w:r>
      <w:r w:rsidR="00DC4D5A" w:rsidRPr="00E81D7F">
        <w:t xml:space="preserve">mondiale, et qu'au moins un réseau du SMS </w:t>
      </w:r>
      <w:r w:rsidR="002C71B0" w:rsidRPr="00E81D7F">
        <w:t>assure une couverture complète du globe</w:t>
      </w:r>
      <w:r w:rsidR="008E4670" w:rsidRPr="00E81D7F">
        <w:t xml:space="preserve">, y compris </w:t>
      </w:r>
      <w:r w:rsidR="0038322E" w:rsidRPr="00E81D7F">
        <w:t>l</w:t>
      </w:r>
      <w:r w:rsidR="008E4670" w:rsidRPr="00E81D7F">
        <w:t xml:space="preserve">es régions polaires. Les données ADS-C ou ADS-B provenant d'un aéronef peuvent être </w:t>
      </w:r>
      <w:r w:rsidRPr="00E81D7F">
        <w:t>retransmises</w:t>
      </w:r>
      <w:r w:rsidR="008E4670" w:rsidRPr="00E81D7F">
        <w:t xml:space="preserve"> par ces réseaux du SMS vers des systèmes au sol tels que les centres de gestion du trafic aérien.</w:t>
      </w:r>
    </w:p>
    <w:p w:rsidR="00DD62BE" w:rsidRPr="00E81D7F" w:rsidRDefault="00DD62BE" w:rsidP="00A47553">
      <w:pPr>
        <w:pStyle w:val="enumlev1"/>
      </w:pPr>
      <w:r w:rsidRPr="00E81D7F">
        <w:t>•</w:t>
      </w:r>
      <w:r w:rsidRPr="00E81D7F">
        <w:tab/>
      </w:r>
      <w:r w:rsidR="00E81D7F" w:rsidRPr="00E81D7F">
        <w:t>E</w:t>
      </w:r>
      <w:r w:rsidR="00A702C9" w:rsidRPr="00E81D7F">
        <w:t>tudes de l'OACI</w:t>
      </w:r>
    </w:p>
    <w:p w:rsidR="008E4670" w:rsidRPr="00E81D7F" w:rsidRDefault="008E4670" w:rsidP="00A47553">
      <w:r w:rsidRPr="00E81D7F">
        <w:t xml:space="preserve">L'OACI propose d'inscrire un nouveau point à l'ordre du jour de la prochaine CMR, </w:t>
      </w:r>
      <w:r w:rsidR="0038322E" w:rsidRPr="00E81D7F">
        <w:t>dont l'objet serait d'</w:t>
      </w:r>
      <w:r w:rsidRPr="00E81D7F">
        <w:t xml:space="preserve">examiner les modifications qui pourraient être apportées au Règlement des radiocommunications </w:t>
      </w:r>
      <w:r w:rsidR="00DA6F11" w:rsidRPr="00E81D7F">
        <w:t xml:space="preserve">en vue de </w:t>
      </w:r>
      <w:r w:rsidRPr="00E81D7F">
        <w:t xml:space="preserve">la mise en </w:t>
      </w:r>
      <w:r w:rsidR="00DA6F11" w:rsidRPr="00E81D7F">
        <w:t>place</w:t>
      </w:r>
      <w:r w:rsidRPr="00E81D7F">
        <w:t xml:space="preserve"> </w:t>
      </w:r>
      <w:r w:rsidR="00DA6F11" w:rsidRPr="00E81D7F">
        <w:t>du Système mondial de détresse et de sécurité aéronautique (GADSS). D'après la description fourn</w:t>
      </w:r>
      <w:r w:rsidR="00A47553" w:rsidRPr="00E81D7F">
        <w:t>ie par l'OACI, le GADSS est un «système de systèmes»</w:t>
      </w:r>
      <w:r w:rsidR="00DA6F11" w:rsidRPr="00E81D7F">
        <w:t xml:space="preserve"> qui </w:t>
      </w:r>
      <w:r w:rsidR="00F97283" w:rsidRPr="00E81D7F">
        <w:t>englobe</w:t>
      </w:r>
      <w:r w:rsidR="00C00080" w:rsidRPr="00E81D7F">
        <w:t xml:space="preserve"> des </w:t>
      </w:r>
      <w:r w:rsidR="00F97283" w:rsidRPr="00E81D7F">
        <w:t xml:space="preserve">aspects </w:t>
      </w:r>
      <w:r w:rsidR="00C00080" w:rsidRPr="00E81D7F">
        <w:t>tels</w:t>
      </w:r>
      <w:r w:rsidR="00DA6F11" w:rsidRPr="00E81D7F">
        <w:t xml:space="preserve"> que le </w:t>
      </w:r>
      <w:r w:rsidR="00C00080" w:rsidRPr="00E81D7F">
        <w:t>suivi des aéronefs d</w:t>
      </w:r>
      <w:r w:rsidR="00DA6F11" w:rsidRPr="00E81D7F">
        <w:t xml:space="preserve">ans des conditions normales et anormales, </w:t>
      </w:r>
      <w:r w:rsidR="00C00080" w:rsidRPr="00E81D7F">
        <w:t>le suivi autonome en cas de détresse, la récupération des données de vol et les procédures et la gestion des informations. La question du suivi des vols à l'échelle mondiale est une composante du GADSS et pourrait être examinée à ce titre.</w:t>
      </w:r>
    </w:p>
    <w:p w:rsidR="00DD62BE" w:rsidRPr="00E81D7F" w:rsidRDefault="00DD62BE" w:rsidP="00A47553">
      <w:pPr>
        <w:pStyle w:val="Headingb"/>
      </w:pPr>
      <w:r w:rsidRPr="00E81D7F">
        <w:t>Propositions</w:t>
      </w:r>
    </w:p>
    <w:p w:rsidR="00DD62BE" w:rsidRPr="00E81D7F" w:rsidRDefault="00FB4122" w:rsidP="00A47553">
      <w:pPr>
        <w:rPr>
          <w:lang w:eastAsia="zh-CN"/>
        </w:rPr>
      </w:pPr>
      <w:r>
        <w:rPr>
          <w:lang w:eastAsia="zh-CN"/>
        </w:rPr>
        <w:t>1</w:t>
      </w:r>
    </w:p>
    <w:p w:rsidR="0015203F" w:rsidRPr="00E81D7F" w:rsidRDefault="0015203F" w:rsidP="00A475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81D7F">
        <w:br w:type="page"/>
      </w:r>
    </w:p>
    <w:p w:rsidR="004A6A8C" w:rsidRPr="00E81D7F" w:rsidRDefault="00A168DC" w:rsidP="00A47553">
      <w:pPr>
        <w:pStyle w:val="ArtNo"/>
      </w:pPr>
      <w:r w:rsidRPr="00E81D7F">
        <w:lastRenderedPageBreak/>
        <w:t xml:space="preserve">ARTICLE </w:t>
      </w:r>
      <w:r w:rsidRPr="00E81D7F">
        <w:rPr>
          <w:rStyle w:val="href"/>
          <w:color w:val="000000"/>
        </w:rPr>
        <w:t>5</w:t>
      </w:r>
    </w:p>
    <w:p w:rsidR="004A6A8C" w:rsidRPr="00E81D7F" w:rsidRDefault="00A168DC" w:rsidP="00A47553">
      <w:pPr>
        <w:pStyle w:val="Arttitle"/>
      </w:pPr>
      <w:r w:rsidRPr="00E81D7F">
        <w:t>Attribution des bandes de fréquences</w:t>
      </w:r>
    </w:p>
    <w:p w:rsidR="004A6A8C" w:rsidRPr="00E81D7F" w:rsidRDefault="00A168DC" w:rsidP="00A47553">
      <w:pPr>
        <w:pStyle w:val="Section1"/>
        <w:keepNext/>
      </w:pPr>
      <w:r w:rsidRPr="00E81D7F">
        <w:t>Section IV – Tableau d'attribution des bandes de fréquences</w:t>
      </w:r>
      <w:r w:rsidRPr="00E81D7F">
        <w:br/>
      </w:r>
      <w:r w:rsidRPr="00FB4122">
        <w:rPr>
          <w:b w:val="0"/>
          <w:bCs/>
        </w:rPr>
        <w:t>(</w:t>
      </w:r>
      <w:r w:rsidRPr="00E81D7F">
        <w:rPr>
          <w:b w:val="0"/>
          <w:bCs/>
        </w:rPr>
        <w:t>Voir le numéro</w:t>
      </w:r>
      <w:r w:rsidRPr="00E81D7F">
        <w:t xml:space="preserve"> 2.1</w:t>
      </w:r>
      <w:r w:rsidRPr="00E81D7F">
        <w:rPr>
          <w:b w:val="0"/>
          <w:bCs/>
        </w:rPr>
        <w:t>)</w:t>
      </w:r>
      <w:r w:rsidRPr="00E81D7F">
        <w:rPr>
          <w:b w:val="0"/>
          <w:color w:val="000000"/>
        </w:rPr>
        <w:br/>
      </w:r>
      <w:r w:rsidRPr="00E81D7F">
        <w:rPr>
          <w:b w:val="0"/>
          <w:color w:val="000000"/>
        </w:rPr>
        <w:br/>
      </w:r>
    </w:p>
    <w:p w:rsidR="00E67F3A" w:rsidRPr="00E81D7F" w:rsidRDefault="00A168DC" w:rsidP="00A47553">
      <w:pPr>
        <w:pStyle w:val="Proposal"/>
      </w:pPr>
      <w:r w:rsidRPr="00E81D7F">
        <w:rPr>
          <w:u w:val="single"/>
        </w:rPr>
        <w:t>NOC</w:t>
      </w:r>
      <w:r w:rsidRPr="00E81D7F">
        <w:tab/>
        <w:t>CHN/62A25/1</w:t>
      </w:r>
    </w:p>
    <w:p w:rsidR="004A6A8C" w:rsidRPr="00E81D7F" w:rsidRDefault="00A168DC" w:rsidP="00A47553">
      <w:pPr>
        <w:pStyle w:val="Tabletitle"/>
        <w:rPr>
          <w:color w:val="000000"/>
        </w:rPr>
      </w:pPr>
      <w:r w:rsidRPr="00E81D7F">
        <w:rPr>
          <w:color w:val="000000"/>
        </w:rPr>
        <w:t>890-1 300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E81D7F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head"/>
              <w:rPr>
                <w:color w:val="000000"/>
              </w:rPr>
            </w:pPr>
            <w:r w:rsidRPr="00E81D7F">
              <w:rPr>
                <w:color w:val="000000"/>
              </w:rPr>
              <w:t>Attribution aux services</w:t>
            </w:r>
          </w:p>
        </w:tc>
      </w:tr>
      <w:tr w:rsidR="004A6A8C" w:rsidRPr="00E81D7F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head"/>
              <w:rPr>
                <w:color w:val="000000"/>
              </w:rPr>
            </w:pPr>
            <w:r w:rsidRPr="00E81D7F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head"/>
              <w:rPr>
                <w:color w:val="000000"/>
              </w:rPr>
            </w:pPr>
            <w:r w:rsidRPr="00E81D7F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head"/>
              <w:rPr>
                <w:color w:val="000000"/>
              </w:rPr>
            </w:pPr>
            <w:r w:rsidRPr="00E81D7F">
              <w:rPr>
                <w:color w:val="000000"/>
              </w:rPr>
              <w:t>Région 3</w:t>
            </w:r>
          </w:p>
        </w:tc>
      </w:tr>
      <w:tr w:rsidR="004A6A8C" w:rsidRPr="00E81D7F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TextS5"/>
              <w:spacing w:before="0"/>
              <w:rPr>
                <w:rStyle w:val="Tablefreq"/>
              </w:rPr>
            </w:pPr>
            <w:r w:rsidRPr="00E81D7F">
              <w:rPr>
                <w:rStyle w:val="Tablefreq"/>
              </w:rPr>
              <w:t>942-960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>FIXE</w:t>
            </w:r>
          </w:p>
          <w:p w:rsidR="004A6A8C" w:rsidRPr="00E81D7F" w:rsidRDefault="00A168DC" w:rsidP="00A47553">
            <w:pPr>
              <w:pStyle w:val="TableTextS5"/>
              <w:spacing w:before="0"/>
              <w:ind w:left="170" w:hanging="170"/>
              <w:rPr>
                <w:color w:val="000000"/>
              </w:rPr>
            </w:pPr>
            <w:r w:rsidRPr="00E81D7F">
              <w:rPr>
                <w:color w:val="000000"/>
              </w:rPr>
              <w:t>MOBILE sauf mobile</w:t>
            </w:r>
            <w:r w:rsidRPr="00E81D7F">
              <w:rPr>
                <w:color w:val="000000"/>
              </w:rPr>
              <w:br/>
              <w:t xml:space="preserve">aéronautique  </w:t>
            </w:r>
            <w:r w:rsidRPr="00E81D7F">
              <w:rPr>
                <w:rStyle w:val="Artref"/>
                <w:color w:val="000000"/>
              </w:rPr>
              <w:t>5.317A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 xml:space="preserve">RADIODIFFUSION  </w:t>
            </w:r>
            <w:r w:rsidRPr="00E81D7F">
              <w:rPr>
                <w:rStyle w:val="Artref"/>
                <w:color w:val="000000"/>
              </w:rPr>
              <w:t>5.322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TextS5"/>
              <w:spacing w:before="0"/>
              <w:rPr>
                <w:rStyle w:val="Tablefreq"/>
              </w:rPr>
            </w:pPr>
            <w:r w:rsidRPr="00E81D7F">
              <w:rPr>
                <w:rStyle w:val="Tablefreq"/>
              </w:rPr>
              <w:t>942-960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>FIXE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 xml:space="preserve">MOBILE  </w:t>
            </w:r>
            <w:r w:rsidRPr="00E81D7F">
              <w:rPr>
                <w:rStyle w:val="Artref"/>
                <w:color w:val="000000"/>
              </w:rPr>
              <w:t>5.317A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TextS5"/>
              <w:spacing w:before="0"/>
              <w:rPr>
                <w:rStyle w:val="Tablefreq"/>
              </w:rPr>
            </w:pPr>
            <w:r w:rsidRPr="00E81D7F">
              <w:rPr>
                <w:rStyle w:val="Tablefreq"/>
              </w:rPr>
              <w:t>942-960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>FIXE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 xml:space="preserve">MOBILE  </w:t>
            </w:r>
            <w:r w:rsidRPr="00E81D7F">
              <w:rPr>
                <w:rStyle w:val="Artref"/>
                <w:color w:val="000000"/>
              </w:rPr>
              <w:t>5.317A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>RADIODIFFUSION</w:t>
            </w:r>
          </w:p>
        </w:tc>
      </w:tr>
      <w:tr w:rsidR="004A6A8C" w:rsidRPr="00E81D7F" w:rsidTr="00D94B99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TextS5"/>
              <w:spacing w:before="0"/>
            </w:pPr>
            <w:r w:rsidRPr="00E81D7F">
              <w:t>5.323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FB4122" w:rsidP="00A47553">
            <w:pPr>
              <w:pStyle w:val="TableTextS5"/>
              <w:spacing w:before="0"/>
              <w:rPr>
                <w:rStyle w:val="Artref"/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TextS5"/>
              <w:spacing w:before="0"/>
              <w:rPr>
                <w:rStyle w:val="Artref"/>
                <w:color w:val="000000"/>
              </w:rPr>
            </w:pPr>
            <w:r w:rsidRPr="00E81D7F">
              <w:rPr>
                <w:rStyle w:val="Artref"/>
                <w:color w:val="000000"/>
              </w:rPr>
              <w:t>5.320</w:t>
            </w:r>
          </w:p>
        </w:tc>
      </w:tr>
      <w:tr w:rsidR="004A6A8C" w:rsidRPr="00E81D7F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color w:val="000000"/>
              </w:rPr>
            </w:pPr>
            <w:r w:rsidRPr="00E81D7F">
              <w:rPr>
                <w:rStyle w:val="Tablefreq"/>
              </w:rPr>
              <w:t>960-1 164</w:t>
            </w:r>
            <w:r w:rsidRPr="00E81D7F">
              <w:rPr>
                <w:color w:val="000000"/>
              </w:rPr>
              <w:tab/>
            </w:r>
            <w:r w:rsidRPr="00E81D7F">
              <w:rPr>
                <w:bCs/>
                <w:color w:val="000000"/>
              </w:rPr>
              <w:t>MOBILE AÉRONAUTIQUE (R)  5.327A</w:t>
            </w:r>
            <w:r w:rsidRPr="00E81D7F">
              <w:rPr>
                <w:color w:val="000000"/>
              </w:rPr>
              <w:t xml:space="preserve"> </w:t>
            </w:r>
          </w:p>
          <w:p w:rsidR="004A6A8C" w:rsidRPr="00E81D7F" w:rsidRDefault="00A168DC" w:rsidP="00A4755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b/>
                <w:color w:val="000000"/>
              </w:rPr>
            </w:pPr>
            <w:r w:rsidRPr="00E81D7F">
              <w:rPr>
                <w:color w:val="000000"/>
              </w:rPr>
              <w:tab/>
              <w:t xml:space="preserve">RADIONAVIGATION AÉRONAUTIQUE  </w:t>
            </w:r>
            <w:r w:rsidRPr="00E81D7F">
              <w:t>5.328</w:t>
            </w:r>
          </w:p>
        </w:tc>
      </w:tr>
      <w:tr w:rsidR="004A6A8C" w:rsidRPr="00E81D7F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rStyle w:val="Tablefreq"/>
              </w:rPr>
              <w:t>1 164-1 215</w:t>
            </w:r>
            <w:r w:rsidRPr="00E81D7F">
              <w:rPr>
                <w:rStyle w:val="Tablefreq"/>
              </w:rPr>
              <w:tab/>
            </w:r>
            <w:r w:rsidRPr="00E81D7F">
              <w:rPr>
                <w:color w:val="000000"/>
              </w:rPr>
              <w:t xml:space="preserve">RADIONAVIGATION AÉRONAUTIQUE  </w:t>
            </w:r>
            <w:r w:rsidRPr="00E81D7F">
              <w:t>5.328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  <w:t>RADIONAVIGATION PAR SATELLITE (espace vers Terre)</w:t>
            </w:r>
            <w:r w:rsidRPr="00E81D7F">
              <w:rPr>
                <w:color w:val="000000"/>
              </w:rPr>
              <w:br/>
            </w: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  <w:t>(espace</w:t>
            </w:r>
            <w:r w:rsidRPr="00E81D7F">
              <w:rPr>
                <w:color w:val="000000"/>
              </w:rPr>
              <w:noBreakHyphen/>
              <w:t xml:space="preserve">espace)  </w:t>
            </w:r>
            <w:r w:rsidRPr="00E81D7F">
              <w:rPr>
                <w:rStyle w:val="Artref"/>
                <w:color w:val="000000"/>
              </w:rPr>
              <w:t>5.328B</w:t>
            </w:r>
          </w:p>
          <w:p w:rsidR="004A6A8C" w:rsidRPr="00E81D7F" w:rsidRDefault="00A168DC" w:rsidP="00A47553">
            <w:pPr>
              <w:pStyle w:val="TableTextS5"/>
              <w:spacing w:before="0"/>
              <w:rPr>
                <w:color w:val="000000"/>
              </w:rPr>
            </w:pP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</w:r>
            <w:r w:rsidRPr="00E81D7F">
              <w:rPr>
                <w:color w:val="000000"/>
              </w:rPr>
              <w:tab/>
            </w:r>
            <w:r w:rsidRPr="00E81D7F">
              <w:rPr>
                <w:rStyle w:val="Artref"/>
                <w:color w:val="000000"/>
              </w:rPr>
              <w:t>5.328A</w:t>
            </w:r>
          </w:p>
        </w:tc>
      </w:tr>
    </w:tbl>
    <w:p w:rsidR="00E67F3A" w:rsidRPr="00E81D7F" w:rsidRDefault="00A168DC" w:rsidP="00A47553">
      <w:pPr>
        <w:pStyle w:val="Reasons"/>
        <w:rPr>
          <w:lang w:eastAsia="zh-CN"/>
        </w:rPr>
      </w:pPr>
      <w:r w:rsidRPr="00E81D7F">
        <w:rPr>
          <w:b/>
        </w:rPr>
        <w:t>Motifs:</w:t>
      </w:r>
      <w:r w:rsidRPr="00E81D7F">
        <w:tab/>
      </w:r>
      <w:r w:rsidR="00C00080" w:rsidRPr="00E81D7F">
        <w:rPr>
          <w:lang w:eastAsia="zh-CN"/>
        </w:rPr>
        <w:t>Les études de l'</w:t>
      </w:r>
      <w:r w:rsidR="00730DC3" w:rsidRPr="00E81D7F">
        <w:t>U</w:t>
      </w:r>
      <w:r w:rsidR="00C00080" w:rsidRPr="00E81D7F">
        <w:t>IT</w:t>
      </w:r>
      <w:r w:rsidR="00730DC3" w:rsidRPr="00E81D7F">
        <w:t xml:space="preserve">-R </w:t>
      </w:r>
      <w:r w:rsidR="00C00080" w:rsidRPr="00E81D7F">
        <w:t>n'étant pas encore achevées</w:t>
      </w:r>
      <w:r w:rsidR="00730DC3" w:rsidRPr="00E81D7F">
        <w:rPr>
          <w:lang w:eastAsia="zh-CN"/>
        </w:rPr>
        <w:t xml:space="preserve">, </w:t>
      </w:r>
      <w:r w:rsidR="00C00080" w:rsidRPr="00E81D7F">
        <w:rPr>
          <w:lang w:eastAsia="zh-CN"/>
        </w:rPr>
        <w:t xml:space="preserve">il est difficile à ce stade de définir </w:t>
      </w:r>
      <w:r w:rsidR="00C77DD2" w:rsidRPr="00E81D7F">
        <w:rPr>
          <w:lang w:eastAsia="zh-CN"/>
        </w:rPr>
        <w:t>d</w:t>
      </w:r>
      <w:r w:rsidR="00C00080" w:rsidRPr="00E81D7F">
        <w:rPr>
          <w:lang w:eastAsia="zh-CN"/>
        </w:rPr>
        <w:t xml:space="preserve">es mesures techniques et </w:t>
      </w:r>
      <w:r w:rsidR="00C77DD2" w:rsidRPr="00E81D7F">
        <w:rPr>
          <w:lang w:eastAsia="zh-CN"/>
        </w:rPr>
        <w:t>d</w:t>
      </w:r>
      <w:r w:rsidR="00C00080" w:rsidRPr="00E81D7F">
        <w:rPr>
          <w:lang w:eastAsia="zh-CN"/>
        </w:rPr>
        <w:t>es dispositions réglementaires</w:t>
      </w:r>
      <w:r w:rsidR="00730DC3" w:rsidRPr="00E81D7F">
        <w:rPr>
          <w:lang w:eastAsia="zh-CN"/>
        </w:rPr>
        <w:t>.</w:t>
      </w:r>
      <w:r w:rsidR="00C77DD2" w:rsidRPr="00E81D7F">
        <w:rPr>
          <w:lang w:eastAsia="zh-CN"/>
        </w:rPr>
        <w:t xml:space="preserve"> </w:t>
      </w:r>
      <w:r w:rsidR="0038322E" w:rsidRPr="00E81D7F">
        <w:rPr>
          <w:lang w:eastAsia="zh-CN"/>
        </w:rPr>
        <w:t>Par ailleurs</w:t>
      </w:r>
      <w:r w:rsidR="00730DC3" w:rsidRPr="00E81D7F">
        <w:rPr>
          <w:lang w:eastAsia="zh-CN"/>
        </w:rPr>
        <w:t xml:space="preserve">, </w:t>
      </w:r>
      <w:r w:rsidR="00C77DD2" w:rsidRPr="00E81D7F">
        <w:rPr>
          <w:lang w:eastAsia="zh-CN"/>
        </w:rPr>
        <w:t>il conviendrait de veiller à ce</w:t>
      </w:r>
      <w:r w:rsidR="00F97283" w:rsidRPr="00E81D7F">
        <w:rPr>
          <w:lang w:eastAsia="zh-CN"/>
        </w:rPr>
        <w:t xml:space="preserve"> que</w:t>
      </w:r>
      <w:r w:rsidR="00C77DD2" w:rsidRPr="00E81D7F">
        <w:rPr>
          <w:lang w:eastAsia="zh-CN"/>
        </w:rPr>
        <w:t xml:space="preserve"> les nouveaux services n'imposent pas de </w:t>
      </w:r>
      <w:r w:rsidR="002D0356" w:rsidRPr="00E81D7F">
        <w:rPr>
          <w:lang w:eastAsia="zh-CN"/>
        </w:rPr>
        <w:t>contraintes</w:t>
      </w:r>
      <w:r w:rsidR="00C77DD2" w:rsidRPr="00E81D7F">
        <w:rPr>
          <w:lang w:eastAsia="zh-CN"/>
        </w:rPr>
        <w:t xml:space="preserve"> aux services existants</w:t>
      </w:r>
      <w:r w:rsidR="00730DC3" w:rsidRPr="00E81D7F">
        <w:t xml:space="preserve"> </w:t>
      </w:r>
      <w:r w:rsidR="00C77DD2" w:rsidRPr="00E81D7F">
        <w:t xml:space="preserve">dans la bande de fréquences </w:t>
      </w:r>
      <w:r w:rsidR="00730DC3" w:rsidRPr="00E81D7F">
        <w:t>960-1 164 MHz</w:t>
      </w:r>
      <w:r w:rsidR="00730DC3" w:rsidRPr="00E81D7F">
        <w:rPr>
          <w:lang w:eastAsia="zh-CN"/>
        </w:rPr>
        <w:t>.</w:t>
      </w:r>
    </w:p>
    <w:p w:rsidR="00730DC3" w:rsidRPr="00E81D7F" w:rsidRDefault="00FB4122" w:rsidP="00A47553">
      <w:pPr>
        <w:rPr>
          <w:lang w:eastAsia="zh-CN"/>
        </w:rPr>
      </w:pPr>
      <w:r>
        <w:rPr>
          <w:lang w:eastAsia="zh-CN"/>
        </w:rPr>
        <w:t>2</w:t>
      </w:r>
      <w:bookmarkStart w:id="6" w:name="_GoBack"/>
      <w:bookmarkEnd w:id="6"/>
      <w:r w:rsidR="00730DC3" w:rsidRPr="00E81D7F">
        <w:rPr>
          <w:lang w:eastAsia="zh-CN"/>
        </w:rPr>
        <w:tab/>
      </w:r>
      <w:r w:rsidR="00C77DD2" w:rsidRPr="00E81D7F">
        <w:rPr>
          <w:lang w:eastAsia="zh-CN"/>
        </w:rPr>
        <w:t>La question du suivi des vols à l'échelle mondiale devrait être inscrite à l'ordre du jour de la prochaine CMR</w:t>
      </w:r>
      <w:r w:rsidR="00730DC3" w:rsidRPr="00E81D7F">
        <w:rPr>
          <w:lang w:eastAsia="zh-CN"/>
        </w:rPr>
        <w:t>.</w:t>
      </w:r>
    </w:p>
    <w:p w:rsidR="0038322E" w:rsidRPr="00E81D7F" w:rsidRDefault="00730DC3" w:rsidP="00A47553">
      <w:pPr>
        <w:pStyle w:val="Reasons"/>
        <w:rPr>
          <w:lang w:eastAsia="zh-CN"/>
        </w:rPr>
      </w:pPr>
      <w:r w:rsidRPr="00E81D7F">
        <w:rPr>
          <w:b/>
        </w:rPr>
        <w:t>Motifs:</w:t>
      </w:r>
      <w:r w:rsidRPr="00E81D7F">
        <w:tab/>
      </w:r>
      <w:r w:rsidR="00C77DD2" w:rsidRPr="00E81D7F">
        <w:t xml:space="preserve">De façon générale, il pourrait être possible de </w:t>
      </w:r>
      <w:r w:rsidR="002D0356" w:rsidRPr="00E81D7F">
        <w:t>satisfaire rapidement les</w:t>
      </w:r>
      <w:r w:rsidR="00C77DD2" w:rsidRPr="00E81D7F">
        <w:t xml:space="preserve"> besoins en matière de suivi des vols à l'échelle mondiale </w:t>
      </w:r>
      <w:r w:rsidR="00C77DD2" w:rsidRPr="00E81D7F">
        <w:rPr>
          <w:lang w:eastAsia="zh-CN"/>
        </w:rPr>
        <w:t xml:space="preserve">à l'aide des systèmes </w:t>
      </w:r>
      <w:r w:rsidRPr="00E81D7F">
        <w:rPr>
          <w:lang w:eastAsia="zh-CN"/>
        </w:rPr>
        <w:t xml:space="preserve">ADS-C </w:t>
      </w:r>
      <w:r w:rsidR="00C77DD2" w:rsidRPr="00E81D7F">
        <w:rPr>
          <w:lang w:eastAsia="zh-CN"/>
        </w:rPr>
        <w:t>et des technologies de Terre existantes de surveillance.</w:t>
      </w:r>
      <w:r w:rsidR="000873B8" w:rsidRPr="00E81D7F">
        <w:rPr>
          <w:lang w:eastAsia="zh-CN"/>
        </w:rPr>
        <w:t xml:space="preserve"> Les modifications qu'il faudrait apporter au Règlement des radiocommunications pourraient être définies à partir des résultats des études de l'UIT-R, lorsque les études relatives au système ADS-B </w:t>
      </w:r>
      <w:r w:rsidR="0038322E" w:rsidRPr="00E81D7F">
        <w:rPr>
          <w:lang w:eastAsia="zh-CN"/>
        </w:rPr>
        <w:t xml:space="preserve">par satellite </w:t>
      </w:r>
      <w:r w:rsidR="000873B8" w:rsidRPr="00E81D7F">
        <w:rPr>
          <w:lang w:eastAsia="zh-CN"/>
        </w:rPr>
        <w:t>seront achevées, pendant le cycle d'études précédant la prochaine CMR.</w:t>
      </w:r>
    </w:p>
    <w:p w:rsidR="00A47553" w:rsidRPr="00E81D7F" w:rsidRDefault="00A47553" w:rsidP="0032202E">
      <w:pPr>
        <w:pStyle w:val="Reasons"/>
      </w:pPr>
    </w:p>
    <w:p w:rsidR="00A47553" w:rsidRPr="00E81D7F" w:rsidRDefault="00A47553">
      <w:pPr>
        <w:jc w:val="center"/>
      </w:pPr>
      <w:r w:rsidRPr="00E81D7F">
        <w:t>______________</w:t>
      </w:r>
    </w:p>
    <w:p w:rsidR="00A47553" w:rsidRPr="00E81D7F" w:rsidRDefault="00A47553" w:rsidP="00A47553">
      <w:pPr>
        <w:pStyle w:val="Reasons"/>
        <w:rPr>
          <w:lang w:eastAsia="zh-CN"/>
        </w:rPr>
      </w:pPr>
    </w:p>
    <w:sectPr w:rsidR="00A47553" w:rsidRPr="00E81D7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B4122" w:rsidRDefault="00936D25">
    <w:pPr>
      <w:rPr>
        <w:lang w:val="de-CH"/>
      </w:rPr>
    </w:pPr>
    <w:r>
      <w:fldChar w:fldCharType="begin"/>
    </w:r>
    <w:r w:rsidRPr="00FB4122">
      <w:rPr>
        <w:lang w:val="de-CH"/>
      </w:rPr>
      <w:instrText xml:space="preserve"> FILENAME \p  \* MERGEFORMAT </w:instrText>
    </w:r>
    <w:r>
      <w:fldChar w:fldCharType="separate"/>
    </w:r>
    <w:r w:rsidR="00F97283" w:rsidRPr="00FB4122">
      <w:rPr>
        <w:noProof/>
        <w:lang w:val="de-CH"/>
      </w:rPr>
      <w:t>C:\Users\bachlerm\Desktop\388535\388535F.docx</w:t>
    </w:r>
    <w:r>
      <w:fldChar w:fldCharType="end"/>
    </w:r>
    <w:r w:rsidRPr="00FB4122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4122">
      <w:rPr>
        <w:noProof/>
      </w:rPr>
      <w:t>28.10.15</w:t>
    </w:r>
    <w:r>
      <w:fldChar w:fldCharType="end"/>
    </w:r>
    <w:r w:rsidRPr="00FB4122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7283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47553">
      <w:rPr>
        <w:lang w:val="en-US"/>
      </w:rPr>
      <w:t>P:\FRA\ITU-R\CONF-R\CMR15\000\062ADD25F.docx</w:t>
    </w:r>
    <w:r>
      <w:fldChar w:fldCharType="end"/>
    </w:r>
    <w:r w:rsidR="008C5D32" w:rsidRPr="0038322E">
      <w:rPr>
        <w:lang w:val="en-US"/>
      </w:rPr>
      <w:t xml:space="preserve"> (388535)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4122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7283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47553">
      <w:rPr>
        <w:lang w:val="en-US"/>
      </w:rPr>
      <w:t>P:\FRA\ITU-R\CONF-R\CMR15\000\062ADD25F.docx</w:t>
    </w:r>
    <w:r>
      <w:fldChar w:fldCharType="end"/>
    </w:r>
    <w:r w:rsidR="008C5D32" w:rsidRPr="0038322E">
      <w:rPr>
        <w:lang w:val="en-US"/>
      </w:rPr>
      <w:t xml:space="preserve"> (388535)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4122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7283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B4122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62(Add.25)-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873B8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C1AAC"/>
    <w:rsid w:val="001F17E8"/>
    <w:rsid w:val="00204306"/>
    <w:rsid w:val="002232E5"/>
    <w:rsid w:val="00232FD2"/>
    <w:rsid w:val="0026554E"/>
    <w:rsid w:val="002A4622"/>
    <w:rsid w:val="002A6F8F"/>
    <w:rsid w:val="002B17E5"/>
    <w:rsid w:val="002C0EBF"/>
    <w:rsid w:val="002C28A4"/>
    <w:rsid w:val="002C71B0"/>
    <w:rsid w:val="002D0356"/>
    <w:rsid w:val="00304EB9"/>
    <w:rsid w:val="00315AFE"/>
    <w:rsid w:val="003606A6"/>
    <w:rsid w:val="0036650C"/>
    <w:rsid w:val="0038322E"/>
    <w:rsid w:val="0038443D"/>
    <w:rsid w:val="00393ACD"/>
    <w:rsid w:val="003A583E"/>
    <w:rsid w:val="003E112B"/>
    <w:rsid w:val="003E1D1C"/>
    <w:rsid w:val="003E40E4"/>
    <w:rsid w:val="003E7B05"/>
    <w:rsid w:val="00466211"/>
    <w:rsid w:val="004834A9"/>
    <w:rsid w:val="004C7E2D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04E9C"/>
    <w:rsid w:val="00711B33"/>
    <w:rsid w:val="00721F04"/>
    <w:rsid w:val="00730DC3"/>
    <w:rsid w:val="00730E95"/>
    <w:rsid w:val="007426B9"/>
    <w:rsid w:val="00764342"/>
    <w:rsid w:val="00774362"/>
    <w:rsid w:val="00786598"/>
    <w:rsid w:val="007A04E8"/>
    <w:rsid w:val="00825E04"/>
    <w:rsid w:val="008458AB"/>
    <w:rsid w:val="00851625"/>
    <w:rsid w:val="00863C0A"/>
    <w:rsid w:val="00894680"/>
    <w:rsid w:val="008A3120"/>
    <w:rsid w:val="008C5D32"/>
    <w:rsid w:val="008D41BE"/>
    <w:rsid w:val="008D58D3"/>
    <w:rsid w:val="008E4670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168DC"/>
    <w:rsid w:val="00A37105"/>
    <w:rsid w:val="00A47553"/>
    <w:rsid w:val="00A606C3"/>
    <w:rsid w:val="00A702C9"/>
    <w:rsid w:val="00A83B09"/>
    <w:rsid w:val="00A84541"/>
    <w:rsid w:val="00AE36A0"/>
    <w:rsid w:val="00B00294"/>
    <w:rsid w:val="00B64FD0"/>
    <w:rsid w:val="00BA5BD0"/>
    <w:rsid w:val="00BB1D82"/>
    <w:rsid w:val="00BD28E3"/>
    <w:rsid w:val="00BF26E7"/>
    <w:rsid w:val="00C00080"/>
    <w:rsid w:val="00C16DA3"/>
    <w:rsid w:val="00C33481"/>
    <w:rsid w:val="00C53FCA"/>
    <w:rsid w:val="00C76BAF"/>
    <w:rsid w:val="00C77DD2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6F11"/>
    <w:rsid w:val="00DC402B"/>
    <w:rsid w:val="00DC4D5A"/>
    <w:rsid w:val="00DD62BE"/>
    <w:rsid w:val="00DE0932"/>
    <w:rsid w:val="00E03A27"/>
    <w:rsid w:val="00E049F1"/>
    <w:rsid w:val="00E37A25"/>
    <w:rsid w:val="00E537FF"/>
    <w:rsid w:val="00E6539B"/>
    <w:rsid w:val="00E67F3A"/>
    <w:rsid w:val="00E70A31"/>
    <w:rsid w:val="00E81D7F"/>
    <w:rsid w:val="00EA3F38"/>
    <w:rsid w:val="00EA5AB6"/>
    <w:rsid w:val="00EC7615"/>
    <w:rsid w:val="00ED16AA"/>
    <w:rsid w:val="00ED1FA8"/>
    <w:rsid w:val="00EF662E"/>
    <w:rsid w:val="00F148F1"/>
    <w:rsid w:val="00F97283"/>
    <w:rsid w:val="00FA3BBF"/>
    <w:rsid w:val="00FB4122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542C4CC-A864-412F-A93C-4BF67BE7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R15-WRC15-C-0062!A25!MSW-F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43635-3EEC-4D85-AB9D-A7A732E3809B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1088</Words>
  <Characters>6013</Characters>
  <Application>Microsoft Office Word</Application>
  <DocSecurity>0</DocSecurity>
  <Lines>187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R15-WRC15-C-0062!A25!MSW-F</vt:lpstr>
    </vt:vector>
  </TitlesOfParts>
  <Manager>Secrétariat général - Pool</Manager>
  <Company>Union internationale des télécommunications (UIT)</Company>
  <LinksUpToDate>false</LinksUpToDate>
  <CharactersWithSpaces>7006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R15-WRC15-C-0062!A25!MSW-F</dc:title>
  <dc:subject>Conférence mondiale des radiocommunications - 2015</dc:subject>
  <dc:creator>Documents Proposals Manager (DPM)</dc:creator>
  <cp:keywords>DPM_v5.2015.10.230_prod</cp:keywords>
  <dc:description/>
  <cp:lastModifiedBy>Saxod, Nathalie</cp:lastModifiedBy>
  <cp:revision>6</cp:revision>
  <cp:lastPrinted>2015-10-27T14:50:00Z</cp:lastPrinted>
  <dcterms:created xsi:type="dcterms:W3CDTF">2015-10-28T08:27:00Z</dcterms:created>
  <dcterms:modified xsi:type="dcterms:W3CDTF">2015-10-29T07:56:00Z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