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632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  <w:gridCol w:w="601"/>
      </w:tblGrid>
      <w:tr w:rsidR="00BB1D82" w:rsidRPr="002A6F8F" w:rsidTr="00AB03E2">
        <w:trPr>
          <w:gridAfter w:val="1"/>
          <w:wAfter w:w="601" w:type="dxa"/>
          <w:cantSplit/>
        </w:trPr>
        <w:tc>
          <w:tcPr>
            <w:tcW w:w="6804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</w:t>
            </w:r>
            <w:proofErr w:type="gramStart"/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proofErr w:type="gramEnd"/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227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5B60A6F2" wp14:editId="25F17A4B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AB03E2">
        <w:trPr>
          <w:gridAfter w:val="1"/>
          <w:wAfter w:w="601" w:type="dxa"/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AB03E2">
        <w:trPr>
          <w:gridAfter w:val="1"/>
          <w:wAfter w:w="601" w:type="dxa"/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AB03E2">
        <w:trPr>
          <w:cantSplit/>
        </w:trPr>
        <w:tc>
          <w:tcPr>
            <w:tcW w:w="6804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B1D82" w:rsidRPr="00C013CD" w:rsidRDefault="00AB03E2" w:rsidP="00BA5BD0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8 au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 xml:space="preserve">Document </w:t>
            </w:r>
            <w:r w:rsidR="006D4724" w:rsidRPr="00C013CD">
              <w:rPr>
                <w:rFonts w:ascii="Verdana" w:eastAsia="SimSun" w:hAnsi="Verdana" w:cs="Traditional Arabic"/>
                <w:b/>
                <w:sz w:val="20"/>
              </w:rPr>
              <w:t>62(Add.23</w:t>
            </w:r>
            <w:proofErr w:type="gramStart"/>
            <w:r w:rsidR="006D4724" w:rsidRPr="00C013CD">
              <w:rPr>
                <w:rFonts w:ascii="Verdana" w:eastAsia="SimSun" w:hAnsi="Verdana" w:cs="Traditional Arabic"/>
                <w:b/>
                <w:sz w:val="20"/>
              </w:rPr>
              <w:t>)(</w:t>
            </w:r>
            <w:proofErr w:type="gramEnd"/>
            <w:r w:rsidR="006D4724" w:rsidRPr="00C013CD">
              <w:rPr>
                <w:rFonts w:ascii="Verdana" w:eastAsia="SimSun" w:hAnsi="Verdana" w:cs="Traditional Arabic"/>
                <w:b/>
                <w:sz w:val="20"/>
              </w:rPr>
              <w:t>Add.1)</w:t>
            </w:r>
            <w:r w:rsidR="00BB1D82" w:rsidRPr="00C013CD">
              <w:rPr>
                <w:rFonts w:ascii="Verdana" w:hAnsi="Verdana"/>
                <w:b/>
                <w:sz w:val="20"/>
              </w:rPr>
              <w:t>-</w:t>
            </w:r>
            <w:r w:rsidR="006D4724" w:rsidRPr="00C013CD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2"/>
      <w:tr w:rsidR="00690C7B" w:rsidRPr="002A6F8F" w:rsidTr="00AB03E2">
        <w:trPr>
          <w:gridAfter w:val="1"/>
          <w:wAfter w:w="601" w:type="dxa"/>
          <w:cantSplit/>
        </w:trPr>
        <w:tc>
          <w:tcPr>
            <w:tcW w:w="6804" w:type="dxa"/>
            <w:shd w:val="clear" w:color="auto" w:fill="auto"/>
          </w:tcPr>
          <w:p w:rsidR="00690C7B" w:rsidRPr="00C013CD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:rsidTr="00AB03E2">
        <w:trPr>
          <w:gridAfter w:val="1"/>
          <w:wAfter w:w="601" w:type="dxa"/>
          <w:cantSplit/>
        </w:trPr>
        <w:tc>
          <w:tcPr>
            <w:tcW w:w="6804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chinois</w:t>
            </w:r>
          </w:p>
        </w:tc>
      </w:tr>
      <w:tr w:rsidR="00690C7B" w:rsidRPr="002A6F8F" w:rsidTr="00AB03E2">
        <w:trPr>
          <w:gridAfter w:val="1"/>
          <w:wAfter w:w="601" w:type="dxa"/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AB03E2">
        <w:trPr>
          <w:gridAfter w:val="1"/>
          <w:wAfter w:w="601" w:type="dxa"/>
          <w:cantSplit/>
        </w:trPr>
        <w:tc>
          <w:tcPr>
            <w:tcW w:w="10031" w:type="dxa"/>
            <w:gridSpan w:val="2"/>
          </w:tcPr>
          <w:p w:rsidR="00690C7B" w:rsidRPr="0026435E" w:rsidRDefault="0026435E" w:rsidP="00690C7B">
            <w:pPr>
              <w:pStyle w:val="Source"/>
            </w:pPr>
            <w:bookmarkStart w:id="3" w:name="dsource" w:colFirst="0" w:colLast="0"/>
            <w:r w:rsidRPr="0026435E">
              <w:t>Chine (République populaire de)</w:t>
            </w:r>
          </w:p>
        </w:tc>
      </w:tr>
      <w:tr w:rsidR="00690C7B" w:rsidRPr="002A6F8F" w:rsidTr="00AB03E2">
        <w:trPr>
          <w:gridAfter w:val="1"/>
          <w:wAfter w:w="601" w:type="dxa"/>
          <w:cantSplit/>
        </w:trPr>
        <w:tc>
          <w:tcPr>
            <w:tcW w:w="10031" w:type="dxa"/>
            <w:gridSpan w:val="2"/>
          </w:tcPr>
          <w:p w:rsidR="00690C7B" w:rsidRPr="00C013CD" w:rsidRDefault="00690C7B" w:rsidP="00C013CD">
            <w:pPr>
              <w:pStyle w:val="Title1"/>
            </w:pPr>
            <w:bookmarkStart w:id="4" w:name="dtitle1" w:colFirst="0" w:colLast="0"/>
            <w:bookmarkEnd w:id="3"/>
            <w:r w:rsidRPr="00C013CD">
              <w:t>Propos</w:t>
            </w:r>
            <w:r w:rsidR="00C013CD" w:rsidRPr="00C013CD">
              <w:t>ITIONS POUR LES TRAVAUX DE LA CONFéRE</w:t>
            </w:r>
            <w:r w:rsidRPr="00C013CD">
              <w:t>nce</w:t>
            </w:r>
          </w:p>
        </w:tc>
      </w:tr>
      <w:tr w:rsidR="00690C7B" w:rsidRPr="002A6F8F" w:rsidTr="00AB03E2">
        <w:trPr>
          <w:gridAfter w:val="1"/>
          <w:wAfter w:w="601" w:type="dxa"/>
          <w:cantSplit/>
        </w:trPr>
        <w:tc>
          <w:tcPr>
            <w:tcW w:w="10031" w:type="dxa"/>
            <w:gridSpan w:val="2"/>
          </w:tcPr>
          <w:p w:rsidR="00690C7B" w:rsidRPr="00C013CD" w:rsidRDefault="00690C7B" w:rsidP="00690C7B">
            <w:pPr>
              <w:pStyle w:val="Title2"/>
            </w:pPr>
            <w:bookmarkStart w:id="5" w:name="dtitle2" w:colFirst="0" w:colLast="0"/>
            <w:bookmarkEnd w:id="4"/>
          </w:p>
        </w:tc>
      </w:tr>
      <w:tr w:rsidR="00690C7B" w:rsidTr="00AB03E2">
        <w:trPr>
          <w:gridAfter w:val="1"/>
          <w:wAfter w:w="601" w:type="dxa"/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9.1(9.1.8) de l'ordre du jour</w:t>
            </w:r>
          </w:p>
        </w:tc>
      </w:tr>
    </w:tbl>
    <w:bookmarkEnd w:id="6"/>
    <w:p w:rsidR="001C0E40" w:rsidRPr="00A27760" w:rsidRDefault="003660BD" w:rsidP="006D55CD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  <w:t>examiner et approuver le rapport du Directeur du Bureau des radiocommunications, conformément à l'article 7 de la Convention:</w:t>
      </w:r>
    </w:p>
    <w:p w:rsidR="001C0E40" w:rsidRPr="00895D39" w:rsidRDefault="003660BD" w:rsidP="006D55CD">
      <w:pPr>
        <w:rPr>
          <w:lang w:val="fr-CA"/>
        </w:rPr>
      </w:pPr>
      <w:r>
        <w:rPr>
          <w:lang w:val="fr-CA"/>
        </w:rPr>
        <w:t>9.1</w:t>
      </w:r>
      <w:r>
        <w:rPr>
          <w:lang w:val="fr-CA"/>
        </w:rPr>
        <w:tab/>
      </w:r>
      <w:r w:rsidRPr="00895D39">
        <w:rPr>
          <w:lang w:val="fr-CA"/>
        </w:rPr>
        <w:t>sur les activités du Secteur des radiocommunications depuis la CMR</w:t>
      </w:r>
      <w:r w:rsidRPr="00895D39">
        <w:rPr>
          <w:lang w:val="fr-CA"/>
        </w:rPr>
        <w:noBreakHyphen/>
        <w:t xml:space="preserve">12; </w:t>
      </w:r>
    </w:p>
    <w:p w:rsidR="001C0E40" w:rsidRPr="004914AC" w:rsidRDefault="003660BD" w:rsidP="006D55CD">
      <w:pPr>
        <w:rPr>
          <w:lang w:val="fr-CH"/>
        </w:rPr>
      </w:pPr>
      <w:r>
        <w:rPr>
          <w:lang w:val="fr-CH"/>
        </w:rPr>
        <w:t>9.1(9.1.8)</w:t>
      </w:r>
      <w:r>
        <w:rPr>
          <w:lang w:val="fr-CH"/>
        </w:rPr>
        <w:tab/>
      </w:r>
      <w:r w:rsidRPr="00552143">
        <w:rPr>
          <w:lang w:val="fr-CH"/>
        </w:rPr>
        <w:t xml:space="preserve">Résolution </w:t>
      </w:r>
      <w:r w:rsidRPr="00875944">
        <w:rPr>
          <w:b/>
          <w:bCs/>
          <w:lang w:val="fr-CH"/>
        </w:rPr>
        <w:t>757 (CMR-12)</w:t>
      </w:r>
      <w:r w:rsidRPr="00552143">
        <w:rPr>
          <w:lang w:val="fr-CH"/>
        </w:rPr>
        <w:t xml:space="preserve"> – Aspects réglementaires des nanosatellites et des picosatellites</w:t>
      </w:r>
    </w:p>
    <w:p w:rsidR="003A583E" w:rsidRDefault="003A583E" w:rsidP="006D55CD"/>
    <w:p w:rsidR="00C013CD" w:rsidRDefault="0026435E" w:rsidP="006D55CD">
      <w:pPr>
        <w:pStyle w:val="Headingb"/>
      </w:pPr>
      <w:r>
        <w:t>Considérations générales</w:t>
      </w:r>
    </w:p>
    <w:p w:rsidR="00877AD8" w:rsidRDefault="0027594C" w:rsidP="006D55CD">
      <w:pPr>
        <w:rPr>
          <w:lang w:val="fr-CH"/>
        </w:rPr>
      </w:pPr>
      <w:r w:rsidRPr="00B228CF">
        <w:rPr>
          <w:lang w:val="fr-CH"/>
        </w:rPr>
        <w:t xml:space="preserve">La CMR-12 a adopté la Résolution </w:t>
      </w:r>
      <w:r w:rsidRPr="00877AD8">
        <w:rPr>
          <w:bCs/>
          <w:lang w:val="fr-CH"/>
        </w:rPr>
        <w:t>757,</w:t>
      </w:r>
      <w:r w:rsidRPr="00B228CF">
        <w:rPr>
          <w:bCs/>
          <w:lang w:val="fr-CH"/>
        </w:rPr>
        <w:t xml:space="preserve"> par laquelle elle a décidé d'inviter la </w:t>
      </w:r>
      <w:r w:rsidRPr="00B228CF">
        <w:rPr>
          <w:lang w:val="fr-CH"/>
        </w:rPr>
        <w:t>CMR-1</w:t>
      </w:r>
      <w:r w:rsidR="00877AD8">
        <w:rPr>
          <w:lang w:val="fr-CH"/>
        </w:rPr>
        <w:t>9</w:t>
      </w:r>
      <w:r w:rsidRPr="00B228CF">
        <w:rPr>
          <w:lang w:val="fr-CH"/>
        </w:rPr>
        <w:t xml:space="preserve"> à examiner s'il y a lieu d'apporter des modifications aux procédures réglementaires applicables à la notification des réseaux à satellite, afin de faciliter le déploiement et l'exploitation des nanosatellites et des picosatellites, </w:t>
      </w:r>
      <w:r w:rsidR="00877AD8" w:rsidRPr="00B228CF">
        <w:rPr>
          <w:lang w:val="fr-CH"/>
        </w:rPr>
        <w:t>compte tenu du fait qu'ils sont mis au point en peu de temps, que leurs missions sont de courte durée et qu'ils ont des caractéri</w:t>
      </w:r>
      <w:r w:rsidR="00877AD8">
        <w:rPr>
          <w:lang w:val="fr-CH"/>
        </w:rPr>
        <w:t>stiques orbitales particulières</w:t>
      </w:r>
      <w:r w:rsidR="00877AD8" w:rsidRPr="00B228CF">
        <w:rPr>
          <w:lang w:val="fr-CH"/>
        </w:rPr>
        <w:t>.</w:t>
      </w:r>
    </w:p>
    <w:p w:rsidR="00877AD8" w:rsidRDefault="00703C14" w:rsidP="006D55CD">
      <w:pPr>
        <w:rPr>
          <w:lang w:val="fr-CH"/>
        </w:rPr>
      </w:pPr>
      <w:r w:rsidRPr="00B228CF">
        <w:rPr>
          <w:lang w:val="fr-CH"/>
        </w:rPr>
        <w:t>Les nanosatellites et les picosatellites</w:t>
      </w:r>
      <w:r w:rsidR="00877AD8">
        <w:rPr>
          <w:lang w:val="fr-CH"/>
        </w:rPr>
        <w:t xml:space="preserve">, généralement décrits </w:t>
      </w:r>
      <w:r w:rsidR="00877AD8" w:rsidRPr="00877AD8">
        <w:t>comme</w:t>
      </w:r>
      <w:r w:rsidR="00877AD8">
        <w:t xml:space="preserve"> </w:t>
      </w:r>
      <w:r w:rsidR="00877AD8" w:rsidRPr="00877AD8">
        <w:t>ayant</w:t>
      </w:r>
      <w:r w:rsidR="00877AD8">
        <w:t xml:space="preserve"> une masse comprise entre </w:t>
      </w:r>
      <w:r w:rsidR="00877AD8" w:rsidRPr="00877AD8">
        <w:t>0,1 et</w:t>
      </w:r>
      <w:r w:rsidR="00877AD8">
        <w:t> </w:t>
      </w:r>
      <w:r w:rsidR="00877AD8" w:rsidRPr="00877AD8">
        <w:t>10</w:t>
      </w:r>
      <w:r w:rsidR="00877AD8">
        <w:t> </w:t>
      </w:r>
      <w:r w:rsidR="00877AD8" w:rsidRPr="00877AD8">
        <w:t>kg et mesurant moins de</w:t>
      </w:r>
      <w:r w:rsidR="00877AD8">
        <w:t> </w:t>
      </w:r>
      <w:r w:rsidR="00877AD8" w:rsidRPr="00877AD8">
        <w:t>0,5</w:t>
      </w:r>
      <w:r w:rsidR="00877AD8">
        <w:t> </w:t>
      </w:r>
      <w:r w:rsidR="00877AD8" w:rsidRPr="00877AD8">
        <w:t>m dans toute dimension linéaire, ont des caractéristiques physiques différentes de celles des satellites de plus grande taille</w:t>
      </w:r>
      <w:r w:rsidR="00877AD8">
        <w:t>. Ces satellites se caractérisent généralement par un cycle de développement court (un à deux ans), par un coût peu élevé et par l'utilisation de composants disponibles dans le commerce. L</w:t>
      </w:r>
      <w:r w:rsidR="00877AD8" w:rsidRPr="00877AD8">
        <w:t xml:space="preserve">es nanosatellites et les picosatellites sont actuellement utilisés pour des missions et des applications très diverses, notamment la télédétection, la recherche </w:t>
      </w:r>
      <w:r w:rsidR="00877AD8">
        <w:t xml:space="preserve">en </w:t>
      </w:r>
      <w:r w:rsidR="00877AD8" w:rsidRPr="00877AD8">
        <w:t>météorologi</w:t>
      </w:r>
      <w:r w:rsidR="00877AD8">
        <w:t>e</w:t>
      </w:r>
      <w:r w:rsidR="00877AD8" w:rsidRPr="00877AD8">
        <w:t xml:space="preserve"> </w:t>
      </w:r>
      <w:r w:rsidR="00877AD8">
        <w:t>de l'espace</w:t>
      </w:r>
      <w:r w:rsidR="00877AD8" w:rsidRPr="00877AD8">
        <w:t xml:space="preserve">, la recherche sur la haute atmosphère, l'astronomie, les communications, les démonstrations de technologies, </w:t>
      </w:r>
      <w:r w:rsidR="00E27D3F">
        <w:t>les activités des radioamateurs et l'éducation, ainsi que</w:t>
      </w:r>
      <w:r w:rsidR="00877AD8" w:rsidRPr="00877AD8">
        <w:t xml:space="preserve"> des applications commerciales, et peuvent par conséquent </w:t>
      </w:r>
      <w:r w:rsidR="00877AD8">
        <w:t xml:space="preserve">être exploités dans le cadre de </w:t>
      </w:r>
      <w:r w:rsidR="00877AD8" w:rsidRPr="00877AD8">
        <w:t>services de radiocommunication</w:t>
      </w:r>
      <w:r w:rsidR="00877AD8">
        <w:t xml:space="preserve"> divers.</w:t>
      </w:r>
    </w:p>
    <w:p w:rsidR="00C013CD" w:rsidRPr="00130BCD" w:rsidRDefault="00130BCD" w:rsidP="006D55CD">
      <w:pPr>
        <w:pStyle w:val="Headingb"/>
      </w:pPr>
      <w:r w:rsidRPr="00130BCD">
        <w:t>Examen et proposition</w:t>
      </w:r>
    </w:p>
    <w:p w:rsidR="00E27D3F" w:rsidRPr="00E27D3F" w:rsidRDefault="007F7AC0" w:rsidP="006D55CD">
      <w:pPr>
        <w:rPr>
          <w:lang w:val="fr-CH"/>
        </w:rPr>
      </w:pPr>
      <w:r>
        <w:rPr>
          <w:lang w:val="fr-CH"/>
        </w:rPr>
        <w:t xml:space="preserve">La Question 9.1.8 du </w:t>
      </w:r>
      <w:r w:rsidR="00E27D3F" w:rsidRPr="00E27D3F">
        <w:rPr>
          <w:lang w:val="fr-CH"/>
        </w:rPr>
        <w:t xml:space="preserve">point 9.1 de l'ordre du jour </w:t>
      </w:r>
      <w:r w:rsidR="00E27D3F">
        <w:rPr>
          <w:lang w:val="fr-CH"/>
        </w:rPr>
        <w:t>de la CMR</w:t>
      </w:r>
      <w:r w:rsidR="00E27D3F">
        <w:rPr>
          <w:lang w:val="fr-CH"/>
        </w:rPr>
        <w:noBreakHyphen/>
        <w:t xml:space="preserve">15 </w:t>
      </w:r>
      <w:r w:rsidR="00E27D3F" w:rsidRPr="00E27D3F">
        <w:rPr>
          <w:lang w:val="fr-CH"/>
        </w:rPr>
        <w:t xml:space="preserve">a déjà donné </w:t>
      </w:r>
      <w:r w:rsidR="00E27D3F">
        <w:rPr>
          <w:lang w:val="fr-CH"/>
        </w:rPr>
        <w:t xml:space="preserve">lieu à une analyse et à une évaluation des pratiques suivies actuellement pour la notification des nanosatellites et des </w:t>
      </w:r>
      <w:r w:rsidR="00E27D3F">
        <w:rPr>
          <w:lang w:val="fr-CH"/>
        </w:rPr>
        <w:lastRenderedPageBreak/>
        <w:t>pico</w:t>
      </w:r>
      <w:r w:rsidR="00130BCD">
        <w:rPr>
          <w:lang w:val="fr-CH"/>
        </w:rPr>
        <w:t xml:space="preserve">satellites, </w:t>
      </w:r>
      <w:r w:rsidR="00485411">
        <w:rPr>
          <w:lang w:val="fr-CH"/>
        </w:rPr>
        <w:t>ce qui s'est traduit par l'élaboration de</w:t>
      </w:r>
      <w:r w:rsidR="00130BCD">
        <w:rPr>
          <w:lang w:val="fr-CH"/>
        </w:rPr>
        <w:t xml:space="preserve"> deux projets de nouveau Rapport. L'étude qui a été menée et les résultats associés offrent une base théorique et pratique solide pour la prochaine étape des travaux.</w:t>
      </w:r>
      <w:r>
        <w:rPr>
          <w:lang w:val="fr-CH"/>
        </w:rPr>
        <w:t xml:space="preserve"> Etant donné que cette étude ne </w:t>
      </w:r>
      <w:r w:rsidR="00850E6D">
        <w:rPr>
          <w:lang w:val="fr-CH"/>
        </w:rPr>
        <w:t>suggère aucune</w:t>
      </w:r>
      <w:r>
        <w:rPr>
          <w:lang w:val="fr-CH"/>
        </w:rPr>
        <w:t xml:space="preserve"> modifi</w:t>
      </w:r>
      <w:r w:rsidR="00850E6D">
        <w:rPr>
          <w:lang w:val="fr-CH"/>
        </w:rPr>
        <w:t>cation d</w:t>
      </w:r>
      <w:r>
        <w:rPr>
          <w:lang w:val="fr-CH"/>
        </w:rPr>
        <w:t>es procédures réglementaires applicables à la notification des réseaux à satellite utilisant des nanosatellites et des picosatellites, mais que les opérateurs de nanosatellites et de picosatellites continuent de demander une modification</w:t>
      </w:r>
      <w:r w:rsidR="00973DA1">
        <w:rPr>
          <w:lang w:val="fr-CH"/>
        </w:rPr>
        <w:t xml:space="preserve"> de ces procédures, l'A</w:t>
      </w:r>
      <w:r>
        <w:rPr>
          <w:lang w:val="fr-CH"/>
        </w:rPr>
        <w:t>dministration de la Chine propose d'inscrire à l'ordre du jour de la CMR</w:t>
      </w:r>
      <w:r>
        <w:rPr>
          <w:lang w:val="fr-CH"/>
        </w:rPr>
        <w:noBreakHyphen/>
        <w:t>19 un point consacré aux aspects réglementaires des nanosatellites et des picosatellites. L</w:t>
      </w:r>
      <w:r w:rsidR="001B0633">
        <w:rPr>
          <w:lang w:val="fr-CH"/>
        </w:rPr>
        <w:t>e</w:t>
      </w:r>
      <w:r>
        <w:rPr>
          <w:lang w:val="fr-CH"/>
        </w:rPr>
        <w:t>s études correspondantes peu</w:t>
      </w:r>
      <w:r w:rsidR="001B0633">
        <w:rPr>
          <w:lang w:val="fr-CH"/>
        </w:rPr>
        <w:t>vent être effectuées au titre</w:t>
      </w:r>
      <w:r>
        <w:rPr>
          <w:lang w:val="fr-CH"/>
        </w:rPr>
        <w:t xml:space="preserve"> d'un nouveau point de l'ordre du jour de la CMR</w:t>
      </w:r>
      <w:r>
        <w:rPr>
          <w:lang w:val="fr-CH"/>
        </w:rPr>
        <w:noBreakHyphen/>
        <w:t xml:space="preserve">19 ou </w:t>
      </w:r>
      <w:r w:rsidR="001B0633">
        <w:rPr>
          <w:lang w:val="fr-CH"/>
        </w:rPr>
        <w:t>au titre des</w:t>
      </w:r>
      <w:r>
        <w:rPr>
          <w:lang w:val="fr-CH"/>
        </w:rPr>
        <w:t xml:space="preserve"> points permanents.</w:t>
      </w:r>
    </w:p>
    <w:p w:rsidR="003660BD" w:rsidRPr="001B0633" w:rsidRDefault="003660BD" w:rsidP="006D55CD">
      <w:pPr>
        <w:rPr>
          <w:lang w:val="fr-CH"/>
        </w:rPr>
      </w:pPr>
    </w:p>
    <w:p w:rsidR="003660BD" w:rsidRDefault="003660BD" w:rsidP="006D55CD">
      <w:pPr>
        <w:jc w:val="center"/>
      </w:pPr>
      <w:r>
        <w:t>______________</w:t>
      </w:r>
    </w:p>
    <w:sectPr w:rsidR="003660B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C41AD">
      <w:rPr>
        <w:noProof/>
        <w:lang w:val="en-US"/>
      </w:rPr>
      <w:t>P:\FRA\ITU-R\CONF-R\CMR15\000\062ADD23ADD01ADD08F.docx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C41AD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C41AD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9E0C9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C41AD">
      <w:rPr>
        <w:lang w:val="en-US"/>
      </w:rPr>
      <w:t>P:\FRA\ITU-R\CONF-R\CMR15\000\062ADD23ADD01ADD08F.docx</w:t>
    </w:r>
    <w:r>
      <w:fldChar w:fldCharType="end"/>
    </w:r>
    <w:r w:rsidR="003660BD" w:rsidRPr="003660BD">
      <w:rPr>
        <w:lang w:val="en-US"/>
      </w:rPr>
      <w:t xml:space="preserve"> (388531)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C41AD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C41AD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C41AD">
      <w:rPr>
        <w:lang w:val="en-US"/>
      </w:rPr>
      <w:t>P:\FRA\ITU-R\CONF-R\CMR15\000\062ADD23ADD01ADD08F.docx</w:t>
    </w:r>
    <w:r>
      <w:fldChar w:fldCharType="end"/>
    </w:r>
    <w:r w:rsidR="009E0C95">
      <w:t xml:space="preserve"> (388531)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C41AD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C41AD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C41AD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62(Add.23)(Add.1)(Add.8)-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30BCD"/>
    <w:rsid w:val="0015203F"/>
    <w:rsid w:val="00160C64"/>
    <w:rsid w:val="0018169B"/>
    <w:rsid w:val="0019352B"/>
    <w:rsid w:val="001960D0"/>
    <w:rsid w:val="001B0633"/>
    <w:rsid w:val="001F17E8"/>
    <w:rsid w:val="00204306"/>
    <w:rsid w:val="00232FD2"/>
    <w:rsid w:val="0026435E"/>
    <w:rsid w:val="0026554E"/>
    <w:rsid w:val="0027594C"/>
    <w:rsid w:val="002A4622"/>
    <w:rsid w:val="002A6F8F"/>
    <w:rsid w:val="002B17E5"/>
    <w:rsid w:val="002C0EBF"/>
    <w:rsid w:val="002C28A4"/>
    <w:rsid w:val="00315AFE"/>
    <w:rsid w:val="003339BB"/>
    <w:rsid w:val="003606A6"/>
    <w:rsid w:val="003660BD"/>
    <w:rsid w:val="0036650C"/>
    <w:rsid w:val="00393ACD"/>
    <w:rsid w:val="003A583E"/>
    <w:rsid w:val="003E112B"/>
    <w:rsid w:val="003E1D1C"/>
    <w:rsid w:val="003E7B05"/>
    <w:rsid w:val="00466211"/>
    <w:rsid w:val="004834A9"/>
    <w:rsid w:val="00485411"/>
    <w:rsid w:val="004C41AD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D55CD"/>
    <w:rsid w:val="00701BAE"/>
    <w:rsid w:val="00703C14"/>
    <w:rsid w:val="00721F04"/>
    <w:rsid w:val="00730E95"/>
    <w:rsid w:val="007426B9"/>
    <w:rsid w:val="00764342"/>
    <w:rsid w:val="00774362"/>
    <w:rsid w:val="00786598"/>
    <w:rsid w:val="007A04E8"/>
    <w:rsid w:val="007F7AC0"/>
    <w:rsid w:val="00850E6D"/>
    <w:rsid w:val="00851625"/>
    <w:rsid w:val="00863C0A"/>
    <w:rsid w:val="00877AD8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73DA1"/>
    <w:rsid w:val="0098732F"/>
    <w:rsid w:val="009A045F"/>
    <w:rsid w:val="009C7E7C"/>
    <w:rsid w:val="009E0C95"/>
    <w:rsid w:val="00A00473"/>
    <w:rsid w:val="00A03C9B"/>
    <w:rsid w:val="00A37105"/>
    <w:rsid w:val="00A606C3"/>
    <w:rsid w:val="00A83B09"/>
    <w:rsid w:val="00A84541"/>
    <w:rsid w:val="00AB03E2"/>
    <w:rsid w:val="00AE36A0"/>
    <w:rsid w:val="00B00294"/>
    <w:rsid w:val="00B64FD0"/>
    <w:rsid w:val="00BA5BD0"/>
    <w:rsid w:val="00BB1D82"/>
    <w:rsid w:val="00BF26E7"/>
    <w:rsid w:val="00C013CD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27D3F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547E8DF7-7478-49A8-9CD6-D01D2895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R15-WRC15-C-0062!A23-A1-A8!MSW-F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21D21-EA1A-4624-A10B-1DD76ED12BE1}">
  <ds:schemaRefs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456</Words>
  <Characters>2706</Characters>
  <Application>Microsoft Office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R15-WRC15-C-0062!A23-A1-A8!MSW-F</vt:lpstr>
    </vt:vector>
  </TitlesOfParts>
  <Manager>Secrétariat général - Pool</Manager>
  <Company>Union internationale des télécommunications (UIT)</Company>
  <LinksUpToDate>false</LinksUpToDate>
  <CharactersWithSpaces>3146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R15-WRC15-C-0062!A23-A1-A8!MSW-F</dc:title>
  <dc:subject>Conférence mondiale des radiocommunications - 2015</dc:subject>
  <dc:creator>Documents Proposals Manager (DPM)</dc:creator>
  <cp:keywords>DPM_v5.2015.10.230_prod</cp:keywords>
  <dc:description/>
  <cp:lastModifiedBy>Germain, Catherine</cp:lastModifiedBy>
  <cp:revision>5</cp:revision>
  <cp:lastPrinted>2015-10-29T16:40:00Z</cp:lastPrinted>
  <dcterms:created xsi:type="dcterms:W3CDTF">2015-10-29T12:48:00Z</dcterms:created>
  <dcterms:modified xsi:type="dcterms:W3CDTF">2015-10-29T16:40:00Z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