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E35195" w:rsidTr="00F746BB">
        <w:trPr>
          <w:cantSplit/>
        </w:trPr>
        <w:tc>
          <w:tcPr>
            <w:tcW w:w="5954" w:type="dxa"/>
          </w:tcPr>
          <w:p w:rsidR="00E35195" w:rsidRPr="00566240" w:rsidRDefault="00E35195" w:rsidP="00F746BB">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E35195" w:rsidRPr="00622560" w:rsidRDefault="00E35195" w:rsidP="00F746BB">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6F2D3C4" wp14:editId="2CB2AE9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35195" w:rsidRPr="00617BE4" w:rsidTr="00F746BB">
        <w:trPr>
          <w:cantSplit/>
        </w:trPr>
        <w:tc>
          <w:tcPr>
            <w:tcW w:w="5954" w:type="dxa"/>
            <w:tcBorders>
              <w:bottom w:val="single" w:sz="12" w:space="0" w:color="auto"/>
            </w:tcBorders>
          </w:tcPr>
          <w:p w:rsidR="00E35195" w:rsidRPr="00617BE4" w:rsidRDefault="00E35195" w:rsidP="00F746BB">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E35195" w:rsidRPr="00622560" w:rsidRDefault="00E35195" w:rsidP="00F746BB">
            <w:pPr>
              <w:spacing w:before="0" w:line="240" w:lineRule="atLeast"/>
              <w:rPr>
                <w:rFonts w:ascii="Verdana" w:hAnsi="Verdana"/>
                <w:sz w:val="20"/>
                <w:szCs w:val="24"/>
              </w:rPr>
            </w:pPr>
          </w:p>
        </w:tc>
      </w:tr>
      <w:tr w:rsidR="00E35195" w:rsidRPr="00C324A8" w:rsidTr="00F746BB">
        <w:trPr>
          <w:cantSplit/>
        </w:trPr>
        <w:tc>
          <w:tcPr>
            <w:tcW w:w="5954" w:type="dxa"/>
            <w:tcBorders>
              <w:top w:val="single" w:sz="12" w:space="0" w:color="auto"/>
            </w:tcBorders>
          </w:tcPr>
          <w:p w:rsidR="00E35195" w:rsidRPr="00CB4E5A" w:rsidRDefault="00E35195" w:rsidP="00F746BB">
            <w:pPr>
              <w:spacing w:line="240" w:lineRule="atLeast"/>
              <w:rPr>
                <w:rFonts w:ascii="Verdana" w:hAnsi="Verdana"/>
                <w:b/>
                <w:bCs/>
                <w:sz w:val="20"/>
              </w:rPr>
            </w:pPr>
          </w:p>
        </w:tc>
        <w:tc>
          <w:tcPr>
            <w:tcW w:w="4077" w:type="dxa"/>
            <w:tcBorders>
              <w:top w:val="single" w:sz="12" w:space="0" w:color="auto"/>
            </w:tcBorders>
          </w:tcPr>
          <w:p w:rsidR="00E35195" w:rsidRPr="00CB4E5A" w:rsidRDefault="00E35195" w:rsidP="00F746BB">
            <w:pPr>
              <w:spacing w:line="240" w:lineRule="atLeast"/>
              <w:rPr>
                <w:rFonts w:ascii="Verdana" w:hAnsi="Verdana"/>
                <w:b/>
                <w:bCs/>
                <w:sz w:val="20"/>
              </w:rPr>
            </w:pPr>
          </w:p>
        </w:tc>
      </w:tr>
      <w:tr w:rsidR="00E35195" w:rsidRPr="00C324A8" w:rsidTr="00F746BB">
        <w:trPr>
          <w:cantSplit/>
          <w:trHeight w:val="23"/>
        </w:trPr>
        <w:tc>
          <w:tcPr>
            <w:tcW w:w="5954" w:type="dxa"/>
            <w:shd w:val="clear" w:color="auto" w:fill="auto"/>
          </w:tcPr>
          <w:p w:rsidR="00E35195" w:rsidRPr="00A466E6" w:rsidRDefault="00E35195" w:rsidP="00F746BB">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E35195" w:rsidRPr="00622560" w:rsidRDefault="00E35195" w:rsidP="00F746B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62(Add.23)(Add.1)(Add.8)</w:t>
            </w:r>
            <w:r w:rsidRPr="00622560">
              <w:rPr>
                <w:rFonts w:ascii="Verdana" w:hAnsi="Verdana"/>
                <w:b/>
                <w:sz w:val="20"/>
              </w:rPr>
              <w:t>-</w:t>
            </w:r>
            <w:r w:rsidRPr="000273B7">
              <w:rPr>
                <w:rFonts w:ascii="Verdana" w:hAnsi="Verdana"/>
                <w:b/>
                <w:sz w:val="20"/>
              </w:rPr>
              <w:t>C</w:t>
            </w:r>
          </w:p>
        </w:tc>
      </w:tr>
      <w:bookmarkEnd w:id="1"/>
      <w:bookmarkEnd w:id="3"/>
      <w:tr w:rsidR="00E35195" w:rsidRPr="00C324A8" w:rsidTr="00F746BB">
        <w:trPr>
          <w:cantSplit/>
          <w:trHeight w:val="23"/>
        </w:trPr>
        <w:tc>
          <w:tcPr>
            <w:tcW w:w="5954" w:type="dxa"/>
            <w:shd w:val="clear" w:color="auto" w:fill="auto"/>
          </w:tcPr>
          <w:p w:rsidR="00E35195" w:rsidRPr="00C324A8" w:rsidRDefault="00E35195" w:rsidP="00F746BB">
            <w:pPr>
              <w:spacing w:before="0"/>
              <w:rPr>
                <w:rFonts w:ascii="Verdana" w:hAnsi="Verdana"/>
                <w:b/>
                <w:smallCaps/>
                <w:sz w:val="20"/>
              </w:rPr>
            </w:pPr>
          </w:p>
        </w:tc>
        <w:tc>
          <w:tcPr>
            <w:tcW w:w="4077" w:type="dxa"/>
            <w:shd w:val="clear" w:color="auto" w:fill="auto"/>
          </w:tcPr>
          <w:p w:rsidR="00E35195" w:rsidRPr="00622560" w:rsidRDefault="00E35195" w:rsidP="00F746BB">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E35195" w:rsidRPr="00C324A8" w:rsidTr="00F746BB">
        <w:trPr>
          <w:cantSplit/>
          <w:trHeight w:val="23"/>
        </w:trPr>
        <w:tc>
          <w:tcPr>
            <w:tcW w:w="5954" w:type="dxa"/>
          </w:tcPr>
          <w:p w:rsidR="00E35195" w:rsidRPr="00CB4E5A" w:rsidRDefault="00E35195" w:rsidP="00F746BB">
            <w:pPr>
              <w:spacing w:before="0"/>
              <w:rPr>
                <w:rFonts w:ascii="Verdana" w:hAnsi="Verdana"/>
                <w:b/>
                <w:bCs/>
                <w:sz w:val="20"/>
              </w:rPr>
            </w:pPr>
          </w:p>
        </w:tc>
        <w:tc>
          <w:tcPr>
            <w:tcW w:w="4077" w:type="dxa"/>
          </w:tcPr>
          <w:p w:rsidR="00E35195" w:rsidRPr="00622560" w:rsidRDefault="00E35195" w:rsidP="00F746BB">
            <w:pPr>
              <w:spacing w:before="0"/>
              <w:rPr>
                <w:rFonts w:ascii="Verdana" w:hAnsi="Verdana"/>
                <w:sz w:val="20"/>
              </w:rPr>
            </w:pPr>
            <w:r w:rsidRPr="000273B7">
              <w:rPr>
                <w:rFonts w:ascii="Verdana" w:hAnsi="Verdana"/>
                <w:b/>
                <w:bCs/>
                <w:sz w:val="20"/>
              </w:rPr>
              <w:t>原文：中文</w:t>
            </w:r>
          </w:p>
        </w:tc>
      </w:tr>
      <w:tr w:rsidR="00E35195" w:rsidRPr="00C324A8" w:rsidTr="00F746BB">
        <w:trPr>
          <w:cantSplit/>
          <w:trHeight w:val="23"/>
        </w:trPr>
        <w:tc>
          <w:tcPr>
            <w:tcW w:w="10031" w:type="dxa"/>
            <w:gridSpan w:val="2"/>
          </w:tcPr>
          <w:p w:rsidR="00E35195" w:rsidRDefault="00E35195" w:rsidP="00F746BB">
            <w:pPr>
              <w:spacing w:before="0" w:line="240" w:lineRule="atLeast"/>
              <w:rPr>
                <w:rFonts w:ascii="Verdana" w:hAnsi="Verdana"/>
                <w:b/>
                <w:bCs/>
                <w:sz w:val="20"/>
              </w:rPr>
            </w:pPr>
          </w:p>
        </w:tc>
      </w:tr>
      <w:tr w:rsidR="00E35195" w:rsidTr="00F746BB">
        <w:trPr>
          <w:cantSplit/>
        </w:trPr>
        <w:tc>
          <w:tcPr>
            <w:tcW w:w="10031" w:type="dxa"/>
            <w:gridSpan w:val="2"/>
          </w:tcPr>
          <w:p w:rsidR="00E35195" w:rsidRDefault="00E35195" w:rsidP="00F746BB">
            <w:pPr>
              <w:pStyle w:val="Source"/>
            </w:pPr>
            <w:bookmarkStart w:id="4" w:name="dsource" w:colFirst="0" w:colLast="0"/>
            <w:r w:rsidRPr="000273B7">
              <w:t>中华人民共和国</w:t>
            </w:r>
          </w:p>
        </w:tc>
      </w:tr>
      <w:tr w:rsidR="00E35195" w:rsidTr="00F746BB">
        <w:trPr>
          <w:cantSplit/>
        </w:trPr>
        <w:tc>
          <w:tcPr>
            <w:tcW w:w="10031" w:type="dxa"/>
            <w:gridSpan w:val="2"/>
          </w:tcPr>
          <w:p w:rsidR="00E35195" w:rsidRDefault="00E35195" w:rsidP="00F746BB">
            <w:pPr>
              <w:pStyle w:val="Title1"/>
            </w:pPr>
            <w:bookmarkStart w:id="5" w:name="dtitle1" w:colFirst="0" w:colLast="0"/>
            <w:bookmarkEnd w:id="4"/>
            <w:r w:rsidRPr="000273B7">
              <w:t>有关大会工作的提案</w:t>
            </w:r>
          </w:p>
        </w:tc>
      </w:tr>
      <w:tr w:rsidR="00E35195" w:rsidTr="00F746BB">
        <w:trPr>
          <w:cantSplit/>
        </w:trPr>
        <w:tc>
          <w:tcPr>
            <w:tcW w:w="10031" w:type="dxa"/>
            <w:gridSpan w:val="2"/>
          </w:tcPr>
          <w:p w:rsidR="00E35195" w:rsidRDefault="00E35195" w:rsidP="00F746BB">
            <w:pPr>
              <w:pStyle w:val="Title2"/>
            </w:pPr>
            <w:bookmarkStart w:id="6" w:name="dtitle2" w:colFirst="0" w:colLast="0"/>
            <w:bookmarkEnd w:id="5"/>
          </w:p>
        </w:tc>
      </w:tr>
      <w:tr w:rsidR="00E35195" w:rsidTr="00F746BB">
        <w:trPr>
          <w:cantSplit/>
        </w:trPr>
        <w:tc>
          <w:tcPr>
            <w:tcW w:w="10031" w:type="dxa"/>
            <w:gridSpan w:val="2"/>
          </w:tcPr>
          <w:p w:rsidR="00E35195" w:rsidRDefault="00E35195" w:rsidP="00F746BB">
            <w:pPr>
              <w:pStyle w:val="Agendaitem"/>
            </w:pPr>
            <w:bookmarkStart w:id="7" w:name="dtitle3" w:colFirst="0" w:colLast="0"/>
            <w:bookmarkEnd w:id="6"/>
            <w:r w:rsidRPr="000273B7">
              <w:t>议项</w:t>
            </w:r>
            <w:r w:rsidRPr="000273B7">
              <w:t>9.1(9.1.8)</w:t>
            </w:r>
          </w:p>
        </w:tc>
      </w:tr>
    </w:tbl>
    <w:bookmarkEnd w:id="7"/>
    <w:p w:rsidR="00E35195" w:rsidRPr="00676FBA" w:rsidRDefault="00E35195" w:rsidP="00E35195">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E35195" w:rsidRPr="009C33AA" w:rsidRDefault="00E35195" w:rsidP="00E35195">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E35195" w:rsidRPr="00676FBA" w:rsidRDefault="00E35195" w:rsidP="00E35195">
      <w:pPr>
        <w:rPr>
          <w:lang w:eastAsia="zh-CN"/>
        </w:rPr>
      </w:pPr>
      <w:r w:rsidRPr="009C33AA">
        <w:rPr>
          <w:lang w:eastAsia="zh-CN"/>
        </w:rPr>
        <w:t>9.1</w:t>
      </w:r>
      <w:r>
        <w:rPr>
          <w:lang w:eastAsia="zh-CN"/>
        </w:rPr>
        <w:t>(9.1.8)</w:t>
      </w:r>
      <w:r w:rsidRPr="009C33AA">
        <w:rPr>
          <w:b/>
          <w:lang w:eastAsia="zh-CN"/>
        </w:rPr>
        <w:tab/>
      </w:r>
      <w:r>
        <w:rPr>
          <w:rFonts w:hint="eastAsia"/>
          <w:lang w:eastAsia="zh-CN"/>
        </w:rPr>
        <w:t>第</w:t>
      </w:r>
      <w:r w:rsidRPr="001D720F">
        <w:rPr>
          <w:rFonts w:hint="eastAsia"/>
          <w:b/>
          <w:bCs/>
          <w:lang w:eastAsia="zh-CN"/>
        </w:rPr>
        <w:t>757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706A21">
        <w:rPr>
          <w:rFonts w:hint="eastAsia"/>
          <w:lang w:eastAsia="zh-CN"/>
        </w:rPr>
        <w:t xml:space="preserve"> </w:t>
      </w:r>
      <w:r>
        <w:rPr>
          <w:lang w:eastAsia="zh-CN"/>
        </w:rPr>
        <w:t>–</w:t>
      </w:r>
      <w:r>
        <w:rPr>
          <w:rFonts w:hint="eastAsia"/>
          <w:lang w:eastAsia="zh-CN"/>
        </w:rPr>
        <w:t xml:space="preserve"> </w:t>
      </w:r>
      <w:r>
        <w:rPr>
          <w:rFonts w:hint="eastAsia"/>
          <w:lang w:eastAsia="zh-CN"/>
        </w:rPr>
        <w:t>纳卫星和皮卫星的规则问题</w:t>
      </w:r>
    </w:p>
    <w:p w:rsidR="00E35195" w:rsidRDefault="00E35195" w:rsidP="00E35195">
      <w:pPr>
        <w:rPr>
          <w:lang w:eastAsia="zh-CN"/>
        </w:rPr>
      </w:pPr>
    </w:p>
    <w:p w:rsidR="00E35195" w:rsidRDefault="00E35195" w:rsidP="00E35195">
      <w:pPr>
        <w:pStyle w:val="Headingb"/>
        <w:rPr>
          <w:lang w:eastAsia="zh-CN"/>
        </w:rPr>
      </w:pPr>
      <w:r>
        <w:rPr>
          <w:rFonts w:hint="eastAsia"/>
          <w:lang w:eastAsia="zh-CN"/>
        </w:rPr>
        <w:t>背景</w:t>
      </w:r>
    </w:p>
    <w:p w:rsidR="00E35195" w:rsidRDefault="00E35195" w:rsidP="00706EB9">
      <w:pPr>
        <w:ind w:firstLineChars="200" w:firstLine="480"/>
        <w:rPr>
          <w:lang w:eastAsia="zh-CN"/>
        </w:rPr>
      </w:pPr>
      <w:r>
        <w:rPr>
          <w:rFonts w:hint="eastAsia"/>
          <w:lang w:eastAsia="zh-CN"/>
        </w:rPr>
        <w:t>WRC-12</w:t>
      </w:r>
      <w:r>
        <w:rPr>
          <w:rFonts w:hint="eastAsia"/>
          <w:lang w:eastAsia="zh-CN"/>
        </w:rPr>
        <w:t>采纳</w:t>
      </w:r>
      <w:r w:rsidR="00706EB9">
        <w:rPr>
          <w:rFonts w:hint="eastAsia"/>
          <w:lang w:eastAsia="zh-CN"/>
        </w:rPr>
        <w:t>第</w:t>
      </w:r>
      <w:r>
        <w:rPr>
          <w:rFonts w:hint="eastAsia"/>
          <w:lang w:eastAsia="zh-CN"/>
        </w:rPr>
        <w:t>757</w:t>
      </w:r>
      <w:r w:rsidR="00706EB9">
        <w:rPr>
          <w:rFonts w:hint="eastAsia"/>
          <w:lang w:eastAsia="zh-CN"/>
        </w:rPr>
        <w:t>号</w:t>
      </w:r>
      <w:r w:rsidR="00706EB9">
        <w:rPr>
          <w:rFonts w:hint="eastAsia"/>
          <w:lang w:eastAsia="zh-CN"/>
        </w:rPr>
        <w:t>决议</w:t>
      </w:r>
      <w:r>
        <w:rPr>
          <w:rFonts w:hint="eastAsia"/>
          <w:lang w:eastAsia="zh-CN"/>
        </w:rPr>
        <w:t>（</w:t>
      </w:r>
      <w:r>
        <w:rPr>
          <w:rFonts w:hint="eastAsia"/>
          <w:lang w:eastAsia="zh-CN"/>
        </w:rPr>
        <w:t>WRC-12</w:t>
      </w:r>
      <w:r>
        <w:rPr>
          <w:rFonts w:hint="eastAsia"/>
          <w:lang w:eastAsia="zh-CN"/>
        </w:rPr>
        <w:t>）请</w:t>
      </w:r>
      <w:r>
        <w:rPr>
          <w:rFonts w:hint="eastAsia"/>
          <w:lang w:eastAsia="zh-CN"/>
        </w:rPr>
        <w:t>WRC-19</w:t>
      </w:r>
      <w:r>
        <w:rPr>
          <w:rFonts w:hint="eastAsia"/>
          <w:lang w:eastAsia="zh-CN"/>
        </w:rPr>
        <w:t>为方便皮纳卫星的部署和运行，尤其是考虑到皮纳卫星运行周期短，任务周期短以及特殊的轨道参数，考虑是否需要修改有关通知卫星网络的规则程序，并采取适当行动。</w:t>
      </w:r>
    </w:p>
    <w:p w:rsidR="00E35195" w:rsidRDefault="00E35195" w:rsidP="00E35195">
      <w:pPr>
        <w:ind w:firstLineChars="200" w:firstLine="480"/>
        <w:rPr>
          <w:lang w:eastAsia="zh-CN"/>
        </w:rPr>
      </w:pPr>
      <w:r>
        <w:rPr>
          <w:rFonts w:hint="eastAsia"/>
          <w:lang w:eastAsia="zh-CN"/>
        </w:rPr>
        <w:t>皮纳卫星通常指的是重量在</w:t>
      </w:r>
      <w:r>
        <w:rPr>
          <w:rFonts w:hint="eastAsia"/>
          <w:lang w:eastAsia="zh-CN"/>
        </w:rPr>
        <w:t>0.1</w:t>
      </w:r>
      <w:r>
        <w:rPr>
          <w:rFonts w:hint="eastAsia"/>
          <w:lang w:eastAsia="zh-CN"/>
        </w:rPr>
        <w:t>至</w:t>
      </w:r>
      <w:r>
        <w:rPr>
          <w:rFonts w:hint="eastAsia"/>
          <w:lang w:eastAsia="zh-CN"/>
        </w:rPr>
        <w:t>10</w:t>
      </w:r>
      <w:r w:rsidR="00DF5034">
        <w:rPr>
          <w:lang w:eastAsia="zh-CN"/>
        </w:rPr>
        <w:t xml:space="preserve"> </w:t>
      </w:r>
      <w:r>
        <w:rPr>
          <w:rFonts w:hint="eastAsia"/>
          <w:lang w:eastAsia="zh-CN"/>
        </w:rPr>
        <w:t>kg</w:t>
      </w:r>
      <w:r>
        <w:rPr>
          <w:rFonts w:hint="eastAsia"/>
          <w:lang w:eastAsia="zh-CN"/>
        </w:rPr>
        <w:t>之间且任何维度尺寸均小于</w:t>
      </w:r>
      <w:r>
        <w:rPr>
          <w:rFonts w:hint="eastAsia"/>
          <w:lang w:eastAsia="zh-CN"/>
        </w:rPr>
        <w:t>0.5</w:t>
      </w:r>
      <w:r w:rsidR="00DF5034">
        <w:rPr>
          <w:lang w:eastAsia="zh-CN"/>
        </w:rPr>
        <w:t xml:space="preserve"> </w:t>
      </w:r>
      <w:r>
        <w:rPr>
          <w:rFonts w:hint="eastAsia"/>
          <w:lang w:eastAsia="zh-CN"/>
        </w:rPr>
        <w:t>m</w:t>
      </w:r>
      <w:r>
        <w:rPr>
          <w:rFonts w:hint="eastAsia"/>
          <w:lang w:eastAsia="zh-CN"/>
        </w:rPr>
        <w:t>的卫星，其物理特性与大卫星相比有很大的不同。通常这种卫星部署时间很短（</w:t>
      </w:r>
      <w:r>
        <w:rPr>
          <w:rFonts w:hint="eastAsia"/>
          <w:lang w:eastAsia="zh-CN"/>
        </w:rPr>
        <w:t>1~2</w:t>
      </w:r>
      <w:r>
        <w:rPr>
          <w:rFonts w:hint="eastAsia"/>
          <w:lang w:eastAsia="zh-CN"/>
        </w:rPr>
        <w:t>年之间），低成本，采用成熟的元器件。皮纳卫星应用在很广泛的场合，包括遥感、空间气象研究、外太空大气研究、通信、新技术展示、业余无线电、教育以及商业应用中，涉及各种通信业务。</w:t>
      </w:r>
    </w:p>
    <w:p w:rsidR="00E35195" w:rsidRDefault="00E35195" w:rsidP="00E35195">
      <w:pPr>
        <w:pStyle w:val="Headingb"/>
        <w:rPr>
          <w:lang w:eastAsia="zh-CN"/>
        </w:rPr>
      </w:pPr>
      <w:r>
        <w:rPr>
          <w:rFonts w:hint="eastAsia"/>
          <w:lang w:eastAsia="zh-CN"/>
        </w:rPr>
        <w:t>考虑和建议</w:t>
      </w:r>
    </w:p>
    <w:p w:rsidR="00E35195" w:rsidRDefault="00E35195" w:rsidP="00E35195">
      <w:pPr>
        <w:ind w:firstLineChars="200" w:firstLine="480"/>
        <w:rPr>
          <w:lang w:eastAsia="zh-CN"/>
        </w:rPr>
      </w:pPr>
      <w:r>
        <w:rPr>
          <w:rFonts w:hint="eastAsia"/>
          <w:lang w:eastAsia="zh-CN"/>
        </w:rPr>
        <w:t>9.1.8</w:t>
      </w:r>
      <w:r>
        <w:rPr>
          <w:rFonts w:hint="eastAsia"/>
          <w:lang w:eastAsia="zh-CN"/>
        </w:rPr>
        <w:t>议题已经对皮纳卫星的规则开展了讨论，并且形成了两份报告书草案，这些研究和成果为下一阶段的工作的开展打下了良好的理论和实践基础。同时需注意到，目前的研究成果对皮纳卫星的申报通知规则没有做任何的改变，而皮纳卫星操作者对这种改变的需求仍然存在，出于以上考虑，在未来大会中建议继续对皮纳卫星的规则进行研究，既可以作为一个新议题，也可放在常设议题中进行研究。</w:t>
      </w:r>
    </w:p>
    <w:p w:rsidR="00E35195" w:rsidRDefault="00E35195" w:rsidP="00E35195">
      <w:pPr>
        <w:pStyle w:val="Reasons"/>
        <w:rPr>
          <w:lang w:eastAsia="zh-CN"/>
        </w:rPr>
      </w:pPr>
      <w:bookmarkStart w:id="8" w:name="_GoBack"/>
      <w:bookmarkEnd w:id="8"/>
    </w:p>
    <w:p w:rsidR="00E35195" w:rsidRDefault="00E35195" w:rsidP="00E35195">
      <w:pPr>
        <w:jc w:val="center"/>
      </w:pPr>
      <w:r>
        <w:t>______________</w:t>
      </w:r>
    </w:p>
    <w:sectPr w:rsidR="00E35195">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95" w:rsidRDefault="00E35195">
      <w:r>
        <w:separator/>
      </w:r>
    </w:p>
  </w:endnote>
  <w:endnote w:type="continuationSeparator" w:id="0">
    <w:p w:rsidR="00E35195" w:rsidRDefault="00E3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5195">
      <w:rPr>
        <w:lang w:val="en-US"/>
      </w:rPr>
      <w:t>Document1</w:t>
    </w:r>
    <w:r>
      <w:fldChar w:fldCharType="end"/>
    </w:r>
    <w:r w:rsidRPr="00DA0469">
      <w:rPr>
        <w:lang w:val="en-US"/>
      </w:rPr>
      <w:tab/>
    </w:r>
    <w:r>
      <w:fldChar w:fldCharType="begin"/>
    </w:r>
    <w:r>
      <w:instrText xml:space="preserve"> savedate \@ dd.MM.yy </w:instrText>
    </w:r>
    <w:r>
      <w:fldChar w:fldCharType="separate"/>
    </w:r>
    <w:r w:rsidR="00E35195">
      <w:t>00.00.00</w:t>
    </w:r>
    <w:r>
      <w:fldChar w:fldCharType="end"/>
    </w:r>
    <w:r w:rsidRPr="00DA0469">
      <w:rPr>
        <w:lang w:val="en-US"/>
      </w:rPr>
      <w:tab/>
    </w:r>
    <w:r>
      <w:fldChar w:fldCharType="begin"/>
    </w:r>
    <w:r>
      <w:instrText xml:space="preserve"> printdate \@ dd.MM.yy </w:instrText>
    </w:r>
    <w:r>
      <w:fldChar w:fldCharType="separate"/>
    </w:r>
    <w:r w:rsidR="00E35195">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95" w:rsidRPr="00DA0469" w:rsidRDefault="00E35195" w:rsidP="00E35195">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P:\CHI\ITU-R\CONF-R\CMR15\000\062ADD23ADD01ADD08C.docx</w:t>
    </w:r>
    <w:r>
      <w:fldChar w:fldCharType="end"/>
    </w:r>
    <w:r>
      <w:t xml:space="preserve"> </w:t>
    </w:r>
    <w:r>
      <w:rPr>
        <w:rFonts w:hint="eastAsia"/>
        <w:lang w:eastAsia="zh-CN"/>
      </w:rPr>
      <w:t>(</w:t>
    </w:r>
    <w:r>
      <w:rPr>
        <w:lang w:eastAsia="zh-CN"/>
      </w:rPr>
      <w:t>388531</w:t>
    </w:r>
    <w:r>
      <w:rPr>
        <w:rFonts w:hint="eastAsia"/>
        <w:lang w:eastAsia="zh-CN"/>
      </w:rPr>
      <w:t>)</w:t>
    </w:r>
    <w:r w:rsidRPr="00DA0469">
      <w:rPr>
        <w:lang w:val="en-US"/>
      </w:rPr>
      <w:tab/>
    </w:r>
    <w:r>
      <w:fldChar w:fldCharType="begin"/>
    </w:r>
    <w:r>
      <w:instrText xml:space="preserve"> savedate \@ dd.MM.yy </w:instrText>
    </w:r>
    <w:r>
      <w:fldChar w:fldCharType="separate"/>
    </w:r>
    <w:r>
      <w:t>26.10.15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95" w:rsidRDefault="00E35195">
      <w:r>
        <w:t>____________________</w:t>
      </w:r>
    </w:p>
  </w:footnote>
  <w:footnote w:type="continuationSeparator" w:id="0">
    <w:p w:rsidR="00E35195" w:rsidRDefault="00E3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3918">
      <w:rPr>
        <w:rStyle w:val="PageNumber"/>
        <w:noProof/>
      </w:rPr>
      <w:t>2</w:t>
    </w:r>
    <w:r>
      <w:rPr>
        <w:rStyle w:val="PageNumber"/>
      </w:rPr>
      <w:fldChar w:fldCharType="end"/>
    </w:r>
  </w:p>
  <w:p w:rsidR="00B851D4" w:rsidRDefault="00B851D4" w:rsidP="00162D00">
    <w:pPr>
      <w:pStyle w:val="Header"/>
      <w:rPr>
        <w:lang w:val="en-US"/>
      </w:rPr>
    </w:pPr>
    <w:r>
      <w:rPr>
        <w:rStyle w:val="PageNumber"/>
      </w:rPr>
      <w:t>CMR1</w:t>
    </w:r>
    <w:r w:rsidR="00162D00">
      <w:rPr>
        <w:rStyle w:val="PageNumber"/>
      </w:rPr>
      <w:t>5</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95"/>
    <w:rsid w:val="000264C2"/>
    <w:rsid w:val="00037C90"/>
    <w:rsid w:val="000C09BA"/>
    <w:rsid w:val="000C1F1E"/>
    <w:rsid w:val="000C6AA7"/>
    <w:rsid w:val="00162D00"/>
    <w:rsid w:val="00166859"/>
    <w:rsid w:val="001765EC"/>
    <w:rsid w:val="001853E8"/>
    <w:rsid w:val="001F4EA6"/>
    <w:rsid w:val="00214959"/>
    <w:rsid w:val="002743A8"/>
    <w:rsid w:val="002A4C9C"/>
    <w:rsid w:val="002B509B"/>
    <w:rsid w:val="002E2A59"/>
    <w:rsid w:val="003169D2"/>
    <w:rsid w:val="003B4BEF"/>
    <w:rsid w:val="003C6B45"/>
    <w:rsid w:val="0041282E"/>
    <w:rsid w:val="00437869"/>
    <w:rsid w:val="00454056"/>
    <w:rsid w:val="004C4554"/>
    <w:rsid w:val="004D2DEC"/>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06EB9"/>
    <w:rsid w:val="00736415"/>
    <w:rsid w:val="00770D2A"/>
    <w:rsid w:val="007864F6"/>
    <w:rsid w:val="007F0FC5"/>
    <w:rsid w:val="007F5C36"/>
    <w:rsid w:val="008129A9"/>
    <w:rsid w:val="00824BD6"/>
    <w:rsid w:val="00844734"/>
    <w:rsid w:val="00865DFB"/>
    <w:rsid w:val="008B6852"/>
    <w:rsid w:val="008D1D14"/>
    <w:rsid w:val="008E7C8E"/>
    <w:rsid w:val="00912959"/>
    <w:rsid w:val="00927D60"/>
    <w:rsid w:val="0099525B"/>
    <w:rsid w:val="00A31B14"/>
    <w:rsid w:val="00A323DC"/>
    <w:rsid w:val="00A815BE"/>
    <w:rsid w:val="00AA5DA1"/>
    <w:rsid w:val="00AE369F"/>
    <w:rsid w:val="00B026CB"/>
    <w:rsid w:val="00B851D4"/>
    <w:rsid w:val="00B95072"/>
    <w:rsid w:val="00BB26CD"/>
    <w:rsid w:val="00C07239"/>
    <w:rsid w:val="00C364B1"/>
    <w:rsid w:val="00C47D87"/>
    <w:rsid w:val="00C627F9"/>
    <w:rsid w:val="00C6584D"/>
    <w:rsid w:val="00CC73D7"/>
    <w:rsid w:val="00CF0AD7"/>
    <w:rsid w:val="00CF0BE1"/>
    <w:rsid w:val="00D24DCD"/>
    <w:rsid w:val="00D52A14"/>
    <w:rsid w:val="00DA0469"/>
    <w:rsid w:val="00DD13B7"/>
    <w:rsid w:val="00DF3B0C"/>
    <w:rsid w:val="00DF5034"/>
    <w:rsid w:val="00E22A25"/>
    <w:rsid w:val="00E35195"/>
    <w:rsid w:val="00E560F1"/>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42D61-CB7E-481D-A4F3-A2E55677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19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5</TotalTime>
  <Pages>1</Pages>
  <Words>559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cong</dc:creator>
  <cp:keywords/>
  <cp:lastModifiedBy>Cong, Cong</cp:lastModifiedBy>
  <cp:revision>4</cp:revision>
  <cp:lastPrinted>2006-07-03T06:56:00Z</cp:lastPrinted>
  <dcterms:created xsi:type="dcterms:W3CDTF">2015-10-26T20:11:00Z</dcterms:created>
  <dcterms:modified xsi:type="dcterms:W3CDTF">2015-10-26T20:16:00Z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