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553"/>
        <w:gridCol w:w="3119"/>
      </w:tblGrid>
      <w:tr w:rsidR="00280E04" w:rsidTr="00FE0FD8">
        <w:trPr>
          <w:cantSplit/>
          <w:trHeight w:val="20"/>
        </w:trPr>
        <w:tc>
          <w:tcPr>
            <w:tcW w:w="6553"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119"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FE0FD8">
        <w:trPr>
          <w:cantSplit/>
          <w:trHeight w:val="20"/>
        </w:trPr>
        <w:tc>
          <w:tcPr>
            <w:tcW w:w="6553"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119" w:type="dxa"/>
            <w:tcBorders>
              <w:bottom w:val="single" w:sz="12" w:space="0" w:color="auto"/>
            </w:tcBorders>
          </w:tcPr>
          <w:p w:rsidR="00280E04" w:rsidRPr="00A9645C" w:rsidRDefault="00280E04" w:rsidP="00D44350">
            <w:pPr>
              <w:rPr>
                <w:lang w:bidi="ar-EG"/>
              </w:rPr>
            </w:pPr>
          </w:p>
        </w:tc>
      </w:tr>
      <w:tr w:rsidR="00280E04" w:rsidTr="00FE0FD8">
        <w:trPr>
          <w:cantSplit/>
          <w:trHeight w:val="20"/>
        </w:trPr>
        <w:tc>
          <w:tcPr>
            <w:tcW w:w="6553" w:type="dxa"/>
            <w:tcBorders>
              <w:top w:val="single" w:sz="12" w:space="0" w:color="auto"/>
            </w:tcBorders>
          </w:tcPr>
          <w:p w:rsidR="00280E04" w:rsidRPr="00FE0FD8" w:rsidRDefault="00280E04" w:rsidP="00D44350">
            <w:pPr>
              <w:pStyle w:val="Adress"/>
              <w:framePr w:hSpace="0" w:wrap="auto" w:xAlign="left" w:yAlign="inline"/>
              <w:rPr>
                <w:rtl/>
              </w:rPr>
            </w:pPr>
          </w:p>
        </w:tc>
        <w:tc>
          <w:tcPr>
            <w:tcW w:w="3119" w:type="dxa"/>
            <w:tcBorders>
              <w:top w:val="single" w:sz="12" w:space="0" w:color="auto"/>
            </w:tcBorders>
          </w:tcPr>
          <w:p w:rsidR="00280E04" w:rsidRPr="00FE0FD8" w:rsidRDefault="00280E04" w:rsidP="00D44350">
            <w:pPr>
              <w:pStyle w:val="Adress"/>
              <w:framePr w:hSpace="0" w:wrap="auto" w:xAlign="left" w:yAlign="inline"/>
            </w:pPr>
          </w:p>
        </w:tc>
      </w:tr>
      <w:tr w:rsidR="003E1608" w:rsidTr="00FE0FD8">
        <w:trPr>
          <w:cantSplit/>
        </w:trPr>
        <w:tc>
          <w:tcPr>
            <w:tcW w:w="6553" w:type="dxa"/>
            <w:shd w:val="clear" w:color="auto" w:fill="auto"/>
          </w:tcPr>
          <w:p w:rsidR="003E1608" w:rsidRPr="00FE0FD8"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FE0FD8">
              <w:rPr>
                <w:rFonts w:ascii="Verdana Bold" w:hAnsi="Verdana Bold" w:cs="Traditional Arabic"/>
                <w:bCs/>
                <w:sz w:val="19"/>
                <w:szCs w:val="30"/>
                <w:rtl/>
                <w:lang w:val="en-US" w:bidi="ar-EG"/>
              </w:rPr>
              <w:t>الجلسة العامة</w:t>
            </w:r>
          </w:p>
        </w:tc>
        <w:tc>
          <w:tcPr>
            <w:tcW w:w="3119" w:type="dxa"/>
            <w:shd w:val="clear" w:color="auto" w:fill="auto"/>
            <w:vAlign w:val="center"/>
          </w:tcPr>
          <w:p w:rsidR="003E1608" w:rsidRPr="00FE0FD8" w:rsidRDefault="003E1608" w:rsidP="00FE0FD8">
            <w:pPr>
              <w:pStyle w:val="Adress"/>
              <w:framePr w:hSpace="0" w:wrap="auto" w:xAlign="left" w:yAlign="inline"/>
              <w:rPr>
                <w:rtl/>
              </w:rPr>
            </w:pPr>
            <w:r w:rsidRPr="00FE0FD8">
              <w:rPr>
                <w:rtl/>
              </w:rPr>
              <w:t xml:space="preserve">الإضافة </w:t>
            </w:r>
            <w:r w:rsidRPr="00FE0FD8">
              <w:t>8</w:t>
            </w:r>
            <w:r w:rsidRPr="00FE0FD8">
              <w:br/>
            </w:r>
            <w:r w:rsidRPr="00FE0FD8">
              <w:rPr>
                <w:rtl/>
              </w:rPr>
              <w:t>للوثيقة</w:t>
            </w:r>
            <w:r w:rsidRPr="00FE0FD8">
              <w:t>62(Add.23)(Add.1)-</w:t>
            </w:r>
            <w:r w:rsidR="00FE0FD8" w:rsidRPr="00FE0FD8">
              <w:t>A</w:t>
            </w:r>
            <w:r w:rsidR="00FE0FD8">
              <w:t xml:space="preserve"> </w:t>
            </w:r>
          </w:p>
        </w:tc>
      </w:tr>
      <w:tr w:rsidR="00764079" w:rsidTr="00FE0FD8">
        <w:trPr>
          <w:cantSplit/>
        </w:trPr>
        <w:tc>
          <w:tcPr>
            <w:tcW w:w="6553" w:type="dxa"/>
            <w:shd w:val="clear" w:color="auto" w:fill="auto"/>
          </w:tcPr>
          <w:p w:rsidR="00764079" w:rsidRPr="00FE0FD8" w:rsidRDefault="00764079" w:rsidP="00D44350">
            <w:pPr>
              <w:pStyle w:val="Adress"/>
              <w:framePr w:hSpace="0" w:wrap="auto" w:xAlign="left" w:yAlign="inline"/>
              <w:rPr>
                <w:rtl/>
              </w:rPr>
            </w:pPr>
          </w:p>
        </w:tc>
        <w:tc>
          <w:tcPr>
            <w:tcW w:w="3119" w:type="dxa"/>
            <w:shd w:val="clear" w:color="auto" w:fill="auto"/>
            <w:vAlign w:val="center"/>
          </w:tcPr>
          <w:p w:rsidR="00764079" w:rsidRPr="00FE0FD8" w:rsidRDefault="00764079" w:rsidP="00D44350">
            <w:pPr>
              <w:pStyle w:val="Adress"/>
              <w:framePr w:hSpace="0" w:wrap="auto" w:xAlign="left" w:yAlign="inline"/>
              <w:rPr>
                <w:rtl/>
              </w:rPr>
            </w:pPr>
            <w:r w:rsidRPr="00FE0FD8">
              <w:rPr>
                <w:rFonts w:eastAsia="SimSun"/>
              </w:rPr>
              <w:t>16</w:t>
            </w:r>
            <w:r w:rsidRPr="00FE0FD8">
              <w:rPr>
                <w:rFonts w:eastAsia="SimSun"/>
                <w:rtl/>
              </w:rPr>
              <w:t xml:space="preserve"> أكتوبر </w:t>
            </w:r>
            <w:r w:rsidRPr="00FE0FD8">
              <w:rPr>
                <w:rFonts w:eastAsia="SimSun"/>
              </w:rPr>
              <w:t>2015</w:t>
            </w:r>
          </w:p>
        </w:tc>
      </w:tr>
      <w:tr w:rsidR="00764079" w:rsidTr="00FE0FD8">
        <w:trPr>
          <w:cantSplit/>
        </w:trPr>
        <w:tc>
          <w:tcPr>
            <w:tcW w:w="6553" w:type="dxa"/>
          </w:tcPr>
          <w:p w:rsidR="00764079" w:rsidRPr="00FE0FD8" w:rsidRDefault="00764079" w:rsidP="00D44350">
            <w:pPr>
              <w:pStyle w:val="Adress"/>
              <w:framePr w:hSpace="0" w:wrap="auto" w:xAlign="left" w:yAlign="inline"/>
              <w:rPr>
                <w:rFonts w:eastAsia="SimSun" w:hint="eastAsia"/>
                <w:rtl/>
              </w:rPr>
            </w:pPr>
          </w:p>
        </w:tc>
        <w:tc>
          <w:tcPr>
            <w:tcW w:w="3119" w:type="dxa"/>
            <w:vAlign w:val="center"/>
          </w:tcPr>
          <w:p w:rsidR="00764079" w:rsidRPr="00FE0FD8" w:rsidRDefault="00764079" w:rsidP="00D44350">
            <w:pPr>
              <w:pStyle w:val="Adress"/>
              <w:framePr w:hSpace="0" w:wrap="auto" w:xAlign="left" w:yAlign="inline"/>
              <w:rPr>
                <w:rFonts w:eastAsia="SimSun" w:hint="eastAsia"/>
              </w:rPr>
            </w:pPr>
            <w:r w:rsidRPr="00FE0FD8">
              <w:rPr>
                <w:rFonts w:eastAsia="SimSun"/>
                <w:rtl/>
              </w:rPr>
              <w:t>الأصل: بالصينية</w:t>
            </w:r>
          </w:p>
        </w:tc>
      </w:tr>
      <w:tr w:rsidR="00764079" w:rsidTr="003E1608">
        <w:trPr>
          <w:cantSplit/>
        </w:trPr>
        <w:tc>
          <w:tcPr>
            <w:tcW w:w="9672" w:type="dxa"/>
            <w:gridSpan w:val="2"/>
          </w:tcPr>
          <w:p w:rsidR="00764079" w:rsidRPr="00FE0FD8" w:rsidRDefault="00764079" w:rsidP="00D44350">
            <w:pPr>
              <w:pStyle w:val="Adress"/>
              <w:framePr w:hSpace="0" w:wrap="auto" w:xAlign="left" w:yAlign="inline"/>
              <w:rPr>
                <w:rFonts w:eastAsia="SimSun" w:hint="eastAsia"/>
              </w:rPr>
            </w:pPr>
          </w:p>
        </w:tc>
      </w:tr>
      <w:tr w:rsidR="00FE0FD8" w:rsidTr="00683341">
        <w:trPr>
          <w:cantSplit/>
        </w:trPr>
        <w:tc>
          <w:tcPr>
            <w:tcW w:w="9672" w:type="dxa"/>
            <w:gridSpan w:val="2"/>
            <w:vAlign w:val="center"/>
          </w:tcPr>
          <w:p w:rsidR="00FE0FD8" w:rsidRPr="00046D51" w:rsidRDefault="00FE0FD8" w:rsidP="00FE0FD8">
            <w:pPr>
              <w:pStyle w:val="Source"/>
            </w:pPr>
            <w:r w:rsidRPr="00046D51">
              <w:rPr>
                <w:rtl/>
              </w:rPr>
              <w:t>جمهورية الصين الشعبية</w:t>
            </w:r>
          </w:p>
        </w:tc>
      </w:tr>
      <w:tr w:rsidR="00FE0FD8" w:rsidTr="003E1608">
        <w:trPr>
          <w:cantSplit/>
        </w:trPr>
        <w:tc>
          <w:tcPr>
            <w:tcW w:w="9672" w:type="dxa"/>
            <w:gridSpan w:val="2"/>
          </w:tcPr>
          <w:p w:rsidR="00FE0FD8" w:rsidRPr="00BD6EF3" w:rsidRDefault="00FE0FD8" w:rsidP="00FE0FD8">
            <w:pPr>
              <w:pStyle w:val="Title1"/>
              <w:rPr>
                <w:rtl/>
              </w:rPr>
            </w:pPr>
            <w:r>
              <w:rPr>
                <w:rFonts w:hint="cs"/>
                <w:rtl/>
              </w:rPr>
              <w:t>مقترحات بشأن أعمال المؤتمر</w:t>
            </w:r>
          </w:p>
        </w:tc>
      </w:tr>
      <w:tr w:rsidR="00FE0FD8" w:rsidTr="003E1608">
        <w:trPr>
          <w:cantSplit/>
        </w:trPr>
        <w:tc>
          <w:tcPr>
            <w:tcW w:w="9672" w:type="dxa"/>
            <w:gridSpan w:val="2"/>
          </w:tcPr>
          <w:p w:rsidR="00FE0FD8" w:rsidRPr="002919E1" w:rsidRDefault="00FE0FD8" w:rsidP="004932D2">
            <w:pPr>
              <w:pStyle w:val="Agendaitem"/>
              <w:spacing w:before="240" w:line="192" w:lineRule="auto"/>
            </w:pPr>
            <w:r w:rsidRPr="008204AC">
              <w:rPr>
                <w:rtl/>
              </w:rPr>
              <w:t xml:space="preserve">البنـد </w:t>
            </w:r>
            <w:r w:rsidR="004932D2">
              <w:rPr>
                <w:lang w:val="en-US"/>
              </w:rPr>
              <w:t>(8.1.9)1.9</w:t>
            </w:r>
            <w:r w:rsidRPr="008204AC">
              <w:rPr>
                <w:rtl/>
              </w:rPr>
              <w:t xml:space="preserve"> من جدول الأعمال</w:t>
            </w:r>
          </w:p>
        </w:tc>
      </w:tr>
    </w:tbl>
    <w:p w:rsidR="00534840" w:rsidRPr="00431196" w:rsidRDefault="007B2851" w:rsidP="007E34BB">
      <w:pPr>
        <w:pStyle w:val="Normalaftertitle"/>
        <w:rPr>
          <w:rFonts w:eastAsia="SimSun"/>
          <w:rtl/>
        </w:rPr>
      </w:pPr>
      <w:r w:rsidRPr="00431196">
        <w:rPr>
          <w:rFonts w:eastAsia="SimSun"/>
        </w:rPr>
        <w:t>9</w:t>
      </w:r>
      <w:r w:rsidRPr="00431196">
        <w:rPr>
          <w:rFonts w:eastAsia="SimSun" w:hint="cs"/>
          <w:rtl/>
        </w:rPr>
        <w:tab/>
        <w:t xml:space="preserve">النظر في تقرير مدير مكتب الاتصالات الراديوية وإقراره، وفقاً للمادة </w:t>
      </w:r>
      <w:r w:rsidRPr="00431196">
        <w:rPr>
          <w:rFonts w:eastAsia="SimSun"/>
        </w:rPr>
        <w:t>7</w:t>
      </w:r>
      <w:r w:rsidRPr="00431196">
        <w:rPr>
          <w:rFonts w:eastAsia="SimSun" w:hint="cs"/>
          <w:rtl/>
        </w:rPr>
        <w:t xml:space="preserve"> من الاتفاقية:</w:t>
      </w:r>
    </w:p>
    <w:p w:rsidR="00BE4A66" w:rsidRPr="00431196" w:rsidRDefault="007B2851" w:rsidP="00431196">
      <w:pPr>
        <w:rPr>
          <w:rFonts w:eastAsia="SimSun"/>
          <w:rtl/>
        </w:rPr>
      </w:pPr>
      <w:r w:rsidRPr="00431196">
        <w:rPr>
          <w:rFonts w:eastAsia="SimSun"/>
        </w:rPr>
        <w:t>1.9</w:t>
      </w:r>
      <w:r w:rsidRPr="00431196">
        <w:rPr>
          <w:rFonts w:eastAsia="SimSun" w:hint="cs"/>
          <w:rtl/>
        </w:rPr>
        <w:tab/>
        <w:t xml:space="preserve">بشأن أنشطة قطاع الاتصالات الراديوية منذ المؤتمر العالمي للاتصالات الراديوية لعام </w:t>
      </w:r>
      <w:r w:rsidRPr="00431196">
        <w:rPr>
          <w:rFonts w:eastAsia="SimSun"/>
        </w:rPr>
        <w:t>2012</w:t>
      </w:r>
      <w:r w:rsidRPr="00431196">
        <w:rPr>
          <w:rFonts w:eastAsia="SimSun" w:hint="cs"/>
          <w:rtl/>
        </w:rPr>
        <w:t>؛</w:t>
      </w:r>
    </w:p>
    <w:p w:rsidR="00534840" w:rsidRPr="00431196" w:rsidRDefault="007B2851" w:rsidP="00C2775E">
      <w:pPr>
        <w:rPr>
          <w:rFonts w:eastAsia="SimSun"/>
        </w:rPr>
      </w:pPr>
      <w:r w:rsidRPr="00431196">
        <w:rPr>
          <w:rFonts w:eastAsia="SimSun"/>
          <w:lang w:bidi="ar-SY"/>
        </w:rPr>
        <w:t xml:space="preserve"> (</w:t>
      </w:r>
      <w:r w:rsidRPr="00431196">
        <w:rPr>
          <w:rFonts w:eastAsia="SimSun"/>
        </w:rPr>
        <w:t>8.1.9</w:t>
      </w:r>
      <w:r w:rsidRPr="00431196">
        <w:rPr>
          <w:rFonts w:eastAsia="SimSun"/>
          <w:lang w:bidi="ar-SY"/>
        </w:rPr>
        <w:t>)1.9</w:t>
      </w:r>
      <w:r w:rsidRPr="00431196">
        <w:rPr>
          <w:rFonts w:eastAsia="SimSun"/>
          <w:rtl/>
        </w:rPr>
        <w:tab/>
      </w:r>
      <w:r w:rsidRPr="00431196">
        <w:rPr>
          <w:rFonts w:eastAsia="SimSun" w:hint="cs"/>
          <w:rtl/>
        </w:rPr>
        <w:t>القـرار</w:t>
      </w:r>
      <w:r w:rsidRPr="00431196">
        <w:rPr>
          <w:rFonts w:eastAsia="SimSun"/>
          <w:rtl/>
        </w:rPr>
        <w:t xml:space="preserve"> </w:t>
      </w:r>
      <w:r w:rsidRPr="00431196">
        <w:rPr>
          <w:rFonts w:eastAsia="SimSun"/>
          <w:b/>
          <w:bCs/>
        </w:rPr>
        <w:t>757 (WRC</w:t>
      </w:r>
      <w:r w:rsidRPr="00431196">
        <w:rPr>
          <w:rFonts w:eastAsia="SimSun"/>
          <w:b/>
          <w:bCs/>
        </w:rPr>
        <w:noBreakHyphen/>
        <w:t>12)</w:t>
      </w:r>
      <w:r w:rsidRPr="00431196">
        <w:rPr>
          <w:rFonts w:eastAsia="SimSun" w:hint="cs"/>
          <w:rtl/>
        </w:rPr>
        <w:t xml:space="preserve"> - الجوانب</w:t>
      </w:r>
      <w:r w:rsidRPr="00431196">
        <w:rPr>
          <w:rFonts w:eastAsia="SimSun"/>
          <w:rtl/>
        </w:rPr>
        <w:t xml:space="preserve"> </w:t>
      </w:r>
      <w:r w:rsidRPr="00431196">
        <w:rPr>
          <w:rFonts w:eastAsia="SimSun" w:hint="cs"/>
          <w:rtl/>
        </w:rPr>
        <w:t>التنظيمية</w:t>
      </w:r>
      <w:r w:rsidRPr="00431196">
        <w:rPr>
          <w:rFonts w:eastAsia="SimSun"/>
          <w:rtl/>
        </w:rPr>
        <w:t xml:space="preserve"> </w:t>
      </w:r>
      <w:r w:rsidRPr="00431196">
        <w:rPr>
          <w:rFonts w:eastAsia="SimSun" w:hint="cs"/>
          <w:rtl/>
        </w:rPr>
        <w:t>للسواتل</w:t>
      </w:r>
      <w:r w:rsidRPr="00431196">
        <w:rPr>
          <w:rFonts w:eastAsia="SimSun"/>
          <w:rtl/>
        </w:rPr>
        <w:t xml:space="preserve"> </w:t>
      </w:r>
      <w:r w:rsidRPr="00431196">
        <w:rPr>
          <w:rFonts w:eastAsia="SimSun" w:hint="cs"/>
          <w:rtl/>
        </w:rPr>
        <w:t>الصغيرة</w:t>
      </w:r>
      <w:r w:rsidRPr="00431196">
        <w:rPr>
          <w:rFonts w:eastAsia="SimSun"/>
          <w:rtl/>
        </w:rPr>
        <w:t xml:space="preserve"> </w:t>
      </w:r>
      <w:r w:rsidRPr="00431196">
        <w:rPr>
          <w:rFonts w:eastAsia="SimSun" w:hint="cs"/>
          <w:rtl/>
        </w:rPr>
        <w:t>والمتناهية</w:t>
      </w:r>
      <w:r w:rsidRPr="00431196">
        <w:rPr>
          <w:rFonts w:eastAsia="SimSun"/>
          <w:rtl/>
        </w:rPr>
        <w:t xml:space="preserve"> </w:t>
      </w:r>
      <w:r w:rsidRPr="00431196">
        <w:rPr>
          <w:rFonts w:eastAsia="SimSun" w:hint="cs"/>
          <w:rtl/>
        </w:rPr>
        <w:t>الصغر</w:t>
      </w:r>
    </w:p>
    <w:p w:rsidR="00F16602" w:rsidRDefault="0009427B" w:rsidP="007E34BB">
      <w:pPr>
        <w:pStyle w:val="Headingb"/>
        <w:rPr>
          <w:rtl/>
        </w:rPr>
      </w:pPr>
      <w:r>
        <w:rPr>
          <w:rFonts w:hint="cs"/>
          <w:rtl/>
        </w:rPr>
        <w:t>معلومات أساسية</w:t>
      </w:r>
    </w:p>
    <w:p w:rsidR="00370D8E" w:rsidRPr="00457A52" w:rsidRDefault="00370D8E" w:rsidP="0009427B">
      <w:pPr>
        <w:rPr>
          <w:rtl/>
        </w:rPr>
      </w:pPr>
      <w:r w:rsidRPr="00457A52">
        <w:rPr>
          <w:rFonts w:hint="cs"/>
          <w:rtl/>
        </w:rPr>
        <w:t xml:space="preserve">اعتمد المؤتمر العالمي للاتصالات الراديوية لعام </w:t>
      </w:r>
      <w:r w:rsidRPr="00457A52">
        <w:rPr>
          <w:lang w:bidi="ar-SY"/>
        </w:rPr>
        <w:t>2012</w:t>
      </w:r>
      <w:r w:rsidRPr="00457A52">
        <w:rPr>
          <w:rFonts w:hint="cs"/>
          <w:rtl/>
        </w:rPr>
        <w:t xml:space="preserve"> القرار </w:t>
      </w:r>
      <w:r w:rsidRPr="0095413A">
        <w:rPr>
          <w:lang w:bidi="ar-SY"/>
        </w:rPr>
        <w:t>757 (WRC-12)</w:t>
      </w:r>
      <w:r w:rsidRPr="00457A52">
        <w:rPr>
          <w:rFonts w:hint="cs"/>
          <w:rtl/>
        </w:rPr>
        <w:t xml:space="preserve"> الذي</w:t>
      </w:r>
      <w:r w:rsidRPr="00457A52">
        <w:rPr>
          <w:rFonts w:hint="cs"/>
          <w:i/>
          <w:iCs/>
          <w:rtl/>
        </w:rPr>
        <w:t xml:space="preserve"> </w:t>
      </w:r>
      <w:r w:rsidRPr="0095413A">
        <w:rPr>
          <w:rFonts w:hint="cs"/>
          <w:rtl/>
        </w:rPr>
        <w:t>قرر فيه</w:t>
      </w:r>
      <w:r w:rsidRPr="00457A52">
        <w:rPr>
          <w:rFonts w:hint="cs"/>
          <w:i/>
          <w:iCs/>
          <w:rtl/>
        </w:rPr>
        <w:t xml:space="preserve"> </w:t>
      </w:r>
      <w:r w:rsidRPr="00457A52">
        <w:rPr>
          <w:rFonts w:hint="cs"/>
          <w:rtl/>
        </w:rPr>
        <w:t xml:space="preserve">أن يدعو المؤتمر العالمي للاتصالات الراديوية لعام </w:t>
      </w:r>
      <w:r w:rsidR="009D1D24">
        <w:rPr>
          <w:lang w:bidi="ar-SY"/>
        </w:rPr>
        <w:t>2019</w:t>
      </w:r>
      <w:r w:rsidRPr="00457A52">
        <w:rPr>
          <w:rFonts w:hint="cs"/>
          <w:rtl/>
        </w:rPr>
        <w:t xml:space="preserve"> إلى النظر في</w:t>
      </w:r>
      <w:r w:rsidR="001844E8">
        <w:rPr>
          <w:rFonts w:hint="cs"/>
          <w:rtl/>
          <w:lang w:bidi="ar-EG"/>
        </w:rPr>
        <w:t>ما</w:t>
      </w:r>
      <w:r w:rsidR="001844E8">
        <w:rPr>
          <w:rFonts w:hint="cs"/>
          <w:rtl/>
        </w:rPr>
        <w:t xml:space="preserve"> إذا </w:t>
      </w:r>
      <w:r w:rsidRPr="00457A52">
        <w:rPr>
          <w:rFonts w:hint="cs"/>
          <w:rtl/>
        </w:rPr>
        <w:t xml:space="preserve">كان ثمة حاجة لإجراء تعديلات </w:t>
      </w:r>
      <w:r w:rsidR="0009427B">
        <w:rPr>
          <w:rFonts w:hint="cs"/>
          <w:rtl/>
        </w:rPr>
        <w:t>على</w:t>
      </w:r>
      <w:r w:rsidRPr="00457A52">
        <w:rPr>
          <w:rFonts w:hint="cs"/>
          <w:rtl/>
        </w:rPr>
        <w:t> الإجراءات التنظيمية المستخدمة للتبليغ عن الش</w:t>
      </w:r>
      <w:r w:rsidR="0009427B">
        <w:rPr>
          <w:rFonts w:hint="cs"/>
          <w:rtl/>
        </w:rPr>
        <w:t>بكات الساتلية لتيسير نشر</w:t>
      </w:r>
      <w:r w:rsidRPr="00457A52">
        <w:rPr>
          <w:rFonts w:hint="cs"/>
          <w:rtl/>
        </w:rPr>
        <w:t xml:space="preserve"> السواتل الصغيرة والمتناهية الصغر وتشغيل</w:t>
      </w:r>
      <w:r w:rsidR="009D1D24">
        <w:rPr>
          <w:rFonts w:hint="cs"/>
          <w:rtl/>
        </w:rPr>
        <w:t>ها،</w:t>
      </w:r>
      <w:r w:rsidRPr="00457A52">
        <w:rPr>
          <w:rFonts w:hint="cs"/>
          <w:rtl/>
        </w:rPr>
        <w:t xml:space="preserve"> مع مراعاة قصر المدة المستغرقة في تصنيعها وقصر المدة المستغرقة في إنجاز مهامها وخصائصها المدارية</w:t>
      </w:r>
      <w:r w:rsidRPr="00457A52">
        <w:rPr>
          <w:rFonts w:hint="eastAsia"/>
          <w:rtl/>
        </w:rPr>
        <w:t> </w:t>
      </w:r>
      <w:r w:rsidRPr="00457A52">
        <w:rPr>
          <w:rFonts w:hint="cs"/>
          <w:rtl/>
        </w:rPr>
        <w:t>الفريدة.</w:t>
      </w:r>
    </w:p>
    <w:p w:rsidR="003873DE" w:rsidRDefault="0009427B" w:rsidP="003A377D">
      <w:pPr>
        <w:rPr>
          <w:rtl/>
          <w:lang w:bidi="ar-EG"/>
        </w:rPr>
      </w:pPr>
      <w:r>
        <w:rPr>
          <w:rFonts w:hint="cs"/>
          <w:rtl/>
          <w:lang w:bidi="ar-EG"/>
        </w:rPr>
        <w:t>و</w:t>
      </w:r>
      <w:r w:rsidR="00465402">
        <w:rPr>
          <w:rFonts w:hint="cs"/>
          <w:rtl/>
          <w:lang w:bidi="ar-EG"/>
        </w:rPr>
        <w:t xml:space="preserve">السواتل الصغيرة والمتناهية الصغر التي توصف عموماً بأن كتلتها تتراوح من </w:t>
      </w:r>
      <w:r w:rsidR="00465402">
        <w:rPr>
          <w:lang w:bidi="ar-EG"/>
        </w:rPr>
        <w:t>0,1</w:t>
      </w:r>
      <w:r w:rsidR="00465402">
        <w:rPr>
          <w:rFonts w:hint="cs"/>
          <w:rtl/>
          <w:lang w:bidi="ar-EG"/>
        </w:rPr>
        <w:t xml:space="preserve"> إلى </w:t>
      </w:r>
      <w:r w:rsidR="00465402">
        <w:rPr>
          <w:lang w:bidi="ar-EG"/>
        </w:rPr>
        <w:t>kg 10</w:t>
      </w:r>
      <w:r w:rsidR="00465402">
        <w:rPr>
          <w:rFonts w:hint="cs"/>
          <w:rtl/>
          <w:lang w:bidi="ar-EG"/>
        </w:rPr>
        <w:t xml:space="preserve"> ويبلغ أي</w:t>
      </w:r>
      <w:r w:rsidR="001844E8">
        <w:rPr>
          <w:rFonts w:hint="cs"/>
          <w:rtl/>
          <w:lang w:bidi="ar-EG"/>
        </w:rPr>
        <w:t>ّ</w:t>
      </w:r>
      <w:r w:rsidR="00465402">
        <w:rPr>
          <w:rFonts w:hint="cs"/>
          <w:rtl/>
          <w:lang w:bidi="ar-EG"/>
        </w:rPr>
        <w:t xml:space="preserve"> بعد من أبعادها الخطية أقل من </w:t>
      </w:r>
      <w:r w:rsidR="00465402">
        <w:rPr>
          <w:lang w:bidi="ar-EG"/>
        </w:rPr>
        <w:t>m 0,5</w:t>
      </w:r>
      <w:r w:rsidR="00465402">
        <w:rPr>
          <w:rFonts w:hint="cs"/>
          <w:rtl/>
          <w:lang w:bidi="ar-EG"/>
        </w:rPr>
        <w:t>، تت</w:t>
      </w:r>
      <w:r w:rsidR="001844E8">
        <w:rPr>
          <w:rFonts w:hint="cs"/>
          <w:rtl/>
          <w:lang w:bidi="ar-EG"/>
        </w:rPr>
        <w:t>ّ</w:t>
      </w:r>
      <w:r w:rsidR="00465402">
        <w:rPr>
          <w:rFonts w:hint="cs"/>
          <w:rtl/>
          <w:lang w:bidi="ar-EG"/>
        </w:rPr>
        <w:t>سم بخصائص فيزيائية تختلف عن خصائص السو</w:t>
      </w:r>
      <w:r>
        <w:rPr>
          <w:rFonts w:hint="cs"/>
          <w:rtl/>
          <w:lang w:bidi="ar-EG"/>
        </w:rPr>
        <w:t>اتل الأكبر. و</w:t>
      </w:r>
      <w:r w:rsidR="00465402">
        <w:rPr>
          <w:rFonts w:hint="cs"/>
          <w:rtl/>
          <w:lang w:bidi="ar-EG"/>
        </w:rPr>
        <w:t>هذه السواتل يستغرق تصنيعها عادةً مدة قصيرة (من</w:t>
      </w:r>
      <w:r>
        <w:rPr>
          <w:rFonts w:hint="eastAsia"/>
          <w:rtl/>
          <w:lang w:bidi="ar-EG"/>
        </w:rPr>
        <w:t> </w:t>
      </w:r>
      <w:r w:rsidR="00465402">
        <w:rPr>
          <w:rFonts w:hint="cs"/>
          <w:rtl/>
          <w:lang w:bidi="ar-EG"/>
        </w:rPr>
        <w:t>سنة واحدة إلى سنتين) وتكلفتها منخفضة</w:t>
      </w:r>
      <w:r>
        <w:rPr>
          <w:rFonts w:hint="cs"/>
          <w:rtl/>
          <w:lang w:bidi="ar-EG"/>
        </w:rPr>
        <w:t xml:space="preserve"> وتُصنع غالباً من مكونات جاهزة. و</w:t>
      </w:r>
      <w:r w:rsidR="00465402">
        <w:rPr>
          <w:rFonts w:hint="cs"/>
          <w:rtl/>
          <w:lang w:bidi="ar-EG"/>
        </w:rPr>
        <w:t>السواتل الصغيرة والمتناهية الصغر تستعمل في</w:t>
      </w:r>
      <w:r w:rsidR="001844E8">
        <w:rPr>
          <w:rFonts w:hint="eastAsia"/>
          <w:rtl/>
          <w:lang w:bidi="ar-EG"/>
        </w:rPr>
        <w:t> </w:t>
      </w:r>
      <w:r w:rsidR="00465402">
        <w:rPr>
          <w:rFonts w:hint="cs"/>
          <w:rtl/>
          <w:lang w:bidi="ar-EG"/>
        </w:rPr>
        <w:t>مجموعة متنوعة من المهام والتطبيقات، بما في ذلك الاستشعار عن ب</w:t>
      </w:r>
      <w:r w:rsidR="001844E8">
        <w:rPr>
          <w:rFonts w:hint="cs"/>
          <w:rtl/>
          <w:lang w:bidi="ar-EG"/>
        </w:rPr>
        <w:t>ُ</w:t>
      </w:r>
      <w:r w:rsidR="00465402">
        <w:rPr>
          <w:rFonts w:hint="cs"/>
          <w:rtl/>
          <w:lang w:bidi="ar-EG"/>
        </w:rPr>
        <w:t>عد وأبحاث الطقس الفضائية وأبحاث الغلاف الجوي العلوي وعلم الفلك والاتصا</w:t>
      </w:r>
      <w:r w:rsidR="003A377D">
        <w:rPr>
          <w:rFonts w:hint="cs"/>
          <w:rtl/>
          <w:lang w:bidi="ar-EG"/>
        </w:rPr>
        <w:t>لات وتجارب التكنولوجيا الجديدة وهواة الراديو والتعليم</w:t>
      </w:r>
      <w:r w:rsidR="00465402">
        <w:rPr>
          <w:rFonts w:hint="cs"/>
          <w:rtl/>
          <w:lang w:bidi="ar-EG"/>
        </w:rPr>
        <w:t xml:space="preserve"> فضلاً عن التطبيقات التجارية وبالتالي يمكن تشغيلها في إط</w:t>
      </w:r>
      <w:r w:rsidR="001844E8">
        <w:rPr>
          <w:rFonts w:hint="cs"/>
          <w:rtl/>
          <w:lang w:bidi="ar-EG"/>
        </w:rPr>
        <w:t>ار خدمات اتصالات راديوية مختلفة.</w:t>
      </w:r>
    </w:p>
    <w:p w:rsidR="001844E8" w:rsidRDefault="001844E8" w:rsidP="00F77784">
      <w:pPr>
        <w:pStyle w:val="Headingb"/>
        <w:keepLines/>
        <w:rPr>
          <w:rtl/>
        </w:rPr>
      </w:pPr>
      <w:r>
        <w:rPr>
          <w:rFonts w:hint="cs"/>
          <w:rtl/>
        </w:rPr>
        <w:lastRenderedPageBreak/>
        <w:t>المناقشة والمقترح</w:t>
      </w:r>
    </w:p>
    <w:p w:rsidR="001844E8" w:rsidRDefault="001844E8" w:rsidP="00F77784">
      <w:pPr>
        <w:keepNext/>
        <w:keepLines/>
        <w:rPr>
          <w:rtl/>
          <w:lang w:bidi="ar-EG"/>
        </w:rPr>
      </w:pPr>
      <w:r>
        <w:rPr>
          <w:rFonts w:hint="cs"/>
          <w:rtl/>
          <w:lang w:bidi="ar-EG"/>
        </w:rPr>
        <w:t xml:space="preserve">لمس البند </w:t>
      </w:r>
      <w:r>
        <w:rPr>
          <w:lang w:bidi="ar-EG"/>
        </w:rPr>
        <w:t>8.1.9</w:t>
      </w:r>
      <w:r>
        <w:rPr>
          <w:rFonts w:hint="cs"/>
          <w:rtl/>
          <w:lang w:bidi="ar-EG"/>
        </w:rPr>
        <w:t xml:space="preserve"> من جدول أعمال المؤتمر </w:t>
      </w:r>
      <w:r>
        <w:rPr>
          <w:lang w:bidi="ar-EG"/>
        </w:rPr>
        <w:t>WRC-15</w:t>
      </w:r>
      <w:r>
        <w:rPr>
          <w:rFonts w:hint="cs"/>
          <w:rtl/>
          <w:lang w:bidi="ar-EG"/>
        </w:rPr>
        <w:t xml:space="preserve"> بالفعل تطوّر تحليل وتقييم الممارسات الحالية لمعالجة بطاقات التبليغ عن السواتل الصغيرة والمتناهية </w:t>
      </w:r>
      <w:r w:rsidR="0095413A">
        <w:rPr>
          <w:rFonts w:hint="cs"/>
          <w:rtl/>
          <w:lang w:bidi="ar-EG"/>
        </w:rPr>
        <w:t>الصغر</w:t>
      </w:r>
      <w:r>
        <w:rPr>
          <w:rFonts w:hint="cs"/>
          <w:rtl/>
          <w:lang w:bidi="ar-EG"/>
        </w:rPr>
        <w:t>. ونتيجة لذلك، صدر مشروعان لتقريرين جديدين. ويمكن للدراسة ونتائجها ذات الصلة أن تعمل كأساس نظري وعملي جيد للمرحلة المقبلة من العمل. وبالنظر إلى أن الدراسة لم تُسفر عن أيِّ تعديل على الإجراءات التنظيمية للإبلاغ عن الشبكات الساتلية بالنسبة لرحلات السواتل الصغيرة والمتناهية الصغر، بيد أن مشغلي أنظمة السواتل الصغيرة والمتناهية الصغر لا</w:t>
      </w:r>
      <w:r w:rsidR="001837D8">
        <w:rPr>
          <w:rFonts w:hint="cs"/>
          <w:rtl/>
          <w:lang w:bidi="ar-EG"/>
        </w:rPr>
        <w:t> يزالون في حاجة إ</w:t>
      </w:r>
      <w:r>
        <w:rPr>
          <w:rFonts w:hint="cs"/>
          <w:rtl/>
          <w:lang w:bidi="ar-EG"/>
        </w:rPr>
        <w:t>لى تعديل كهذا، ومن ثم تقتر</w:t>
      </w:r>
      <w:r w:rsidR="001837D8">
        <w:rPr>
          <w:rFonts w:hint="cs"/>
          <w:rtl/>
          <w:lang w:bidi="ar-EG"/>
        </w:rPr>
        <w:t>ح</w:t>
      </w:r>
      <w:r>
        <w:rPr>
          <w:rFonts w:hint="cs"/>
          <w:rtl/>
          <w:lang w:bidi="ar-EG"/>
        </w:rPr>
        <w:t xml:space="preserve"> إدارة الصين إضافة بند إلى جدول أعمال المؤتمر</w:t>
      </w:r>
      <w:r w:rsidR="00F77784">
        <w:rPr>
          <w:rFonts w:hint="eastAsia"/>
          <w:rtl/>
          <w:lang w:bidi="ar-EG"/>
        </w:rPr>
        <w:t> </w:t>
      </w:r>
      <w:r>
        <w:rPr>
          <w:lang w:bidi="ar-EG"/>
        </w:rPr>
        <w:t>WRC-19</w:t>
      </w:r>
      <w:r>
        <w:rPr>
          <w:rFonts w:hint="cs"/>
          <w:rtl/>
          <w:lang w:bidi="ar-EG"/>
        </w:rPr>
        <w:t xml:space="preserve"> بشأن الجوانب التنظيمية للسواتل الصغيرة والمتناهية الصغر. ويمكن للدراسات المقابلة أن تمثل بنداً جديداً على جدول أعمال المؤتمر </w:t>
      </w:r>
      <w:r>
        <w:rPr>
          <w:lang w:bidi="ar-EG"/>
        </w:rPr>
        <w:t>WRC-19</w:t>
      </w:r>
      <w:r>
        <w:rPr>
          <w:rFonts w:hint="cs"/>
          <w:rtl/>
          <w:lang w:bidi="ar-EG"/>
        </w:rPr>
        <w:t xml:space="preserve"> أو</w:t>
      </w:r>
      <w:r>
        <w:rPr>
          <w:rFonts w:hint="eastAsia"/>
          <w:rtl/>
          <w:lang w:bidi="ar-EG"/>
        </w:rPr>
        <w:t> </w:t>
      </w:r>
      <w:r>
        <w:rPr>
          <w:rFonts w:hint="cs"/>
          <w:rtl/>
          <w:lang w:bidi="ar-EG"/>
        </w:rPr>
        <w:t>تدرج ضمن البنود القائمة.</w:t>
      </w:r>
    </w:p>
    <w:p w:rsidR="00903C41" w:rsidRDefault="00903C41" w:rsidP="00903C41">
      <w:pPr>
        <w:spacing w:before="600"/>
        <w:jc w:val="center"/>
      </w:pPr>
      <w:r>
        <w:rPr>
          <w:rtl/>
        </w:rPr>
        <w:t>___________</w:t>
      </w:r>
    </w:p>
    <w:sectPr w:rsidR="00903C41" w:rsidSect="004D4AE6">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84" w:rsidRDefault="00F777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GoBack"/>
  <w:p w:rsidR="00281F5F" w:rsidRPr="004962DA" w:rsidRDefault="00281F5F" w:rsidP="00F77784">
    <w:pPr>
      <w:pStyle w:val="Footer"/>
      <w:tabs>
        <w:tab w:val="clear" w:pos="5812"/>
        <w:tab w:val="left" w:pos="6237"/>
      </w:tabs>
    </w:pPr>
    <w:r w:rsidRPr="00CB4300">
      <w:fldChar w:fldCharType="begin"/>
    </w:r>
    <w:r w:rsidRPr="004962DA">
      <w:instrText xml:space="preserve"> FILENAME \p \* MERGEFORMAT </w:instrText>
    </w:r>
    <w:r w:rsidRPr="00CB4300">
      <w:fldChar w:fldCharType="separate"/>
    </w:r>
    <w:r w:rsidR="004962DA" w:rsidRPr="004962DA">
      <w:rPr>
        <w:noProof/>
      </w:rPr>
      <w:t>P:\TRAD\A\ITU-R\CONF-R\CMR15\000\062ADD23ADD01ADD08A.docx</w:t>
    </w:r>
    <w:r w:rsidRPr="00CB4300">
      <w:fldChar w:fldCharType="end"/>
    </w:r>
    <w:r w:rsidRPr="004962DA">
      <w:t xml:space="preserve">  (</w:t>
    </w:r>
    <w:r w:rsidR="004962DA" w:rsidRPr="004962DA">
      <w:t>388531</w:t>
    </w:r>
    <w:r w:rsidRPr="004962DA">
      <w:t>)</w:t>
    </w:r>
    <w:r w:rsidRPr="004962DA">
      <w:tab/>
    </w:r>
    <w:r w:rsidRPr="00CB4300">
      <w:fldChar w:fldCharType="begin"/>
    </w:r>
    <w:r w:rsidRPr="00CB4300">
      <w:instrText xml:space="preserve"> savedate \@ dd.MM.yy </w:instrText>
    </w:r>
    <w:r w:rsidRPr="00CB4300">
      <w:fldChar w:fldCharType="separate"/>
    </w:r>
    <w:r w:rsidR="0095413A">
      <w:rPr>
        <w:noProof/>
      </w:rPr>
      <w:t>01.11.15</w:t>
    </w:r>
    <w:r w:rsidRPr="00CB4300">
      <w:fldChar w:fldCharType="end"/>
    </w:r>
    <w:r w:rsidRPr="004962DA">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4962DA" w:rsidRDefault="00281F5F" w:rsidP="004962DA">
    <w:pPr>
      <w:pStyle w:val="Footer"/>
    </w:pPr>
    <w:r>
      <w:fldChar w:fldCharType="begin"/>
    </w:r>
    <w:r w:rsidRPr="004962DA">
      <w:instrText xml:space="preserve"> FILENAME \p \* MERGEFORMAT </w:instrText>
    </w:r>
    <w:r>
      <w:fldChar w:fldCharType="separate"/>
    </w:r>
    <w:r w:rsidR="001837D8">
      <w:rPr>
        <w:noProof/>
      </w:rPr>
      <w:t>P:\ARA\ITU-R\CONF-R\CMR15\000\062ADD23ADD01ADD08A.docx</w:t>
    </w:r>
    <w:r>
      <w:fldChar w:fldCharType="end"/>
    </w:r>
    <w:r w:rsidRPr="004962DA">
      <w:t xml:space="preserve">   (</w:t>
    </w:r>
    <w:r w:rsidR="004962DA" w:rsidRPr="004962DA">
      <w:t>388531</w:t>
    </w:r>
    <w:r w:rsidRPr="004962DA">
      <w:t>)</w:t>
    </w:r>
    <w:r w:rsidRPr="004962DA">
      <w:tab/>
    </w:r>
    <w:r w:rsidRPr="00B12661">
      <w:fldChar w:fldCharType="begin"/>
    </w:r>
    <w:r w:rsidRPr="00B12661">
      <w:instrText xml:space="preserve"> savedate \@ dd.MM.yy </w:instrText>
    </w:r>
    <w:r w:rsidRPr="00B12661">
      <w:fldChar w:fldCharType="separate"/>
    </w:r>
    <w:r w:rsidR="0095413A">
      <w:rPr>
        <w:noProof/>
      </w:rPr>
      <w:t>01.11.15</w:t>
    </w:r>
    <w:r w:rsidRPr="00B12661">
      <w:fldChar w:fldCharType="end"/>
    </w:r>
    <w:r w:rsidRPr="004962DA">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77784">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62(Add.23)(Add.1)(Add.8)-</w:t>
    </w:r>
    <w:r w:rsidR="00613492"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784" w:rsidRDefault="00F777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9427B"/>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837D8"/>
    <w:rsid w:val="001844E8"/>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70D8E"/>
    <w:rsid w:val="003815E2"/>
    <w:rsid w:val="00381FAD"/>
    <w:rsid w:val="00382A66"/>
    <w:rsid w:val="003873DE"/>
    <w:rsid w:val="003923B1"/>
    <w:rsid w:val="003965FE"/>
    <w:rsid w:val="003A377D"/>
    <w:rsid w:val="003A6AB4"/>
    <w:rsid w:val="003B27AD"/>
    <w:rsid w:val="003B4F23"/>
    <w:rsid w:val="003C12F6"/>
    <w:rsid w:val="003C3A13"/>
    <w:rsid w:val="003E02EF"/>
    <w:rsid w:val="003E1608"/>
    <w:rsid w:val="003E1D90"/>
    <w:rsid w:val="00400CD4"/>
    <w:rsid w:val="004147B9"/>
    <w:rsid w:val="00422C04"/>
    <w:rsid w:val="00426144"/>
    <w:rsid w:val="00461FA7"/>
    <w:rsid w:val="00465402"/>
    <w:rsid w:val="00470CBD"/>
    <w:rsid w:val="0047407D"/>
    <w:rsid w:val="004909DD"/>
    <w:rsid w:val="004932D2"/>
    <w:rsid w:val="004962DA"/>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B2851"/>
    <w:rsid w:val="007C2C12"/>
    <w:rsid w:val="007C3CFA"/>
    <w:rsid w:val="007E0E8B"/>
    <w:rsid w:val="007E34BB"/>
    <w:rsid w:val="007F08CA"/>
    <w:rsid w:val="007F7FC3"/>
    <w:rsid w:val="00810482"/>
    <w:rsid w:val="00817568"/>
    <w:rsid w:val="008204AC"/>
    <w:rsid w:val="0082595E"/>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3C41"/>
    <w:rsid w:val="00904AA5"/>
    <w:rsid w:val="00905D21"/>
    <w:rsid w:val="00951718"/>
    <w:rsid w:val="0095413A"/>
    <w:rsid w:val="00954CCB"/>
    <w:rsid w:val="00960962"/>
    <w:rsid w:val="00972CE0"/>
    <w:rsid w:val="009A3D30"/>
    <w:rsid w:val="009B0BD8"/>
    <w:rsid w:val="009D1D24"/>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42828"/>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77784"/>
    <w:rsid w:val="00F8654D"/>
    <w:rsid w:val="00F900C9"/>
    <w:rsid w:val="00F92C96"/>
    <w:rsid w:val="00FA0D4E"/>
    <w:rsid w:val="00FB0753"/>
    <w:rsid w:val="00FB5CC8"/>
    <w:rsid w:val="00FC2CD0"/>
    <w:rsid w:val="00FD0594"/>
    <w:rsid w:val="00FE0FD8"/>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8BC7315-34F7-4D85-AABD-B5C99064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R15-WRC15-C-0062!A23-A1-A8!MSW-A</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C0AF8333-EB7C-4164-AD2C-948334F0946F}">
  <ds:schemaRefs>
    <ds:schemaRef ds:uri="http://purl.org/dc/elements/1.1/"/>
    <ds:schemaRef ds:uri="996b2e75-67fd-4955-a3b0-5ab9934cb50b"/>
    <ds:schemaRef ds:uri="http://purl.org/dc/terms/"/>
    <ds:schemaRef ds:uri="http://schemas.microsoft.com/office/infopath/2007/PartnerControls"/>
    <ds:schemaRef ds:uri="http://schemas.microsoft.com/office/2006/documentManagement/types"/>
    <ds:schemaRef ds:uri="32a1a8c5-2265-4ebc-b7a0-2071e2c5c9bb"/>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081085-BE59-4DA2-A4A7-6CC996135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R15-WRC15-C-0062!A23-A1-A8!MSW-A</vt:lpstr>
    </vt:vector>
  </TitlesOfParts>
  <Manager>General Secretariat - Pool</Manager>
  <Company>International Telecommunication Union (ITU)</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R15-WRC15-C-0062!A23-A1-A8!MSW-A</dc:title>
  <dc:creator>Documents Proposals Manager (DPM)</dc:creator>
  <cp:keywords>DPM_v5.2015.10.230_prod</cp:keywords>
  <cp:lastModifiedBy>Ajlouni, Nour</cp:lastModifiedBy>
  <cp:revision>7</cp:revision>
  <cp:lastPrinted>2011-11-07T13:53:00Z</cp:lastPrinted>
  <dcterms:created xsi:type="dcterms:W3CDTF">2015-11-01T20:04:00Z</dcterms:created>
  <dcterms:modified xsi:type="dcterms:W3CDTF">2015-11-01T21:11:00Z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