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096"/>
        <w:gridCol w:w="3969"/>
      </w:tblGrid>
      <w:tr w:rsidR="0090121B" w:rsidRPr="0002785D" w:rsidTr="005A0B54">
        <w:trPr>
          <w:cantSplit/>
        </w:trPr>
        <w:tc>
          <w:tcPr>
            <w:tcW w:w="6096" w:type="dxa"/>
          </w:tcPr>
          <w:p w:rsidR="0090121B" w:rsidRPr="001F42A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1ACB8EE2" wp14:editId="0E352E6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A0B54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5A0B54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5A0B54">
        <w:trPr>
          <w:cantSplit/>
        </w:trPr>
        <w:tc>
          <w:tcPr>
            <w:tcW w:w="6096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969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6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62(Add.23)(Add.1)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5A0B54">
        <w:trPr>
          <w:cantSplit/>
        </w:trPr>
        <w:tc>
          <w:tcPr>
            <w:tcW w:w="6096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5A0B54">
        <w:trPr>
          <w:cantSplit/>
        </w:trPr>
        <w:tc>
          <w:tcPr>
            <w:tcW w:w="6096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969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chino</w:t>
            </w:r>
          </w:p>
        </w:tc>
      </w:tr>
      <w:tr w:rsidR="000A5B9A" w:rsidRPr="0002785D" w:rsidTr="005A0B54">
        <w:trPr>
          <w:cantSplit/>
        </w:trPr>
        <w:tc>
          <w:tcPr>
            <w:tcW w:w="10065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A0B54">
        <w:trPr>
          <w:cantSplit/>
        </w:trPr>
        <w:tc>
          <w:tcPr>
            <w:tcW w:w="10065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China (República Popular de)</w:t>
            </w:r>
          </w:p>
        </w:tc>
      </w:tr>
      <w:tr w:rsidR="000A5B9A" w:rsidRPr="0002785D" w:rsidTr="005A0B54">
        <w:trPr>
          <w:cantSplit/>
        </w:trPr>
        <w:tc>
          <w:tcPr>
            <w:tcW w:w="10065" w:type="dxa"/>
            <w:gridSpan w:val="2"/>
          </w:tcPr>
          <w:p w:rsidR="000A5B9A" w:rsidRPr="001F42A5" w:rsidRDefault="001F42A5" w:rsidP="001F42A5">
            <w:pPr>
              <w:pStyle w:val="Title1"/>
            </w:pPr>
            <w:bookmarkStart w:id="3" w:name="dtitle1" w:colFirst="0" w:colLast="0"/>
            <w:bookmarkEnd w:id="2"/>
            <w:r w:rsidRPr="001F42A5">
              <w:t>Propuestas para los trabajos de la Conferencia</w:t>
            </w:r>
          </w:p>
        </w:tc>
      </w:tr>
      <w:tr w:rsidR="000A5B9A" w:rsidRPr="0002785D" w:rsidTr="005A0B54">
        <w:trPr>
          <w:cantSplit/>
        </w:trPr>
        <w:tc>
          <w:tcPr>
            <w:tcW w:w="10065" w:type="dxa"/>
            <w:gridSpan w:val="2"/>
          </w:tcPr>
          <w:p w:rsidR="000A5B9A" w:rsidRPr="001F42A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A0B54">
        <w:trPr>
          <w:cantSplit/>
        </w:trPr>
        <w:tc>
          <w:tcPr>
            <w:tcW w:w="10065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9.1(9.1.6) del orden del día</w:t>
            </w:r>
          </w:p>
        </w:tc>
      </w:tr>
      <w:bookmarkEnd w:id="5"/>
    </w:tbl>
    <w:p w:rsidR="001C0E40" w:rsidRPr="006C20F8" w:rsidRDefault="00C30906"/>
    <w:p w:rsidR="006C20F8" w:rsidRPr="00211854" w:rsidRDefault="00BD57BA" w:rsidP="006C20F8">
      <w:r w:rsidRPr="00211854">
        <w:t>9</w:t>
      </w:r>
      <w:r w:rsidRPr="00211854">
        <w:tab/>
        <w:t>examinar y aprobar el Informe del Director de la Oficina de Radiocomunicaciones, de conformidad con el Artículo 7 del Convenio:</w:t>
      </w:r>
    </w:p>
    <w:p w:rsidR="001C0E40" w:rsidRPr="00482C06" w:rsidRDefault="00BD57BA" w:rsidP="00482C06">
      <w:r w:rsidRPr="00211854">
        <w:t>9.1</w:t>
      </w:r>
      <w:r w:rsidRPr="00211854">
        <w:tab/>
        <w:t>sobre las actividades del Sector de Radiocomunicaciones desde la CMR-12;</w:t>
      </w:r>
    </w:p>
    <w:p w:rsidR="001C0E40" w:rsidRDefault="00BD57BA" w:rsidP="00A72CD8">
      <w:r>
        <w:t xml:space="preserve">9.1(9.1.6) </w:t>
      </w:r>
      <w:r>
        <w:tab/>
      </w:r>
      <w:r w:rsidRPr="00A064AD">
        <w:t xml:space="preserve">Resolución </w:t>
      </w:r>
      <w:r w:rsidRPr="00D53641">
        <w:rPr>
          <w:b/>
          <w:bCs/>
        </w:rPr>
        <w:t>957 (CMR-12)</w:t>
      </w:r>
      <w:r w:rsidRPr="00A064AD">
        <w:t xml:space="preserve"> - Estudios para revisar las definiciones de servicio fijo, estación fija y estación móvil</w:t>
      </w:r>
    </w:p>
    <w:p w:rsidR="005A0B54" w:rsidRPr="003327CA" w:rsidRDefault="005A0B54" w:rsidP="00A72CD8">
      <w:bookmarkStart w:id="6" w:name="_GoBack"/>
      <w:bookmarkEnd w:id="6"/>
    </w:p>
    <w:p w:rsidR="00D86413" w:rsidRPr="00D86413" w:rsidRDefault="00D86413" w:rsidP="00D86413">
      <w:pPr>
        <w:pStyle w:val="Headingb"/>
      </w:pPr>
      <w:r w:rsidRPr="00D86413">
        <w:t>Introducción</w:t>
      </w:r>
    </w:p>
    <w:p w:rsidR="00D86413" w:rsidRPr="00C9017F" w:rsidRDefault="00D86413" w:rsidP="00C30906">
      <w:pPr>
        <w:rPr>
          <w:lang w:val="es-ES"/>
        </w:rPr>
      </w:pPr>
      <w:r w:rsidRPr="00C9017F">
        <w:rPr>
          <w:lang w:val="es-ES"/>
        </w:rPr>
        <w:t xml:space="preserve">El UIT-R llevó a cabo </w:t>
      </w:r>
      <w:r w:rsidRPr="00BD57BA">
        <w:rPr>
          <w:lang w:val="es-ES"/>
        </w:rPr>
        <w:t>diversos estudios de conformidad con la Resolución 957 (CMR-12). Durante</w:t>
      </w:r>
      <w:r w:rsidRPr="00C9017F">
        <w:rPr>
          <w:lang w:val="es-ES"/>
        </w:rPr>
        <w:t xml:space="preserve"> este periodo de estudios, se han examinado detalladamente las definiciones de </w:t>
      </w:r>
      <w:r w:rsidRPr="00C9017F">
        <w:rPr>
          <w:i/>
          <w:iCs/>
          <w:lang w:val="es-ES"/>
        </w:rPr>
        <w:t>servicio fijo</w:t>
      </w:r>
      <w:r w:rsidRPr="00C9017F">
        <w:rPr>
          <w:lang w:val="es-ES"/>
        </w:rPr>
        <w:t xml:space="preserve">, </w:t>
      </w:r>
      <w:r w:rsidRPr="00C9017F">
        <w:rPr>
          <w:i/>
          <w:iCs/>
          <w:lang w:val="es-ES"/>
        </w:rPr>
        <w:t>estación</w:t>
      </w:r>
      <w:r w:rsidRPr="00C9017F">
        <w:rPr>
          <w:lang w:val="es-ES"/>
        </w:rPr>
        <w:t xml:space="preserve"> </w:t>
      </w:r>
      <w:r w:rsidRPr="00C9017F">
        <w:rPr>
          <w:i/>
          <w:iCs/>
          <w:lang w:val="es-ES"/>
        </w:rPr>
        <w:t xml:space="preserve">fija </w:t>
      </w:r>
      <w:r w:rsidRPr="00C9017F">
        <w:rPr>
          <w:lang w:val="es-ES"/>
        </w:rPr>
        <w:t xml:space="preserve">y </w:t>
      </w:r>
      <w:r w:rsidRPr="00C9017F">
        <w:rPr>
          <w:i/>
          <w:iCs/>
          <w:lang w:val="es-ES"/>
        </w:rPr>
        <w:t>estación móvil</w:t>
      </w:r>
      <w:r w:rsidRPr="00C9017F">
        <w:rPr>
          <w:lang w:val="es-ES"/>
        </w:rPr>
        <w:t>, y se han estudiado las posibles consecuencias para los procedimientos reglamentarios del Reglamento de Radiocomunicaciones (coordinación, notificación e inscripción) y las consecuencias para las actuales asignaciones de frecuencias y otros servicios a los que podrían dar lugar los posibles cambios de las definiciones. La Comisión responsable debatió las contribuciones y propuestas de las administraciones y organizaciones, e informó a su debido tiempo a los grupos implicados de los progresos logrados en este tema. Se tuvieron en cuenta de las respuestas de los grupos implicados.</w:t>
      </w:r>
    </w:p>
    <w:p w:rsidR="00D86413" w:rsidRPr="00C9017F" w:rsidRDefault="00D86413" w:rsidP="005A0B54">
      <w:pPr>
        <w:rPr>
          <w:lang w:val="es-ES"/>
        </w:rPr>
      </w:pPr>
      <w:r w:rsidRPr="00C9017F">
        <w:rPr>
          <w:lang w:val="es-ES"/>
        </w:rPr>
        <w:t>Con arreglo a las contribuciones y declaraciones de coordinación, tras profundos debates, el</w:t>
      </w:r>
      <w:r w:rsidR="00CA0C2C">
        <w:rPr>
          <w:lang w:val="es-ES"/>
        </w:rPr>
        <w:t xml:space="preserve"> </w:t>
      </w:r>
      <w:r w:rsidRPr="00C9017F">
        <w:rPr>
          <w:lang w:val="es-ES"/>
        </w:rPr>
        <w:t>UIT</w:t>
      </w:r>
      <w:r w:rsidR="00BD57BA">
        <w:rPr>
          <w:lang w:val="es-ES"/>
        </w:rPr>
        <w:noBreakHyphen/>
      </w:r>
      <w:r w:rsidRPr="00C9017F">
        <w:rPr>
          <w:lang w:val="es-ES"/>
        </w:rPr>
        <w:t>R</w:t>
      </w:r>
      <w:r w:rsidR="00CA0C2C">
        <w:rPr>
          <w:lang w:val="es-ES"/>
        </w:rPr>
        <w:t> </w:t>
      </w:r>
      <w:r w:rsidRPr="00C9017F">
        <w:rPr>
          <w:lang w:val="es-ES"/>
        </w:rPr>
        <w:t xml:space="preserve">elaboró un método reglamentario y de procedimiento, consistente en suprimir la Resolución </w:t>
      </w:r>
      <w:r w:rsidRPr="00BD57BA">
        <w:rPr>
          <w:lang w:val="es-ES"/>
        </w:rPr>
        <w:t>957</w:t>
      </w:r>
      <w:r w:rsidR="005A0B54">
        <w:rPr>
          <w:lang w:val="es-ES"/>
        </w:rPr>
        <w:t> </w:t>
      </w:r>
      <w:r w:rsidRPr="00BD57BA">
        <w:rPr>
          <w:lang w:val="es-ES"/>
        </w:rPr>
        <w:t>(CMR-12) para</w:t>
      </w:r>
      <w:r w:rsidRPr="00C9017F">
        <w:rPr>
          <w:lang w:val="es-ES"/>
        </w:rPr>
        <w:t xml:space="preserve"> responder al tema 9.1.6 del punto 9.1 del orden del día, teniendo en cuenta que, si se mantienen las actuales definiciones de </w:t>
      </w:r>
      <w:r w:rsidRPr="00C9017F">
        <w:rPr>
          <w:i/>
          <w:iCs/>
          <w:lang w:val="es-ES"/>
        </w:rPr>
        <w:t>servicio fijo</w:t>
      </w:r>
      <w:r w:rsidRPr="00C9017F">
        <w:rPr>
          <w:lang w:val="es-ES"/>
        </w:rPr>
        <w:t xml:space="preserve">, </w:t>
      </w:r>
      <w:r w:rsidRPr="00C9017F">
        <w:rPr>
          <w:i/>
          <w:iCs/>
          <w:lang w:val="es-ES"/>
        </w:rPr>
        <w:t xml:space="preserve">estación fija </w:t>
      </w:r>
      <w:r w:rsidRPr="00C9017F">
        <w:rPr>
          <w:lang w:val="es-ES"/>
        </w:rPr>
        <w:t xml:space="preserve">y </w:t>
      </w:r>
      <w:r w:rsidRPr="00C9017F">
        <w:rPr>
          <w:i/>
          <w:iCs/>
          <w:lang w:val="es-ES"/>
        </w:rPr>
        <w:t xml:space="preserve">estación móvil </w:t>
      </w:r>
      <w:r w:rsidRPr="00C9017F">
        <w:rPr>
          <w:lang w:val="es-ES"/>
        </w:rPr>
        <w:t>del Artículo</w:t>
      </w:r>
      <w:r w:rsidR="00BD57BA" w:rsidRPr="00BD57BA">
        <w:rPr>
          <w:lang w:val="es-ES"/>
        </w:rPr>
        <w:t> </w:t>
      </w:r>
      <w:r w:rsidRPr="00BD57BA">
        <w:rPr>
          <w:lang w:val="es-ES"/>
        </w:rPr>
        <w:t>1</w:t>
      </w:r>
      <w:r w:rsidRPr="00C9017F">
        <w:rPr>
          <w:b/>
          <w:bCs/>
          <w:lang w:val="es-ES"/>
        </w:rPr>
        <w:t xml:space="preserve"> </w:t>
      </w:r>
      <w:r w:rsidRPr="00C9017F">
        <w:rPr>
          <w:lang w:val="es-ES"/>
        </w:rPr>
        <w:t>del RR, se pueden adaptar a la evolución de la tecnología y que existe flexibilidad suficiente en el presente RR.</w:t>
      </w:r>
    </w:p>
    <w:p w:rsidR="00D86413" w:rsidRPr="00D86413" w:rsidRDefault="00D86413" w:rsidP="00D86413">
      <w:pPr>
        <w:pStyle w:val="Headingb"/>
        <w:pageBreakBefore/>
      </w:pPr>
      <w:r w:rsidRPr="00D86413">
        <w:lastRenderedPageBreak/>
        <w:t>Propuestas</w:t>
      </w:r>
    </w:p>
    <w:p w:rsidR="008750A8" w:rsidRPr="00BD57BA" w:rsidRDefault="00D86413" w:rsidP="00C30906">
      <w:r w:rsidRPr="00BD57BA">
        <w:rPr>
          <w:lang w:val="es-ES"/>
        </w:rPr>
        <w:t>China apoya las conclusiones sobre el punto 9.1 del orden del día, Tema 9.1.6 tal como se describe en el informe de la RPC, consistente en suprimir la Resolución 957</w:t>
      </w:r>
      <w:r w:rsidR="005A0B54">
        <w:rPr>
          <w:lang w:val="es-ES"/>
        </w:rPr>
        <w:t> </w:t>
      </w:r>
      <w:r w:rsidRPr="00BD57BA">
        <w:rPr>
          <w:lang w:val="es-ES"/>
        </w:rPr>
        <w:t xml:space="preserve">(CMR-12) y mantener las actuales definiciones de </w:t>
      </w:r>
      <w:r w:rsidRPr="00BD57BA">
        <w:rPr>
          <w:i/>
          <w:iCs/>
          <w:lang w:val="es-ES"/>
        </w:rPr>
        <w:t>servicio fijo</w:t>
      </w:r>
      <w:r w:rsidRPr="00BD57BA">
        <w:rPr>
          <w:lang w:val="es-ES"/>
        </w:rPr>
        <w:t xml:space="preserve">, </w:t>
      </w:r>
      <w:r w:rsidRPr="00BD57BA">
        <w:rPr>
          <w:i/>
          <w:iCs/>
          <w:lang w:val="es-ES"/>
        </w:rPr>
        <w:t xml:space="preserve">estación fija </w:t>
      </w:r>
      <w:r w:rsidRPr="00BD57BA">
        <w:rPr>
          <w:lang w:val="es-ES"/>
        </w:rPr>
        <w:t xml:space="preserve">y </w:t>
      </w:r>
      <w:r w:rsidRPr="00BD57BA">
        <w:rPr>
          <w:i/>
          <w:iCs/>
          <w:lang w:val="es-ES"/>
        </w:rPr>
        <w:t xml:space="preserve">estación móvil </w:t>
      </w:r>
      <w:r w:rsidRPr="00BD57BA">
        <w:rPr>
          <w:lang w:val="es-ES"/>
        </w:rPr>
        <w:t>del Artículo 1 del RR.</w:t>
      </w:r>
    </w:p>
    <w:p w:rsidR="00D86413" w:rsidRDefault="00D86413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312A87" w:rsidRDefault="00BD57BA">
      <w:pPr>
        <w:pStyle w:val="Proposal"/>
      </w:pPr>
      <w:r>
        <w:rPr>
          <w:u w:val="single"/>
        </w:rPr>
        <w:t>NOC</w:t>
      </w:r>
      <w:r>
        <w:tab/>
        <w:t>CHN/62A23A1A6/1</w:t>
      </w:r>
    </w:p>
    <w:p w:rsidR="00F008F3" w:rsidRPr="00245062" w:rsidRDefault="00BD57BA" w:rsidP="008964CA">
      <w:pPr>
        <w:pStyle w:val="ArtNo"/>
      </w:pPr>
      <w:r w:rsidRPr="00245062">
        <w:t xml:space="preserve">ARTÍCULO </w:t>
      </w:r>
      <w:r w:rsidRPr="00245062">
        <w:rPr>
          <w:rStyle w:val="href"/>
        </w:rPr>
        <w:t>1</w:t>
      </w:r>
    </w:p>
    <w:p w:rsidR="00F008F3" w:rsidRPr="00245062" w:rsidRDefault="00BD57BA" w:rsidP="00D44B91">
      <w:pPr>
        <w:pStyle w:val="Arttitle"/>
      </w:pPr>
      <w:r w:rsidRPr="00245062">
        <w:t>Términos y definiciones</w:t>
      </w:r>
    </w:p>
    <w:p w:rsidR="00D86413" w:rsidRPr="00C9017F" w:rsidRDefault="00BD57BA" w:rsidP="00440F28">
      <w:pPr>
        <w:pStyle w:val="Reasons"/>
        <w:rPr>
          <w:bCs/>
          <w:iCs/>
          <w:lang w:val="es-ES"/>
        </w:rPr>
      </w:pPr>
      <w:r>
        <w:rPr>
          <w:b/>
        </w:rPr>
        <w:t>Motivos:</w:t>
      </w:r>
      <w:r>
        <w:tab/>
      </w:r>
      <w:r w:rsidR="00D86413" w:rsidRPr="00C9017F">
        <w:rPr>
          <w:lang w:val="es-ES"/>
        </w:rPr>
        <w:t xml:space="preserve">Para dar respuesta al tema 9.1.6 del punto 9.1 del orden del día, se mantienen las actuales definiciones de </w:t>
      </w:r>
      <w:r w:rsidR="00D86413" w:rsidRPr="00C9017F">
        <w:rPr>
          <w:bCs/>
          <w:i/>
          <w:iCs/>
          <w:lang w:val="es-ES"/>
        </w:rPr>
        <w:t>servicio fijo</w:t>
      </w:r>
      <w:r w:rsidR="00D86413" w:rsidRPr="00C9017F">
        <w:rPr>
          <w:bCs/>
          <w:lang w:val="es-ES"/>
        </w:rPr>
        <w:t xml:space="preserve">, </w:t>
      </w:r>
      <w:r w:rsidR="00D86413" w:rsidRPr="00C9017F">
        <w:rPr>
          <w:bCs/>
          <w:i/>
          <w:iCs/>
          <w:lang w:val="es-ES"/>
        </w:rPr>
        <w:t xml:space="preserve">estación fija </w:t>
      </w:r>
      <w:r w:rsidR="00D86413" w:rsidRPr="00C9017F">
        <w:rPr>
          <w:bCs/>
          <w:lang w:val="es-ES"/>
        </w:rPr>
        <w:t xml:space="preserve">y </w:t>
      </w:r>
      <w:r w:rsidR="00D86413" w:rsidRPr="00C9017F">
        <w:rPr>
          <w:bCs/>
          <w:i/>
          <w:iCs/>
          <w:lang w:val="es-ES"/>
        </w:rPr>
        <w:t>estación móvil</w:t>
      </w:r>
      <w:r w:rsidR="00D86413" w:rsidRPr="00C9017F">
        <w:rPr>
          <w:b/>
          <w:i/>
          <w:lang w:val="es-ES"/>
        </w:rPr>
        <w:t xml:space="preserve">  </w:t>
      </w:r>
      <w:r w:rsidR="00D86413" w:rsidRPr="00C9017F">
        <w:rPr>
          <w:bCs/>
          <w:iCs/>
          <w:lang w:val="es-ES"/>
        </w:rPr>
        <w:t>del Artículo 1 del RR, que se adaptan a la evolución de la tecnología. Además, existe flexibilidad suficiente en el presente RR.</w:t>
      </w:r>
    </w:p>
    <w:p w:rsidR="00312A87" w:rsidRDefault="00BD57BA">
      <w:pPr>
        <w:pStyle w:val="Proposal"/>
      </w:pPr>
      <w:r>
        <w:t>SUP</w:t>
      </w:r>
      <w:r>
        <w:tab/>
        <w:t>CHN/62A23A1A6/2</w:t>
      </w:r>
    </w:p>
    <w:p w:rsidR="009E7ADB" w:rsidRPr="00D14182" w:rsidRDefault="00BD57BA" w:rsidP="009E7ADB">
      <w:pPr>
        <w:pStyle w:val="ResNo"/>
      </w:pPr>
      <w:bookmarkStart w:id="7" w:name="_Toc328141517"/>
      <w:r w:rsidRPr="00D14182">
        <w:t xml:space="preserve">RESOLUCIÓN </w:t>
      </w:r>
      <w:r w:rsidRPr="00D14182">
        <w:rPr>
          <w:rStyle w:val="href"/>
        </w:rPr>
        <w:t>957</w:t>
      </w:r>
      <w:r>
        <w:t xml:space="preserve"> </w:t>
      </w:r>
      <w:r w:rsidRPr="00D14182">
        <w:t>(CMR-12)</w:t>
      </w:r>
      <w:bookmarkEnd w:id="7"/>
    </w:p>
    <w:p w:rsidR="009E7ADB" w:rsidRPr="00D14182" w:rsidRDefault="00BD57BA" w:rsidP="009E7ADB">
      <w:pPr>
        <w:pStyle w:val="Restitle"/>
        <w:rPr>
          <w:b w:val="0"/>
        </w:rPr>
      </w:pPr>
      <w:bookmarkStart w:id="8" w:name="_Toc328141518"/>
      <w:r w:rsidRPr="00D14182">
        <w:t>Estudios para revisar las definiciones de servicio fijo,</w:t>
      </w:r>
      <w:r w:rsidRPr="00D14182">
        <w:br/>
      </w:r>
      <w:r w:rsidRPr="00D14182">
        <w:rPr>
          <w:rFonts w:ascii="Times New Roman"/>
          <w:bCs/>
          <w:i/>
        </w:rPr>
        <w:t>estaci</w:t>
      </w:r>
      <w:r w:rsidRPr="00D14182">
        <w:rPr>
          <w:rFonts w:ascii="Times New Roman"/>
          <w:bCs/>
          <w:i/>
        </w:rPr>
        <w:t>ó</w:t>
      </w:r>
      <w:r w:rsidRPr="00D14182">
        <w:rPr>
          <w:rFonts w:ascii="Times New Roman"/>
          <w:bCs/>
          <w:i/>
        </w:rPr>
        <w:t xml:space="preserve">n fija </w:t>
      </w:r>
      <w:r w:rsidRPr="00D14182">
        <w:t xml:space="preserve">y </w:t>
      </w:r>
      <w:r w:rsidRPr="00D14182">
        <w:rPr>
          <w:rFonts w:ascii="Times New Roman"/>
          <w:bCs/>
          <w:i/>
          <w:iCs/>
        </w:rPr>
        <w:t>estaci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n m</w:t>
      </w:r>
      <w:r w:rsidRPr="00D14182">
        <w:rPr>
          <w:rFonts w:ascii="Times New Roman"/>
          <w:bCs/>
          <w:i/>
          <w:iCs/>
        </w:rPr>
        <w:t>ó</w:t>
      </w:r>
      <w:r w:rsidRPr="00D14182">
        <w:rPr>
          <w:rFonts w:ascii="Times New Roman"/>
          <w:bCs/>
          <w:i/>
          <w:iCs/>
        </w:rPr>
        <w:t>vil</w:t>
      </w:r>
      <w:bookmarkEnd w:id="8"/>
    </w:p>
    <w:p w:rsidR="00D86413" w:rsidRPr="00C9017F" w:rsidRDefault="00BD57BA" w:rsidP="00D86413">
      <w:pPr>
        <w:pStyle w:val="Reasons"/>
        <w:tabs>
          <w:tab w:val="left" w:pos="6577"/>
        </w:tabs>
        <w:rPr>
          <w:lang w:val="es-ES"/>
        </w:rPr>
      </w:pPr>
      <w:r>
        <w:rPr>
          <w:b/>
        </w:rPr>
        <w:t>Motivos:</w:t>
      </w:r>
      <w:r>
        <w:tab/>
      </w:r>
      <w:r w:rsidR="00D86413" w:rsidRPr="00C9017F">
        <w:rPr>
          <w:lang w:val="es-ES" w:eastAsia="zh-CN"/>
        </w:rPr>
        <w:t xml:space="preserve">Esta Resolución deja </w:t>
      </w:r>
      <w:r w:rsidR="00DF6BB6">
        <w:rPr>
          <w:lang w:val="es-ES" w:eastAsia="zh-CN"/>
        </w:rPr>
        <w:t>de ser necesaria tras la CMR-15.</w:t>
      </w:r>
    </w:p>
    <w:p w:rsidR="00D86413" w:rsidRDefault="00D86413" w:rsidP="0032202E">
      <w:pPr>
        <w:pStyle w:val="Reasons"/>
      </w:pPr>
    </w:p>
    <w:p w:rsidR="00D86413" w:rsidRDefault="00D86413">
      <w:pPr>
        <w:jc w:val="center"/>
      </w:pPr>
      <w:r>
        <w:t>______________</w:t>
      </w:r>
    </w:p>
    <w:p w:rsidR="00312A87" w:rsidRPr="00D86413" w:rsidRDefault="00312A87">
      <w:pPr>
        <w:pStyle w:val="Reasons"/>
        <w:rPr>
          <w:lang w:val="es-ES"/>
        </w:rPr>
      </w:pPr>
    </w:p>
    <w:sectPr w:rsidR="00312A87" w:rsidRPr="00D8641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607F7">
      <w:rPr>
        <w:noProof/>
        <w:lang w:val="en-US"/>
      </w:rPr>
      <w:t>P:\ESP\ITU-R\CONF-R\CMR15\000\062ADD23ADD01ADD06.docx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0906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7F7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79" w:rsidRPr="00842D79" w:rsidRDefault="00842D79" w:rsidP="00842D79">
    <w:pPr>
      <w:pStyle w:val="Footer"/>
      <w:rPr>
        <w:lang w:val="en-US"/>
      </w:rPr>
    </w:pPr>
    <w:r>
      <w:fldChar w:fldCharType="begin"/>
    </w:r>
    <w:r w:rsidRPr="00842D79">
      <w:rPr>
        <w:lang w:val="en-US"/>
      </w:rPr>
      <w:instrText xml:space="preserve"> FILENAME \p  \* MERGEFORMAT </w:instrText>
    </w:r>
    <w:r>
      <w:fldChar w:fldCharType="separate"/>
    </w:r>
    <w:r w:rsidR="00F607F7">
      <w:rPr>
        <w:lang w:val="en-US"/>
      </w:rPr>
      <w:t>P:\ESP\ITU-R\CONF-R\CMR15\000\062ADD23ADD01ADD06.docx</w:t>
    </w:r>
    <w:r>
      <w:fldChar w:fldCharType="end"/>
    </w:r>
    <w:r w:rsidRPr="00842D79">
      <w:rPr>
        <w:lang w:val="en-US"/>
      </w:rPr>
      <w:t xml:space="preserve"> (</w:t>
    </w:r>
    <w:r>
      <w:rPr>
        <w:lang w:val="en-US"/>
      </w:rPr>
      <w:t>388528</w:t>
    </w:r>
    <w:r w:rsidRPr="00842D79">
      <w:rPr>
        <w:lang w:val="en-US"/>
      </w:rPr>
      <w:t>)</w:t>
    </w:r>
    <w:r w:rsidRPr="00842D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0906">
      <w:t>29.10.15</w:t>
    </w:r>
    <w:r>
      <w:fldChar w:fldCharType="end"/>
    </w:r>
    <w:r w:rsidRPr="00842D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7F7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79" w:rsidRPr="00842D79" w:rsidRDefault="00842D79">
    <w:pPr>
      <w:pStyle w:val="Footer"/>
      <w:rPr>
        <w:lang w:val="en-US"/>
      </w:rPr>
    </w:pPr>
    <w:r>
      <w:fldChar w:fldCharType="begin"/>
    </w:r>
    <w:r w:rsidRPr="00842D79">
      <w:rPr>
        <w:lang w:val="en-US"/>
      </w:rPr>
      <w:instrText xml:space="preserve"> FILENAME \p  \* MERGEFORMAT </w:instrText>
    </w:r>
    <w:r>
      <w:fldChar w:fldCharType="separate"/>
    </w:r>
    <w:r w:rsidR="00F607F7">
      <w:rPr>
        <w:lang w:val="en-US"/>
      </w:rPr>
      <w:t>P:\ESP\ITU-R\CONF-R\CMR15\000\062ADD23ADD01ADD06.docx</w:t>
    </w:r>
    <w:r>
      <w:fldChar w:fldCharType="end"/>
    </w:r>
    <w:r w:rsidRPr="00842D79">
      <w:rPr>
        <w:lang w:val="en-US"/>
      </w:rPr>
      <w:t xml:space="preserve"> (</w:t>
    </w:r>
    <w:r>
      <w:rPr>
        <w:lang w:val="en-US"/>
      </w:rPr>
      <w:t>388528</w:t>
    </w:r>
    <w:r w:rsidRPr="00842D79">
      <w:rPr>
        <w:lang w:val="en-US"/>
      </w:rPr>
      <w:t>)</w:t>
    </w:r>
    <w:r w:rsidRPr="00842D7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0906">
      <w:t>29.10.15</w:t>
    </w:r>
    <w:r>
      <w:fldChar w:fldCharType="end"/>
    </w:r>
    <w:r w:rsidRPr="00842D7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7F7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090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62(Add.23)(Add.1)(Add.6)-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1F42A5"/>
    <w:rsid w:val="00236D2A"/>
    <w:rsid w:val="00255F12"/>
    <w:rsid w:val="00262C09"/>
    <w:rsid w:val="002A791F"/>
    <w:rsid w:val="002C1B26"/>
    <w:rsid w:val="002C5D6C"/>
    <w:rsid w:val="002E701F"/>
    <w:rsid w:val="00312A87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A0B54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42D79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D57BA"/>
    <w:rsid w:val="00BE2E80"/>
    <w:rsid w:val="00BE5EDD"/>
    <w:rsid w:val="00BE6A1F"/>
    <w:rsid w:val="00C126C4"/>
    <w:rsid w:val="00C30906"/>
    <w:rsid w:val="00C63EB5"/>
    <w:rsid w:val="00CA0C2C"/>
    <w:rsid w:val="00CC01E0"/>
    <w:rsid w:val="00CD5FEE"/>
    <w:rsid w:val="00CE60D2"/>
    <w:rsid w:val="00CE7431"/>
    <w:rsid w:val="00D0288A"/>
    <w:rsid w:val="00D72A5D"/>
    <w:rsid w:val="00D86413"/>
    <w:rsid w:val="00DC629B"/>
    <w:rsid w:val="00DF6BB6"/>
    <w:rsid w:val="00E05BFF"/>
    <w:rsid w:val="00E262F1"/>
    <w:rsid w:val="00E3176A"/>
    <w:rsid w:val="00E54754"/>
    <w:rsid w:val="00E56BD3"/>
    <w:rsid w:val="00E71D14"/>
    <w:rsid w:val="00F607F7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EC808B3-6461-47F9-A280-630801CB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R15-WRC15-C-0062!A23-A1-A6!MSW-S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7347CB-9727-40EB-8DB9-D0CC8B6F9121}">
  <ds:schemaRefs>
    <ds:schemaRef ds:uri="http://purl.org/dc/elements/1.1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http://purl.org/dc/terms/"/>
    <ds:schemaRef ds:uri="http://schemas.microsoft.com/office/2006/documentManagement/types"/>
    <ds:schemaRef ds:uri="996b2e75-67fd-4955-a3b0-5ab9934cb50b"/>
    <ds:schemaRef ds:uri="http://www.w3.org/XML/1998/namespac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C72FE66-A76C-4D6D-B6A9-E1430157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430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R15-WRC15-C-0062!A23-A1-A6!MSW-S</vt:lpstr>
    </vt:vector>
  </TitlesOfParts>
  <Manager>Secretaría General - Pool</Manager>
  <Company>Unión Internacional de Telecomunicaciones (UIT)</Company>
  <LinksUpToDate>false</LinksUpToDate>
  <CharactersWithSpaces>2870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R15-WRC15-C-0062!A23-A1-A6!MSW-S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9</cp:revision>
  <cp:lastPrinted>2015-10-29T08:25:00Z</cp:lastPrinted>
  <dcterms:created xsi:type="dcterms:W3CDTF">2015-10-29T08:14:00Z</dcterms:created>
  <dcterms:modified xsi:type="dcterms:W3CDTF">2015-10-29T10:47:00Z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