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16F95" w:rsidTr="0050008E">
        <w:trPr>
          <w:cantSplit/>
        </w:trPr>
        <w:tc>
          <w:tcPr>
            <w:tcW w:w="6911" w:type="dxa"/>
          </w:tcPr>
          <w:p w:rsidR="0090121B" w:rsidRPr="00616F95" w:rsidRDefault="005D46FB" w:rsidP="00F6470E">
            <w:pPr>
              <w:spacing w:before="400" w:after="48"/>
              <w:rPr>
                <w:rFonts w:ascii="Verdana" w:hAnsi="Verdana"/>
                <w:position w:val="6"/>
              </w:rPr>
            </w:pPr>
            <w:r w:rsidRPr="00616F9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16F9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6F9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16F95" w:rsidRDefault="00CE7431" w:rsidP="00F6470E">
            <w:pPr>
              <w:spacing w:before="0"/>
              <w:jc w:val="right"/>
            </w:pPr>
            <w:bookmarkStart w:id="0" w:name="ditulogo"/>
            <w:bookmarkEnd w:id="0"/>
            <w:r w:rsidRPr="00616F95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16F9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16F95" w:rsidRDefault="00CE7431" w:rsidP="00F6470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616F9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16F95" w:rsidRDefault="0090121B" w:rsidP="00F6470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16F9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16F95" w:rsidRDefault="0090121B" w:rsidP="00F6470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16F95" w:rsidRDefault="0090121B" w:rsidP="00F6470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16F9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16F95" w:rsidRDefault="00AE658F" w:rsidP="00F6470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6F9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16F95" w:rsidRDefault="00AE658F" w:rsidP="00F6470E">
            <w:pPr>
              <w:spacing w:before="0"/>
              <w:rPr>
                <w:rFonts w:ascii="Verdana" w:hAnsi="Verdana"/>
                <w:sz w:val="20"/>
              </w:rPr>
            </w:pPr>
            <w:r w:rsidRPr="00616F95">
              <w:rPr>
                <w:rFonts w:ascii="Verdana" w:eastAsia="SimSun" w:hAnsi="Verdana" w:cs="Traditional Arabic"/>
                <w:b/>
                <w:sz w:val="20"/>
              </w:rPr>
              <w:t>Addéndum 21 al</w:t>
            </w:r>
            <w:r w:rsidRPr="00616F95">
              <w:rPr>
                <w:rFonts w:ascii="Verdana" w:eastAsia="SimSun" w:hAnsi="Verdana" w:cs="Traditional Arabic"/>
                <w:b/>
                <w:sz w:val="20"/>
              </w:rPr>
              <w:br/>
              <w:t>Documento 62</w:t>
            </w:r>
            <w:r w:rsidR="0090121B" w:rsidRPr="00616F95">
              <w:rPr>
                <w:rFonts w:ascii="Verdana" w:hAnsi="Verdana"/>
                <w:b/>
                <w:sz w:val="20"/>
              </w:rPr>
              <w:t>-</w:t>
            </w:r>
            <w:r w:rsidRPr="00616F9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16F9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16F95" w:rsidRDefault="000A5B9A" w:rsidP="00F6470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16F95" w:rsidRDefault="000A5B9A" w:rsidP="00F6470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6F95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616F95" w:rsidTr="0090121B">
        <w:trPr>
          <w:cantSplit/>
        </w:trPr>
        <w:tc>
          <w:tcPr>
            <w:tcW w:w="6911" w:type="dxa"/>
          </w:tcPr>
          <w:p w:rsidR="000A5B9A" w:rsidRPr="00616F95" w:rsidRDefault="000A5B9A" w:rsidP="00F6470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16F95" w:rsidRDefault="000A5B9A" w:rsidP="00F6470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6F95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616F95" w:rsidTr="006744FC">
        <w:trPr>
          <w:cantSplit/>
        </w:trPr>
        <w:tc>
          <w:tcPr>
            <w:tcW w:w="10031" w:type="dxa"/>
            <w:gridSpan w:val="2"/>
          </w:tcPr>
          <w:p w:rsidR="000A5B9A" w:rsidRPr="00616F95" w:rsidRDefault="000A5B9A" w:rsidP="00F6470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16F95" w:rsidTr="0050008E">
        <w:trPr>
          <w:cantSplit/>
        </w:trPr>
        <w:tc>
          <w:tcPr>
            <w:tcW w:w="10031" w:type="dxa"/>
            <w:gridSpan w:val="2"/>
          </w:tcPr>
          <w:p w:rsidR="000A5B9A" w:rsidRPr="00616F95" w:rsidRDefault="000A5B9A" w:rsidP="00F6470E">
            <w:pPr>
              <w:pStyle w:val="Source"/>
            </w:pPr>
            <w:bookmarkStart w:id="2" w:name="dsource" w:colFirst="0" w:colLast="0"/>
            <w:r w:rsidRPr="00616F95">
              <w:t>China (República Popular de)</w:t>
            </w:r>
          </w:p>
        </w:tc>
      </w:tr>
      <w:tr w:rsidR="000A5B9A" w:rsidRPr="00616F95" w:rsidTr="0050008E">
        <w:trPr>
          <w:cantSplit/>
        </w:trPr>
        <w:tc>
          <w:tcPr>
            <w:tcW w:w="10031" w:type="dxa"/>
            <w:gridSpan w:val="2"/>
          </w:tcPr>
          <w:p w:rsidR="000A5B9A" w:rsidRPr="00616F95" w:rsidRDefault="001A522E" w:rsidP="00F6470E">
            <w:pPr>
              <w:pStyle w:val="Title1"/>
            </w:pPr>
            <w:bookmarkStart w:id="3" w:name="dtitle1" w:colFirst="0" w:colLast="0"/>
            <w:bookmarkEnd w:id="2"/>
            <w:r w:rsidRPr="00616F95">
              <w:t>PROPUESTAS PARA LOS TRABAJOS DE LA CONFERENCIA</w:t>
            </w:r>
          </w:p>
        </w:tc>
      </w:tr>
      <w:tr w:rsidR="000A5B9A" w:rsidRPr="00616F95" w:rsidTr="0050008E">
        <w:trPr>
          <w:cantSplit/>
        </w:trPr>
        <w:tc>
          <w:tcPr>
            <w:tcW w:w="10031" w:type="dxa"/>
            <w:gridSpan w:val="2"/>
          </w:tcPr>
          <w:p w:rsidR="000A5B9A" w:rsidRPr="00616F95" w:rsidRDefault="00F6470E" w:rsidP="00476DA8">
            <w:pPr>
              <w:pStyle w:val="Title2"/>
            </w:pPr>
            <w:bookmarkStart w:id="4" w:name="dtitle2" w:colFirst="0" w:colLast="0"/>
            <w:bookmarkEnd w:id="3"/>
            <w:r w:rsidRPr="00616F95">
              <w:t>DICTAMEN</w:t>
            </w:r>
            <w:r w:rsidR="009D2D7F" w:rsidRPr="00616F95">
              <w:t xml:space="preserve"> sobre los temas relativos</w:t>
            </w:r>
            <w:r w:rsidR="00476DA8" w:rsidRPr="00616F95">
              <w:t xml:space="preserve"> </w:t>
            </w:r>
            <w:r w:rsidR="009D2D7F" w:rsidRPr="00616F95">
              <w:t>al</w:t>
            </w:r>
            <w:r w:rsidR="00476DA8" w:rsidRPr="00616F95">
              <w:br/>
            </w:r>
            <w:r w:rsidR="009D2D7F" w:rsidRPr="00616F95">
              <w:t xml:space="preserve">punto </w:t>
            </w:r>
            <w:r w:rsidR="00F34B03" w:rsidRPr="00616F95">
              <w:t>7</w:t>
            </w:r>
            <w:r w:rsidR="009D2D7F" w:rsidRPr="00616F95">
              <w:t xml:space="preserve"> del orden del día de la cmr-15</w:t>
            </w:r>
          </w:p>
        </w:tc>
      </w:tr>
      <w:tr w:rsidR="000A5B9A" w:rsidRPr="00616F95" w:rsidTr="0050008E">
        <w:trPr>
          <w:cantSplit/>
        </w:trPr>
        <w:tc>
          <w:tcPr>
            <w:tcW w:w="10031" w:type="dxa"/>
            <w:gridSpan w:val="2"/>
          </w:tcPr>
          <w:p w:rsidR="000A5B9A" w:rsidRPr="00616F95" w:rsidRDefault="000A5B9A" w:rsidP="00616F95">
            <w:pPr>
              <w:pStyle w:val="Agendaitem"/>
              <w:spacing w:before="480"/>
            </w:pPr>
            <w:bookmarkStart w:id="5" w:name="dtitle3" w:colFirst="0" w:colLast="0"/>
            <w:bookmarkEnd w:id="4"/>
            <w:r w:rsidRPr="00616F95">
              <w:t>Punto 7 del orden del día</w:t>
            </w:r>
          </w:p>
        </w:tc>
      </w:tr>
    </w:tbl>
    <w:bookmarkEnd w:id="5"/>
    <w:p w:rsidR="001C0E40" w:rsidRPr="00616F95" w:rsidRDefault="0099486C" w:rsidP="00CB74B9">
      <w:pPr>
        <w:pStyle w:val="Normalaftertitle"/>
      </w:pPr>
      <w:r w:rsidRPr="00616F95">
        <w:t>7</w:t>
      </w:r>
      <w:r w:rsidRPr="00616F95">
        <w:tab/>
        <w:t>consi</w:t>
      </w:r>
      <w:bookmarkStart w:id="6" w:name="_GoBack"/>
      <w:bookmarkEnd w:id="6"/>
      <w:r w:rsidRPr="00616F95">
        <w:t xml:space="preserve">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616F95">
        <w:rPr>
          <w:b/>
          <w:bCs/>
        </w:rPr>
        <w:t>86 (Rev.CMR-07)</w:t>
      </w:r>
      <w:r w:rsidRPr="00616F95">
        <w:t>, para facilitar la utilización racional, eficaz y económica de las frecuencias radioeléctricas y toda órbita asociada, incluida la órbita de los satélites geoestacionarios;</w:t>
      </w:r>
    </w:p>
    <w:p w:rsidR="008750A8" w:rsidRPr="00616F95" w:rsidRDefault="008750A8" w:rsidP="00F647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6F95">
        <w:br w:type="page"/>
      </w:r>
    </w:p>
    <w:p w:rsidR="00A77489" w:rsidRPr="00616F95" w:rsidRDefault="00A77489" w:rsidP="00A77489">
      <w:pPr>
        <w:pStyle w:val="Title3"/>
        <w:rPr>
          <w:lang w:eastAsia="zh-CN"/>
        </w:rPr>
      </w:pPr>
      <w:r w:rsidRPr="00616F95">
        <w:lastRenderedPageBreak/>
        <w:t>Punto 7 del orden del día Tema A</w:t>
      </w:r>
    </w:p>
    <w:p w:rsidR="00A77489" w:rsidRPr="00616F95" w:rsidRDefault="00A77489" w:rsidP="00A77489">
      <w:r w:rsidRPr="00616F95">
        <w:t>7(A)</w:t>
      </w:r>
      <w:r w:rsidRPr="00616F95">
        <w:tab/>
        <w:t xml:space="preserve">Tema A – Información a la Oficina de Radiocomunicaciones de una suspensión superior a seis meses, de acuerdo con el número </w:t>
      </w:r>
      <w:r w:rsidRPr="00616F95">
        <w:rPr>
          <w:b/>
          <w:bCs/>
        </w:rPr>
        <w:t>11.49</w:t>
      </w:r>
      <w:r w:rsidRPr="00616F95">
        <w:t xml:space="preserve"> del RR</w:t>
      </w:r>
    </w:p>
    <w:p w:rsidR="00392F5F" w:rsidRPr="00616F95" w:rsidRDefault="00392F5F" w:rsidP="00F6470E">
      <w:pPr>
        <w:pStyle w:val="Headingb"/>
      </w:pPr>
      <w:r w:rsidRPr="00616F95">
        <w:t>Introduc</w:t>
      </w:r>
      <w:r w:rsidR="00116AAA" w:rsidRPr="00616F95">
        <w:t>ció</w:t>
      </w:r>
      <w:r w:rsidRPr="00616F95">
        <w:t>n</w:t>
      </w:r>
    </w:p>
    <w:p w:rsidR="00392F5F" w:rsidRPr="00616F95" w:rsidRDefault="00F6470E" w:rsidP="005F7437">
      <w:pPr>
        <w:rPr>
          <w:lang w:eastAsia="zh-CN"/>
        </w:rPr>
      </w:pPr>
      <w:r w:rsidRPr="00616F95">
        <w:rPr>
          <w:lang w:eastAsia="zh-CN"/>
        </w:rPr>
        <w:t>Con objeto de responder a este tema, e</w:t>
      </w:r>
      <w:r w:rsidR="00FB67AD" w:rsidRPr="00616F95">
        <w:rPr>
          <w:lang w:eastAsia="zh-CN"/>
        </w:rPr>
        <w:t xml:space="preserve">n el </w:t>
      </w:r>
      <w:r w:rsidR="005F7437" w:rsidRPr="00616F95">
        <w:rPr>
          <w:lang w:eastAsia="zh-CN"/>
        </w:rPr>
        <w:t>I</w:t>
      </w:r>
      <w:r w:rsidR="00FB67AD" w:rsidRPr="00616F95">
        <w:rPr>
          <w:lang w:eastAsia="zh-CN"/>
        </w:rPr>
        <w:t xml:space="preserve">nforme de la RPC </w:t>
      </w:r>
      <w:r w:rsidR="008C5FB7" w:rsidRPr="00616F95">
        <w:rPr>
          <w:lang w:eastAsia="zh-CN"/>
        </w:rPr>
        <w:t>se proponen 2 métodos y</w:t>
      </w:r>
      <w:r w:rsidR="00FB67AD" w:rsidRPr="00616F95">
        <w:rPr>
          <w:lang w:eastAsia="zh-CN"/>
        </w:rPr>
        <w:t>, para el Método A2, se examinan</w:t>
      </w:r>
      <w:r w:rsidR="008C5FB7" w:rsidRPr="00616F95">
        <w:rPr>
          <w:lang w:eastAsia="zh-CN"/>
        </w:rPr>
        <w:t xml:space="preserve"> dos opciones</w:t>
      </w:r>
      <w:r w:rsidR="00FB67AD" w:rsidRPr="00616F95">
        <w:rPr>
          <w:lang w:eastAsia="zh-CN"/>
        </w:rPr>
        <w:t>.</w:t>
      </w:r>
      <w:r w:rsidRPr="00616F95">
        <w:rPr>
          <w:lang w:eastAsia="zh-CN"/>
        </w:rPr>
        <w:t xml:space="preserve"> A tal efecto,</w:t>
      </w:r>
      <w:r w:rsidR="00FB67AD" w:rsidRPr="00616F95">
        <w:rPr>
          <w:lang w:eastAsia="zh-CN"/>
        </w:rPr>
        <w:t xml:space="preserve"> China</w:t>
      </w:r>
      <w:r w:rsidRPr="00616F95">
        <w:rPr>
          <w:lang w:eastAsia="zh-CN"/>
        </w:rPr>
        <w:t xml:space="preserve"> se declara</w:t>
      </w:r>
      <w:r w:rsidR="00FB67AD" w:rsidRPr="00616F95">
        <w:rPr>
          <w:lang w:eastAsia="zh-CN"/>
        </w:rPr>
        <w:t xml:space="preserve"> partidaria del</w:t>
      </w:r>
      <w:r w:rsidR="008C5FB7" w:rsidRPr="00616F95">
        <w:rPr>
          <w:lang w:eastAsia="zh-CN"/>
        </w:rPr>
        <w:t xml:space="preserve"> Método A1</w:t>
      </w:r>
      <w:r w:rsidR="00FB67AD" w:rsidRPr="00616F95">
        <w:rPr>
          <w:lang w:eastAsia="zh-CN"/>
        </w:rPr>
        <w:t xml:space="preserve">, es decir, de no introducir ningún cambio en el </w:t>
      </w:r>
      <w:r w:rsidR="008C5FB7" w:rsidRPr="00616F95">
        <w:rPr>
          <w:lang w:eastAsia="zh-CN"/>
        </w:rPr>
        <w:t>RR.</w:t>
      </w:r>
    </w:p>
    <w:p w:rsidR="00392F5F" w:rsidRPr="00616F95" w:rsidRDefault="00C645A9" w:rsidP="00F6470E">
      <w:pPr>
        <w:pStyle w:val="Headingb"/>
        <w:rPr>
          <w:lang w:eastAsia="zh-CN"/>
        </w:rPr>
      </w:pPr>
      <w:r w:rsidRPr="00616F95">
        <w:t>Propuesta</w:t>
      </w:r>
    </w:p>
    <w:p w:rsidR="00F008F3" w:rsidRPr="00616F95" w:rsidRDefault="0099486C" w:rsidP="00F6470E">
      <w:pPr>
        <w:pStyle w:val="ArtNo"/>
      </w:pPr>
      <w:r w:rsidRPr="00616F95">
        <w:t xml:space="preserve">ARTÍCULO </w:t>
      </w:r>
      <w:r w:rsidRPr="00616F95">
        <w:rPr>
          <w:rStyle w:val="href"/>
        </w:rPr>
        <w:t>11</w:t>
      </w:r>
    </w:p>
    <w:p w:rsidR="00F008F3" w:rsidRPr="00616F95" w:rsidRDefault="0099486C" w:rsidP="00F6470E">
      <w:pPr>
        <w:pStyle w:val="Arttitle"/>
        <w:spacing w:before="120"/>
        <w:rPr>
          <w:bCs/>
        </w:rPr>
      </w:pPr>
      <w:r w:rsidRPr="00616F95">
        <w:t>Notificación e inscripción de asignaciones</w:t>
      </w:r>
      <w:r w:rsidRPr="00616F95">
        <w:br/>
        <w:t>de frecuencia</w:t>
      </w:r>
      <w:r w:rsidRPr="00616F95">
        <w:rPr>
          <w:rStyle w:val="FootnoteReference"/>
          <w:bCs/>
          <w:szCs w:val="18"/>
        </w:rPr>
        <w:t>1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2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3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4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5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6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7,</w:t>
      </w:r>
      <w:r w:rsidRPr="00616F95">
        <w:rPr>
          <w:bCs/>
          <w:position w:val="6"/>
          <w:sz w:val="18"/>
          <w:szCs w:val="18"/>
        </w:rPr>
        <w:t xml:space="preserve"> 7</w:t>
      </w:r>
      <w:r w:rsidRPr="00616F95">
        <w:rPr>
          <w:bCs/>
          <w:i/>
          <w:iCs/>
          <w:position w:val="6"/>
          <w:sz w:val="18"/>
          <w:szCs w:val="18"/>
        </w:rPr>
        <w:t>bis</w:t>
      </w:r>
      <w:r w:rsidRPr="00616F95">
        <w:rPr>
          <w:b w:val="0"/>
          <w:sz w:val="16"/>
        </w:rPr>
        <w:t>     (CMR</w:t>
      </w:r>
      <w:r w:rsidRPr="00616F95">
        <w:rPr>
          <w:b w:val="0"/>
          <w:sz w:val="16"/>
        </w:rPr>
        <w:noBreakHyphen/>
        <w:t>12)</w:t>
      </w:r>
    </w:p>
    <w:p w:rsidR="001D34FF" w:rsidRPr="00616F95" w:rsidRDefault="0099486C" w:rsidP="00F6470E">
      <w:pPr>
        <w:pStyle w:val="Section1"/>
      </w:pPr>
      <w:r w:rsidRPr="00616F95">
        <w:t>Sección II – Examen de las notificaciones e inscripción de las asignaciones</w:t>
      </w:r>
      <w:r w:rsidRPr="00616F95">
        <w:br/>
        <w:t>de frecuencia en el Registro</w:t>
      </w:r>
    </w:p>
    <w:p w:rsidR="00CB4C9E" w:rsidRPr="00616F95" w:rsidRDefault="0099486C" w:rsidP="00F6470E">
      <w:pPr>
        <w:pStyle w:val="Proposal"/>
      </w:pPr>
      <w:r w:rsidRPr="00616F95">
        <w:rPr>
          <w:u w:val="single"/>
        </w:rPr>
        <w:t>NOC</w:t>
      </w:r>
      <w:r w:rsidRPr="00616F95">
        <w:tab/>
        <w:t>CHN/62A21/1</w:t>
      </w:r>
    </w:p>
    <w:p w:rsidR="001D34FF" w:rsidRPr="00616F95" w:rsidRDefault="0099486C" w:rsidP="00F6470E">
      <w:pPr>
        <w:pStyle w:val="Note"/>
        <w:rPr>
          <w:sz w:val="16"/>
          <w:szCs w:val="16"/>
        </w:rPr>
      </w:pPr>
      <w:r w:rsidRPr="00616F95">
        <w:rPr>
          <w:rStyle w:val="Artdef"/>
          <w:szCs w:val="24"/>
        </w:rPr>
        <w:t>11.49</w:t>
      </w:r>
      <w:r w:rsidRPr="00616F95">
        <w:rPr>
          <w:rStyle w:val="Artdef"/>
          <w:szCs w:val="24"/>
        </w:rPr>
        <w:tab/>
      </w:r>
      <w:r w:rsidRPr="00616F95">
        <w:tab/>
        <w:t>Siempre que se suspenda el uso de una asignación de frecuencias inscrita a una estación espacial durante un periodo superior a seis meses, la administración notificante deberá comunicar a la Oficina tan pronto como sea posible, pero a más tardar seis meses después de la fecha de suspensión de la utilización, la fecha de suspensión de su utilización. Cuando la asignación inscrita vuelva a ponerse en servicio, la administración notificante lo comunicará a la Oficina tan pronto como sea posible, con arreglo a las disposiciones del número </w:t>
      </w:r>
      <w:r w:rsidRPr="00616F95">
        <w:rPr>
          <w:rStyle w:val="Artref"/>
          <w:b/>
          <w:bCs/>
          <w:szCs w:val="24"/>
        </w:rPr>
        <w:t>11.49.1</w:t>
      </w:r>
      <w:r w:rsidRPr="00616F95">
        <w:t>, en su caso. Entre la fecha en que se reanuda el funcionamiento de la asignación inscrita</w:t>
      </w:r>
      <w:r w:rsidRPr="00616F95">
        <w:rPr>
          <w:rStyle w:val="FootnoteReference"/>
          <w:szCs w:val="18"/>
        </w:rPr>
        <w:t>22</w:t>
      </w:r>
      <w:r w:rsidRPr="00616F95">
        <w:t xml:space="preserve"> y la fecha de suspensión no deberán transcurrir más de tres años.</w:t>
      </w:r>
      <w:r w:rsidRPr="00616F95">
        <w:rPr>
          <w:sz w:val="16"/>
          <w:szCs w:val="16"/>
        </w:rPr>
        <w:t>     (CMR-12)</w:t>
      </w:r>
    </w:p>
    <w:p w:rsidR="00CB4C9E" w:rsidRPr="00616F95" w:rsidRDefault="0099486C" w:rsidP="005F7437">
      <w:pPr>
        <w:pStyle w:val="Reasons"/>
      </w:pPr>
      <w:r w:rsidRPr="00616F95">
        <w:rPr>
          <w:b/>
        </w:rPr>
        <w:t>Motivos:</w:t>
      </w:r>
      <w:r w:rsidRPr="00616F95">
        <w:tab/>
      </w:r>
      <w:r w:rsidR="00556DFA" w:rsidRPr="00616F95">
        <w:t>E</w:t>
      </w:r>
      <w:r w:rsidR="00FB67AD" w:rsidRPr="00616F95">
        <w:t>n e</w:t>
      </w:r>
      <w:r w:rsidR="00556DFA" w:rsidRPr="00616F95">
        <w:t xml:space="preserve">l número 13.6 del RR </w:t>
      </w:r>
      <w:r w:rsidR="00FB67AD" w:rsidRPr="00616F95">
        <w:t xml:space="preserve">se </w:t>
      </w:r>
      <w:r w:rsidR="00556DFA" w:rsidRPr="00616F95">
        <w:t>especifica un método para que la BR consulte a la</w:t>
      </w:r>
      <w:r w:rsidR="00FB67AD" w:rsidRPr="00616F95">
        <w:t>s administraciones</w:t>
      </w:r>
      <w:r w:rsidR="00556DFA" w:rsidRPr="00616F95">
        <w:t xml:space="preserve"> y aborde l</w:t>
      </w:r>
      <w:r w:rsidR="005F7437" w:rsidRPr="00616F95">
        <w:t>os casos</w:t>
      </w:r>
      <w:r w:rsidR="007A1056" w:rsidRPr="00616F95">
        <w:t xml:space="preserve"> en que</w:t>
      </w:r>
      <w:r w:rsidR="00556DFA" w:rsidRPr="00616F95">
        <w:t xml:space="preserve"> se desprenda que una administración no ha informado a la BR de una suspensión en el plazo de seis meses indicado en el número 11.49 del RR.</w:t>
      </w:r>
    </w:p>
    <w:p w:rsidR="00A77489" w:rsidRPr="00616F95" w:rsidRDefault="00A77489" w:rsidP="005F7437">
      <w:pPr>
        <w:pStyle w:val="Reasons"/>
      </w:pPr>
    </w:p>
    <w:p w:rsidR="00A77489" w:rsidRPr="00616F95" w:rsidRDefault="00A774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6F95">
        <w:br w:type="page"/>
      </w:r>
    </w:p>
    <w:p w:rsidR="00282864" w:rsidRPr="00616F95" w:rsidRDefault="00415768" w:rsidP="00F6470E">
      <w:pPr>
        <w:pStyle w:val="Title3"/>
        <w:rPr>
          <w:lang w:eastAsia="zh-CN"/>
        </w:rPr>
      </w:pPr>
      <w:r w:rsidRPr="00616F95">
        <w:lastRenderedPageBreak/>
        <w:t>Punto</w:t>
      </w:r>
      <w:r w:rsidR="00282864" w:rsidRPr="00616F95">
        <w:t xml:space="preserve"> 7 </w:t>
      </w:r>
      <w:r w:rsidRPr="00616F95">
        <w:t>del orden del día T</w:t>
      </w:r>
      <w:r w:rsidR="00282864" w:rsidRPr="00616F95">
        <w:t>e</w:t>
      </w:r>
      <w:r w:rsidRPr="00616F95">
        <w:t>ma</w:t>
      </w:r>
      <w:r w:rsidR="00282864" w:rsidRPr="00616F95">
        <w:t xml:space="preserve"> B</w:t>
      </w:r>
    </w:p>
    <w:p w:rsidR="004D7808" w:rsidRPr="00616F95" w:rsidRDefault="00282864" w:rsidP="00F6470E">
      <w:r w:rsidRPr="00616F95">
        <w:t>7(B)</w:t>
      </w:r>
      <w:r w:rsidRPr="00616F95">
        <w:tab/>
      </w:r>
      <w:r w:rsidR="00A92CA9" w:rsidRPr="00616F95">
        <w:t>Tema</w:t>
      </w:r>
      <w:r w:rsidRPr="00616F95">
        <w:t xml:space="preserve"> B – </w:t>
      </w:r>
      <w:r w:rsidR="004D7808" w:rsidRPr="00616F95">
        <w:t>Publicación de información sobre la puesta en servicio de redes de satélites en el sitio web de la UIT</w:t>
      </w:r>
    </w:p>
    <w:p w:rsidR="008C78B6" w:rsidRPr="00616F95" w:rsidRDefault="008C78B6" w:rsidP="00F6470E">
      <w:pPr>
        <w:pStyle w:val="Headingb"/>
        <w:rPr>
          <w:lang w:eastAsia="zh-CN"/>
        </w:rPr>
      </w:pPr>
      <w:r w:rsidRPr="00616F95">
        <w:rPr>
          <w:lang w:eastAsia="ko-KR"/>
        </w:rPr>
        <w:t>Introducción</w:t>
      </w:r>
    </w:p>
    <w:p w:rsidR="008C78B6" w:rsidRPr="00616F95" w:rsidRDefault="0000105A" w:rsidP="005F7437">
      <w:pPr>
        <w:rPr>
          <w:lang w:eastAsia="zh-CN"/>
        </w:rPr>
      </w:pPr>
      <w:r w:rsidRPr="00616F95">
        <w:rPr>
          <w:lang w:eastAsia="zh-CN"/>
        </w:rPr>
        <w:t xml:space="preserve">Con objeto de responder a este tema, en el </w:t>
      </w:r>
      <w:r w:rsidR="005F7437" w:rsidRPr="00616F95">
        <w:rPr>
          <w:lang w:eastAsia="zh-CN"/>
        </w:rPr>
        <w:t>I</w:t>
      </w:r>
      <w:r w:rsidRPr="00616F95">
        <w:rPr>
          <w:lang w:eastAsia="zh-CN"/>
        </w:rPr>
        <w:t>nforme de la RPC se proponen</w:t>
      </w:r>
      <w:r w:rsidRPr="00616F95">
        <w:rPr>
          <w:rStyle w:val="hps"/>
        </w:rPr>
        <w:t xml:space="preserve"> </w:t>
      </w:r>
      <w:r w:rsidR="00FB67AD" w:rsidRPr="00616F95">
        <w:rPr>
          <w:rStyle w:val="hps"/>
        </w:rPr>
        <w:t>tres</w:t>
      </w:r>
      <w:r w:rsidR="00FB67AD" w:rsidRPr="00616F95">
        <w:t xml:space="preserve"> </w:t>
      </w:r>
      <w:r w:rsidR="00FB67AD" w:rsidRPr="00616F95">
        <w:rPr>
          <w:rStyle w:val="hps"/>
        </w:rPr>
        <w:t>métodos</w:t>
      </w:r>
      <w:r w:rsidR="00FB67AD" w:rsidRPr="00616F95">
        <w:t xml:space="preserve"> </w:t>
      </w:r>
      <w:r w:rsidR="00FB67AD" w:rsidRPr="00616F95">
        <w:rPr>
          <w:rStyle w:val="hps"/>
        </w:rPr>
        <w:t>y,</w:t>
      </w:r>
      <w:r w:rsidR="00FB67AD" w:rsidRPr="00616F95">
        <w:t xml:space="preserve"> </w:t>
      </w:r>
      <w:r w:rsidR="00FB67AD" w:rsidRPr="00616F95">
        <w:rPr>
          <w:rStyle w:val="hps"/>
        </w:rPr>
        <w:t>para el Método</w:t>
      </w:r>
      <w:r w:rsidR="00FB67AD" w:rsidRPr="00616F95">
        <w:t xml:space="preserve"> </w:t>
      </w:r>
      <w:r w:rsidR="00FB67AD" w:rsidRPr="00616F95">
        <w:rPr>
          <w:rStyle w:val="hps"/>
        </w:rPr>
        <w:t>B1 y</w:t>
      </w:r>
      <w:r w:rsidR="00FB67AD" w:rsidRPr="00616F95">
        <w:t xml:space="preserve"> </w:t>
      </w:r>
      <w:r w:rsidR="00FB67AD" w:rsidRPr="00616F95">
        <w:rPr>
          <w:rStyle w:val="hps"/>
        </w:rPr>
        <w:t>B2,</w:t>
      </w:r>
      <w:r w:rsidR="00FB67AD" w:rsidRPr="00616F95">
        <w:t xml:space="preserve"> </w:t>
      </w:r>
      <w:r w:rsidR="00FB67AD" w:rsidRPr="00616F95">
        <w:rPr>
          <w:lang w:eastAsia="zh-CN"/>
        </w:rPr>
        <w:t>se examinan dos opciones.</w:t>
      </w:r>
      <w:r w:rsidR="00FB67AD" w:rsidRPr="00616F95">
        <w:t xml:space="preserve"> </w:t>
      </w:r>
      <w:r w:rsidR="00FB67AD" w:rsidRPr="00616F95">
        <w:rPr>
          <w:rStyle w:val="hps"/>
        </w:rPr>
        <w:t>China considera que</w:t>
      </w:r>
      <w:r w:rsidR="00FB67AD" w:rsidRPr="00616F95">
        <w:t xml:space="preserve"> </w:t>
      </w:r>
      <w:r w:rsidR="00FB67AD" w:rsidRPr="00616F95">
        <w:rPr>
          <w:rStyle w:val="hps"/>
        </w:rPr>
        <w:t>el Método</w:t>
      </w:r>
      <w:r w:rsidR="00FB67AD" w:rsidRPr="00616F95">
        <w:t xml:space="preserve"> </w:t>
      </w:r>
      <w:r w:rsidR="00FB67AD" w:rsidRPr="00616F95">
        <w:rPr>
          <w:rStyle w:val="hps"/>
        </w:rPr>
        <w:t>B3</w:t>
      </w:r>
      <w:r w:rsidR="00FB67AD" w:rsidRPr="00616F95">
        <w:t xml:space="preserve"> constituye la mejor opción para responder a</w:t>
      </w:r>
      <w:r w:rsidRPr="00616F95">
        <w:t xml:space="preserve"> este</w:t>
      </w:r>
      <w:r w:rsidR="00FB67AD" w:rsidRPr="00616F95">
        <w:rPr>
          <w:rStyle w:val="hps"/>
        </w:rPr>
        <w:t xml:space="preserve"> tema</w:t>
      </w:r>
      <w:r w:rsidR="00FB67AD" w:rsidRPr="00616F95">
        <w:t>.</w:t>
      </w:r>
    </w:p>
    <w:p w:rsidR="003A7884" w:rsidRPr="00616F95" w:rsidRDefault="00C645A9" w:rsidP="00F6470E">
      <w:pPr>
        <w:pStyle w:val="Headingb"/>
        <w:rPr>
          <w:lang w:eastAsia="zh-CN"/>
        </w:rPr>
      </w:pPr>
      <w:r w:rsidRPr="00616F95">
        <w:t>Propuesta</w:t>
      </w:r>
    </w:p>
    <w:p w:rsidR="00CB4C9E" w:rsidRPr="00616F95" w:rsidRDefault="0099486C" w:rsidP="00F6470E">
      <w:pPr>
        <w:pStyle w:val="Proposal"/>
      </w:pPr>
      <w:r w:rsidRPr="00616F95">
        <w:rPr>
          <w:u w:val="single"/>
        </w:rPr>
        <w:t>NOC</w:t>
      </w:r>
      <w:r w:rsidRPr="00616F95">
        <w:tab/>
        <w:t>CHN/62A21/2</w:t>
      </w:r>
    </w:p>
    <w:p w:rsidR="00F008F3" w:rsidRPr="00616F95" w:rsidRDefault="0099486C" w:rsidP="00F6470E">
      <w:pPr>
        <w:pStyle w:val="ArtNo"/>
      </w:pPr>
      <w:r w:rsidRPr="00616F95">
        <w:t xml:space="preserve">ARTÍCULO </w:t>
      </w:r>
      <w:r w:rsidRPr="00616F95">
        <w:rPr>
          <w:rStyle w:val="href"/>
        </w:rPr>
        <w:t>11</w:t>
      </w:r>
    </w:p>
    <w:p w:rsidR="00F008F3" w:rsidRPr="00616F95" w:rsidRDefault="0099486C" w:rsidP="00F6470E">
      <w:pPr>
        <w:pStyle w:val="Arttitle"/>
        <w:spacing w:before="120"/>
        <w:rPr>
          <w:bCs/>
        </w:rPr>
      </w:pPr>
      <w:r w:rsidRPr="00616F95">
        <w:t>Notificación e inscripción de asignaciones</w:t>
      </w:r>
      <w:r w:rsidRPr="00616F95">
        <w:br/>
        <w:t>de frecuencia</w:t>
      </w:r>
      <w:r w:rsidRPr="00616F95">
        <w:rPr>
          <w:rStyle w:val="FootnoteReference"/>
          <w:bCs/>
          <w:szCs w:val="18"/>
        </w:rPr>
        <w:t>1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2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3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4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5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6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7,</w:t>
      </w:r>
      <w:r w:rsidRPr="00616F95">
        <w:rPr>
          <w:bCs/>
          <w:position w:val="6"/>
          <w:sz w:val="18"/>
          <w:szCs w:val="18"/>
        </w:rPr>
        <w:t xml:space="preserve"> 7</w:t>
      </w:r>
      <w:r w:rsidRPr="00616F95">
        <w:rPr>
          <w:bCs/>
          <w:i/>
          <w:iCs/>
          <w:position w:val="6"/>
          <w:sz w:val="18"/>
          <w:szCs w:val="18"/>
        </w:rPr>
        <w:t>bis</w:t>
      </w:r>
      <w:r w:rsidRPr="00616F95">
        <w:rPr>
          <w:b w:val="0"/>
          <w:sz w:val="16"/>
        </w:rPr>
        <w:t>     (CMR</w:t>
      </w:r>
      <w:r w:rsidRPr="00616F95">
        <w:rPr>
          <w:b w:val="0"/>
          <w:sz w:val="16"/>
        </w:rPr>
        <w:noBreakHyphen/>
        <w:t>12)</w:t>
      </w:r>
    </w:p>
    <w:p w:rsidR="00CB4C9E" w:rsidRPr="00616F95" w:rsidRDefault="0099486C" w:rsidP="00CB3972">
      <w:pPr>
        <w:pStyle w:val="Reasons"/>
      </w:pPr>
      <w:r w:rsidRPr="00616F95">
        <w:rPr>
          <w:b/>
        </w:rPr>
        <w:t>Motivos:</w:t>
      </w:r>
      <w:r w:rsidRPr="00616F95">
        <w:tab/>
      </w:r>
      <w:r w:rsidR="00CB3972" w:rsidRPr="00616F95">
        <w:t xml:space="preserve">El Método B3 </w:t>
      </w:r>
      <w:r w:rsidR="00FB67AD" w:rsidRPr="00616F95">
        <w:t>no requ</w:t>
      </w:r>
      <w:r w:rsidR="004277C0" w:rsidRPr="00616F95">
        <w:t>er</w:t>
      </w:r>
      <w:r w:rsidR="00FB67AD" w:rsidRPr="00616F95">
        <w:t>iría</w:t>
      </w:r>
      <w:r w:rsidR="004277C0" w:rsidRPr="00616F95">
        <w:t xml:space="preserve"> la introducción de cambios específicos en el </w:t>
      </w:r>
      <w:r w:rsidR="007A1056" w:rsidRPr="00616F95">
        <w:t>Reglamento de Radiocomunicaciones</w:t>
      </w:r>
      <w:r w:rsidR="0000105A" w:rsidRPr="00616F95">
        <w:t>,</w:t>
      </w:r>
      <w:r w:rsidR="004277C0" w:rsidRPr="00616F95">
        <w:t xml:space="preserve"> pero tendría el mismo efecto que si se introdujesen modificaciones en el RR. </w:t>
      </w:r>
      <w:r w:rsidR="00FB67AD" w:rsidRPr="00616F95">
        <w:t>Además, e</w:t>
      </w:r>
      <w:r w:rsidR="004277C0" w:rsidRPr="00616F95">
        <w:t>sta</w:t>
      </w:r>
      <w:r w:rsidR="00FB67AD" w:rsidRPr="00616F95">
        <w:t xml:space="preserve"> práctica ha sido utilizada en anteriores </w:t>
      </w:r>
      <w:r w:rsidR="004277C0" w:rsidRPr="00616F95">
        <w:t xml:space="preserve">CMR, incluida la CMR-12, en las que los resultados de las decisiones de la Plenaria se </w:t>
      </w:r>
      <w:r w:rsidR="00FB67AD" w:rsidRPr="00616F95">
        <w:t>distribuyeron</w:t>
      </w:r>
      <w:r w:rsidR="004277C0" w:rsidRPr="00616F95">
        <w:t xml:space="preserve"> mediante carta circular.</w:t>
      </w:r>
    </w:p>
    <w:p w:rsidR="00A77489" w:rsidRPr="00616F95" w:rsidRDefault="00A77489" w:rsidP="00F6470E">
      <w:pPr>
        <w:pStyle w:val="Reasons"/>
      </w:pPr>
    </w:p>
    <w:p w:rsidR="00A77489" w:rsidRPr="00616F95" w:rsidRDefault="00A774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6F95">
        <w:br w:type="page"/>
      </w:r>
    </w:p>
    <w:p w:rsidR="00A77489" w:rsidRPr="00616F95" w:rsidRDefault="00A77489" w:rsidP="00F6470E">
      <w:pPr>
        <w:pStyle w:val="Reasons"/>
      </w:pPr>
    </w:p>
    <w:p w:rsidR="0074502D" w:rsidRPr="00616F95" w:rsidRDefault="003864FE" w:rsidP="00F6470E">
      <w:pPr>
        <w:pStyle w:val="Title3"/>
        <w:keepNext/>
        <w:rPr>
          <w:lang w:eastAsia="zh-CN"/>
        </w:rPr>
      </w:pPr>
      <w:r w:rsidRPr="00616F95">
        <w:t>Punto 7 del orden del día Tema C</w:t>
      </w:r>
    </w:p>
    <w:p w:rsidR="0074502D" w:rsidRPr="00616F95" w:rsidRDefault="0074502D" w:rsidP="00F6470E">
      <w:pPr>
        <w:rPr>
          <w:lang w:eastAsia="zh-CN"/>
        </w:rPr>
      </w:pPr>
      <w:r w:rsidRPr="00616F95">
        <w:t>7(</w:t>
      </w:r>
      <w:r w:rsidRPr="00616F95">
        <w:rPr>
          <w:lang w:eastAsia="zh-CN"/>
        </w:rPr>
        <w:t>C</w:t>
      </w:r>
      <w:r w:rsidRPr="00616F95">
        <w:t>)</w:t>
      </w:r>
      <w:r w:rsidRPr="00616F95">
        <w:tab/>
      </w:r>
      <w:r w:rsidR="00DD2321" w:rsidRPr="00616F95">
        <w:t>Tema</w:t>
      </w:r>
      <w:r w:rsidRPr="00616F95">
        <w:t xml:space="preserve"> </w:t>
      </w:r>
      <w:r w:rsidRPr="00616F95">
        <w:rPr>
          <w:lang w:eastAsia="zh-CN"/>
        </w:rPr>
        <w:t>C</w:t>
      </w:r>
      <w:r w:rsidRPr="00616F95">
        <w:t xml:space="preserve"> – </w:t>
      </w:r>
      <w:r w:rsidR="00DD2321" w:rsidRPr="00616F95">
        <w:t>Examen o posible cancelación del mecanismo de publicación anticipada para las redes de satélites sujetas a coordinación con arreglo a la Sección II del Artículo 9 del Reglamento de Radiocomunicaciones</w:t>
      </w:r>
    </w:p>
    <w:p w:rsidR="0074502D" w:rsidRPr="00616F95" w:rsidRDefault="00134704" w:rsidP="00F6470E">
      <w:pPr>
        <w:pStyle w:val="Headingb"/>
        <w:rPr>
          <w:lang w:eastAsia="zh-CN"/>
        </w:rPr>
      </w:pPr>
      <w:r w:rsidRPr="00616F95">
        <w:rPr>
          <w:lang w:eastAsia="ko-KR"/>
        </w:rPr>
        <w:t>Introducción</w:t>
      </w:r>
    </w:p>
    <w:p w:rsidR="0074502D" w:rsidRPr="00616F95" w:rsidRDefault="0000105A" w:rsidP="005F7437">
      <w:pPr>
        <w:rPr>
          <w:lang w:eastAsia="zh-CN"/>
        </w:rPr>
      </w:pPr>
      <w:r w:rsidRPr="00616F95">
        <w:rPr>
          <w:lang w:eastAsia="zh-CN"/>
        </w:rPr>
        <w:t xml:space="preserve">Con objeto de responder a este tema, en el </w:t>
      </w:r>
      <w:r w:rsidR="005F7437" w:rsidRPr="00616F95">
        <w:rPr>
          <w:lang w:eastAsia="zh-CN"/>
        </w:rPr>
        <w:t>I</w:t>
      </w:r>
      <w:r w:rsidRPr="00616F95">
        <w:rPr>
          <w:lang w:eastAsia="zh-CN"/>
        </w:rPr>
        <w:t>nforme de la RPC se proponen</w:t>
      </w:r>
      <w:r w:rsidR="00FB67AD" w:rsidRPr="00616F95">
        <w:rPr>
          <w:rStyle w:val="hps"/>
        </w:rPr>
        <w:t xml:space="preserve"> tres</w:t>
      </w:r>
      <w:r w:rsidR="00FB67AD" w:rsidRPr="00616F95">
        <w:t xml:space="preserve"> </w:t>
      </w:r>
      <w:r w:rsidR="00FB67AD" w:rsidRPr="00616F95">
        <w:rPr>
          <w:rStyle w:val="hps"/>
        </w:rPr>
        <w:t>métodos</w:t>
      </w:r>
      <w:r w:rsidR="00FB67AD" w:rsidRPr="00616F95">
        <w:t xml:space="preserve"> </w:t>
      </w:r>
      <w:r w:rsidR="00FB67AD" w:rsidRPr="00616F95">
        <w:rPr>
          <w:rStyle w:val="hps"/>
        </w:rPr>
        <w:t>y,</w:t>
      </w:r>
      <w:r w:rsidR="00FB67AD" w:rsidRPr="00616F95">
        <w:t xml:space="preserve"> </w:t>
      </w:r>
      <w:r w:rsidR="00FB67AD" w:rsidRPr="00616F95">
        <w:rPr>
          <w:rStyle w:val="hps"/>
        </w:rPr>
        <w:t>para el Método C2 y</w:t>
      </w:r>
      <w:r w:rsidR="00FB67AD" w:rsidRPr="00616F95">
        <w:t xml:space="preserve"> C3</w:t>
      </w:r>
      <w:r w:rsidR="00FB67AD" w:rsidRPr="00616F95">
        <w:rPr>
          <w:rStyle w:val="hps"/>
        </w:rPr>
        <w:t>,</w:t>
      </w:r>
      <w:r w:rsidR="00FB67AD" w:rsidRPr="00616F95">
        <w:t xml:space="preserve"> </w:t>
      </w:r>
      <w:r w:rsidR="00FB67AD" w:rsidRPr="00616F95">
        <w:rPr>
          <w:lang w:eastAsia="zh-CN"/>
        </w:rPr>
        <w:t>se examinan dos opciones.</w:t>
      </w:r>
      <w:r w:rsidR="00FB67AD" w:rsidRPr="00616F95">
        <w:t xml:space="preserve"> </w:t>
      </w:r>
      <w:r w:rsidR="00FB67AD" w:rsidRPr="00616F95">
        <w:rPr>
          <w:rStyle w:val="hps"/>
        </w:rPr>
        <w:t>China se declara partidaria del Método C1.</w:t>
      </w:r>
    </w:p>
    <w:p w:rsidR="0074502D" w:rsidRPr="00616F95" w:rsidRDefault="00C645A9" w:rsidP="00F6470E">
      <w:pPr>
        <w:pStyle w:val="Headingb"/>
        <w:rPr>
          <w:lang w:eastAsia="zh-CN"/>
        </w:rPr>
      </w:pPr>
      <w:r w:rsidRPr="00616F95">
        <w:t>Propuesta</w:t>
      </w:r>
    </w:p>
    <w:p w:rsidR="00CB4C9E" w:rsidRPr="00616F95" w:rsidRDefault="0099486C" w:rsidP="00F6470E">
      <w:pPr>
        <w:pStyle w:val="Proposal"/>
      </w:pPr>
      <w:r w:rsidRPr="00616F95">
        <w:rPr>
          <w:u w:val="single"/>
        </w:rPr>
        <w:t>NOC</w:t>
      </w:r>
      <w:r w:rsidRPr="00616F95">
        <w:tab/>
        <w:t>CHN/62A21/3</w:t>
      </w:r>
    </w:p>
    <w:p w:rsidR="00F008F3" w:rsidRPr="00616F95" w:rsidRDefault="0099486C" w:rsidP="00F6470E">
      <w:pPr>
        <w:pStyle w:val="ArtNo"/>
      </w:pPr>
      <w:r w:rsidRPr="00616F95">
        <w:t xml:space="preserve">ARTÍCULO </w:t>
      </w:r>
      <w:r w:rsidRPr="00616F95">
        <w:rPr>
          <w:rStyle w:val="href"/>
        </w:rPr>
        <w:t>9</w:t>
      </w:r>
    </w:p>
    <w:p w:rsidR="00F008F3" w:rsidRPr="00616F95" w:rsidRDefault="0099486C" w:rsidP="00F6470E">
      <w:pPr>
        <w:pStyle w:val="Arttitle"/>
        <w:rPr>
          <w:b w:val="0"/>
          <w:bCs/>
          <w:sz w:val="16"/>
        </w:rPr>
      </w:pPr>
      <w:r w:rsidRPr="00616F95">
        <w:t xml:space="preserve">Procedimiento para efectuar la coordinación u obtener el acuerdo </w:t>
      </w:r>
      <w:r w:rsidRPr="00616F95">
        <w:br/>
        <w:t>de otras administraciones</w:t>
      </w:r>
      <w:r w:rsidRPr="00616F95">
        <w:rPr>
          <w:rStyle w:val="FootnoteReference"/>
          <w:bCs/>
          <w:szCs w:val="18"/>
        </w:rPr>
        <w:t>1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2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3,</w:t>
      </w:r>
      <w:r w:rsidRPr="00616F95">
        <w:rPr>
          <w:bCs/>
          <w:position w:val="6"/>
          <w:sz w:val="18"/>
          <w:szCs w:val="18"/>
        </w:rPr>
        <w:t xml:space="preserve"> </w:t>
      </w:r>
      <w:r w:rsidRPr="00616F95">
        <w:rPr>
          <w:rStyle w:val="FootnoteReference"/>
          <w:bCs/>
          <w:szCs w:val="18"/>
        </w:rPr>
        <w:t>4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5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6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7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8, 8</w:t>
      </w:r>
      <w:r w:rsidRPr="00616F95">
        <w:rPr>
          <w:rStyle w:val="FootnoteReference"/>
          <w:bCs/>
          <w:i/>
          <w:iCs/>
          <w:szCs w:val="18"/>
        </w:rPr>
        <w:t>bis</w:t>
      </w:r>
      <w:r w:rsidRPr="00616F95">
        <w:rPr>
          <w:b w:val="0"/>
          <w:sz w:val="16"/>
          <w:szCs w:val="16"/>
        </w:rPr>
        <w:t>     </w:t>
      </w:r>
      <w:r w:rsidRPr="00616F95">
        <w:rPr>
          <w:b w:val="0"/>
          <w:sz w:val="16"/>
        </w:rPr>
        <w:t>(CMR-12)</w:t>
      </w:r>
    </w:p>
    <w:p w:rsidR="00CB4C9E" w:rsidRPr="00616F95" w:rsidRDefault="0099486C" w:rsidP="007A1056">
      <w:pPr>
        <w:pStyle w:val="Reasons"/>
      </w:pPr>
      <w:r w:rsidRPr="00616F95">
        <w:rPr>
          <w:b/>
        </w:rPr>
        <w:t>Motivos:</w:t>
      </w:r>
      <w:r w:rsidRPr="00616F95">
        <w:tab/>
      </w:r>
      <w:r w:rsidR="006D7D9D" w:rsidRPr="00616F95">
        <w:t xml:space="preserve">El </w:t>
      </w:r>
      <w:r w:rsidR="007D3AB8" w:rsidRPr="00616F95">
        <w:t>plazo de seis meses requerido entre la recepción por la Oficina de Radiocomunicaciones (BR) de una información para publicación anticipada (API) y la solicitud de coordinación correspondiente tenía</w:t>
      </w:r>
      <w:r w:rsidR="007A1056" w:rsidRPr="00616F95">
        <w:t xml:space="preserve"> por</w:t>
      </w:r>
      <w:r w:rsidR="007D3AB8" w:rsidRPr="00616F95">
        <w:t xml:space="preserve"> objet</w:t>
      </w:r>
      <w:r w:rsidR="007A1056" w:rsidRPr="00616F95">
        <w:t>o q</w:t>
      </w:r>
      <w:r w:rsidR="007D3AB8" w:rsidRPr="00616F95">
        <w:t xml:space="preserve">ue </w:t>
      </w:r>
      <w:r w:rsidR="00B041A6" w:rsidRPr="00616F95">
        <w:t>las posibles administraciones afectadas</w:t>
      </w:r>
      <w:r w:rsidR="007D3AB8" w:rsidRPr="00616F95">
        <w:t xml:space="preserve"> estudiasen y</w:t>
      </w:r>
      <w:r w:rsidR="00B041A6" w:rsidRPr="00616F95">
        <w:t xml:space="preserve"> </w:t>
      </w:r>
      <w:r w:rsidR="007D3AB8" w:rsidRPr="00616F95">
        <w:t xml:space="preserve">presentasen observaciones relativas a los datos de dicha API, así como que </w:t>
      </w:r>
      <w:r w:rsidR="00B041A6" w:rsidRPr="00616F95">
        <w:rPr>
          <w:rStyle w:val="hps"/>
        </w:rPr>
        <w:t>la administración</w:t>
      </w:r>
      <w:r w:rsidR="00B041A6" w:rsidRPr="00616F95">
        <w:t xml:space="preserve"> </w:t>
      </w:r>
      <w:r w:rsidR="00B041A6" w:rsidRPr="00616F95">
        <w:rPr>
          <w:rStyle w:val="hps"/>
        </w:rPr>
        <w:t>responsable de la</w:t>
      </w:r>
      <w:r w:rsidR="00B041A6" w:rsidRPr="00616F95">
        <w:t xml:space="preserve"> </w:t>
      </w:r>
      <w:r w:rsidR="00B041A6" w:rsidRPr="00616F95">
        <w:rPr>
          <w:rStyle w:val="hps"/>
        </w:rPr>
        <w:t>red de satélites propuesta</w:t>
      </w:r>
      <w:r w:rsidR="00B041A6" w:rsidRPr="00616F95">
        <w:t xml:space="preserve"> </w:t>
      </w:r>
      <w:r w:rsidR="007D3AB8" w:rsidRPr="00616F95">
        <w:t>tuviese en cuenta los comentarios de otras administraciones antes de presentar la petición de coordinación asociada.</w:t>
      </w:r>
    </w:p>
    <w:p w:rsidR="00F46A97" w:rsidRPr="00616F95" w:rsidRDefault="00F46A97" w:rsidP="007A1056">
      <w:pPr>
        <w:pStyle w:val="Reasons"/>
      </w:pPr>
    </w:p>
    <w:p w:rsidR="00F46A97" w:rsidRPr="00616F95" w:rsidRDefault="00F46A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6F95">
        <w:br w:type="page"/>
      </w:r>
    </w:p>
    <w:p w:rsidR="00FE77B3" w:rsidRPr="00616F95" w:rsidRDefault="00E12363" w:rsidP="00F6470E">
      <w:pPr>
        <w:pStyle w:val="Title3"/>
        <w:keepNext/>
        <w:rPr>
          <w:lang w:eastAsia="zh-CN"/>
        </w:rPr>
      </w:pPr>
      <w:r w:rsidRPr="00616F95">
        <w:lastRenderedPageBreak/>
        <w:t>Punto 7 del orden del día Tema H</w:t>
      </w:r>
    </w:p>
    <w:p w:rsidR="00FE77B3" w:rsidRPr="00616F95" w:rsidRDefault="00FE77B3" w:rsidP="00F6470E">
      <w:pPr>
        <w:rPr>
          <w:lang w:eastAsia="zh-CN"/>
        </w:rPr>
      </w:pPr>
      <w:r w:rsidRPr="00616F95">
        <w:t>7(</w:t>
      </w:r>
      <w:r w:rsidRPr="00616F95">
        <w:rPr>
          <w:lang w:eastAsia="zh-CN"/>
        </w:rPr>
        <w:t>H</w:t>
      </w:r>
      <w:r w:rsidRPr="00616F95">
        <w:t>)</w:t>
      </w:r>
      <w:r w:rsidRPr="00616F95">
        <w:tab/>
      </w:r>
      <w:r w:rsidR="00703950" w:rsidRPr="00616F95">
        <w:t xml:space="preserve">Tema </w:t>
      </w:r>
      <w:r w:rsidRPr="00616F95">
        <w:rPr>
          <w:lang w:eastAsia="zh-CN"/>
        </w:rPr>
        <w:t>H</w:t>
      </w:r>
      <w:r w:rsidRPr="00616F95">
        <w:t xml:space="preserve"> – </w:t>
      </w:r>
      <w:r w:rsidR="00703950" w:rsidRPr="00616F95">
        <w:t>Utilización de una estación espacial para poner en servicio asignaciones de frecuencias en posiciones orbitales diferentes dentro de un breve periodo de tiempo</w:t>
      </w:r>
    </w:p>
    <w:p w:rsidR="00FE77B3" w:rsidRPr="00616F95" w:rsidRDefault="00582627" w:rsidP="00F6470E">
      <w:pPr>
        <w:pStyle w:val="Headingb"/>
        <w:rPr>
          <w:lang w:eastAsia="zh-CN"/>
        </w:rPr>
      </w:pPr>
      <w:r w:rsidRPr="00616F95">
        <w:rPr>
          <w:lang w:eastAsia="ko-KR"/>
        </w:rPr>
        <w:t>Introducción</w:t>
      </w:r>
    </w:p>
    <w:p w:rsidR="00FE77B3" w:rsidRPr="00616F95" w:rsidRDefault="00B041A6" w:rsidP="005F7437">
      <w:pPr>
        <w:rPr>
          <w:lang w:eastAsia="zh-CN"/>
        </w:rPr>
      </w:pPr>
      <w:r w:rsidRPr="00616F95">
        <w:rPr>
          <w:lang w:eastAsia="zh-CN"/>
        </w:rPr>
        <w:t xml:space="preserve">En el </w:t>
      </w:r>
      <w:r w:rsidR="005F7437" w:rsidRPr="00616F95">
        <w:rPr>
          <w:lang w:eastAsia="zh-CN"/>
        </w:rPr>
        <w:t>I</w:t>
      </w:r>
      <w:r w:rsidRPr="00616F95">
        <w:rPr>
          <w:lang w:eastAsia="zh-CN"/>
        </w:rPr>
        <w:t xml:space="preserve">nforme de la RPC, se proponen seis métodos para responder a este tema. </w:t>
      </w:r>
      <w:r w:rsidRPr="00616F95">
        <w:rPr>
          <w:rStyle w:val="hps"/>
        </w:rPr>
        <w:t>China considera que</w:t>
      </w:r>
      <w:r w:rsidRPr="00616F95">
        <w:t xml:space="preserve"> </w:t>
      </w:r>
      <w:r w:rsidRPr="00616F95">
        <w:rPr>
          <w:rStyle w:val="hps"/>
        </w:rPr>
        <w:t>el Método</w:t>
      </w:r>
      <w:r w:rsidRPr="00616F95">
        <w:t xml:space="preserve"> </w:t>
      </w:r>
      <w:r w:rsidRPr="00616F95">
        <w:rPr>
          <w:rStyle w:val="hps"/>
        </w:rPr>
        <w:t>H2</w:t>
      </w:r>
      <w:r w:rsidRPr="00616F95">
        <w:t xml:space="preserve"> es el más</w:t>
      </w:r>
      <w:r w:rsidRPr="00616F95">
        <w:rPr>
          <w:rStyle w:val="hps"/>
        </w:rPr>
        <w:t xml:space="preserve"> adecuado</w:t>
      </w:r>
      <w:r w:rsidRPr="00616F95">
        <w:t xml:space="preserve"> </w:t>
      </w:r>
      <w:r w:rsidRPr="00616F95">
        <w:rPr>
          <w:rStyle w:val="hps"/>
        </w:rPr>
        <w:t>para abordar est</w:t>
      </w:r>
      <w:r w:rsidR="0000105A" w:rsidRPr="00616F95">
        <w:rPr>
          <w:rStyle w:val="hps"/>
        </w:rPr>
        <w:t>e</w:t>
      </w:r>
      <w:r w:rsidRPr="00616F95">
        <w:rPr>
          <w:rStyle w:val="hps"/>
        </w:rPr>
        <w:t xml:space="preserve"> tema</w:t>
      </w:r>
      <w:r w:rsidRPr="00616F95">
        <w:t>.</w:t>
      </w:r>
    </w:p>
    <w:p w:rsidR="00FE77B3" w:rsidRPr="00616F95" w:rsidRDefault="00D2405F" w:rsidP="00F6470E">
      <w:pPr>
        <w:pStyle w:val="Headingb"/>
        <w:rPr>
          <w:lang w:eastAsia="zh-CN"/>
        </w:rPr>
      </w:pPr>
      <w:r w:rsidRPr="00616F95">
        <w:t>Propuesta</w:t>
      </w:r>
    </w:p>
    <w:p w:rsidR="00CB4C9E" w:rsidRPr="00616F95" w:rsidRDefault="0099486C" w:rsidP="00F6470E">
      <w:pPr>
        <w:pStyle w:val="Proposal"/>
      </w:pPr>
      <w:r w:rsidRPr="00616F95">
        <w:rPr>
          <w:u w:val="single"/>
        </w:rPr>
        <w:t>NOC</w:t>
      </w:r>
      <w:r w:rsidRPr="00616F95">
        <w:tab/>
        <w:t>CHN/62A21/4</w:t>
      </w:r>
    </w:p>
    <w:p w:rsidR="00F008F3" w:rsidRPr="00616F95" w:rsidRDefault="0099486C" w:rsidP="00F6470E">
      <w:pPr>
        <w:pStyle w:val="ArtNo"/>
      </w:pPr>
      <w:r w:rsidRPr="00616F95">
        <w:t xml:space="preserve">ARTÍCULO </w:t>
      </w:r>
      <w:r w:rsidRPr="00616F95">
        <w:rPr>
          <w:rStyle w:val="href"/>
        </w:rPr>
        <w:t>11</w:t>
      </w:r>
    </w:p>
    <w:p w:rsidR="00F008F3" w:rsidRPr="00616F95" w:rsidRDefault="0099486C" w:rsidP="00F6470E">
      <w:pPr>
        <w:pStyle w:val="Arttitle"/>
        <w:spacing w:before="120"/>
        <w:rPr>
          <w:bCs/>
        </w:rPr>
      </w:pPr>
      <w:r w:rsidRPr="00616F95">
        <w:t>Notificación e inscripción de asignaciones</w:t>
      </w:r>
      <w:r w:rsidRPr="00616F95">
        <w:br/>
        <w:t>de frecuencia</w:t>
      </w:r>
      <w:r w:rsidRPr="00616F95">
        <w:rPr>
          <w:rStyle w:val="FootnoteReference"/>
          <w:bCs/>
          <w:szCs w:val="18"/>
        </w:rPr>
        <w:t>1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2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3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4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5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6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7,</w:t>
      </w:r>
      <w:r w:rsidRPr="00616F95">
        <w:rPr>
          <w:bCs/>
          <w:sz w:val="18"/>
          <w:szCs w:val="18"/>
        </w:rPr>
        <w:t xml:space="preserve"> </w:t>
      </w:r>
      <w:r w:rsidRPr="00616F95">
        <w:rPr>
          <w:bCs/>
          <w:position w:val="6"/>
          <w:sz w:val="18"/>
          <w:szCs w:val="18"/>
        </w:rPr>
        <w:t>7</w:t>
      </w:r>
      <w:r w:rsidRPr="00616F95">
        <w:rPr>
          <w:bCs/>
          <w:i/>
          <w:iCs/>
          <w:position w:val="6"/>
          <w:sz w:val="18"/>
          <w:szCs w:val="18"/>
        </w:rPr>
        <w:t>bis</w:t>
      </w:r>
      <w:r w:rsidRPr="00616F95">
        <w:rPr>
          <w:b w:val="0"/>
          <w:sz w:val="16"/>
        </w:rPr>
        <w:t>     (CMR</w:t>
      </w:r>
      <w:r w:rsidRPr="00616F95">
        <w:rPr>
          <w:b w:val="0"/>
          <w:sz w:val="16"/>
        </w:rPr>
        <w:noBreakHyphen/>
        <w:t>12)</w:t>
      </w:r>
    </w:p>
    <w:p w:rsidR="00F46A97" w:rsidRPr="00616F95" w:rsidRDefault="0099486C" w:rsidP="0000105A">
      <w:pPr>
        <w:pStyle w:val="Reasons"/>
      </w:pPr>
      <w:r w:rsidRPr="00616F95">
        <w:rPr>
          <w:b/>
        </w:rPr>
        <w:t>Motivos:</w:t>
      </w:r>
      <w:r w:rsidRPr="00616F95">
        <w:tab/>
      </w:r>
      <w:r w:rsidR="00B041A6" w:rsidRPr="00616F95">
        <w:t>P</w:t>
      </w:r>
      <w:r w:rsidR="00E67D45" w:rsidRPr="00616F95">
        <w:t>ueden existir razones legítimas por las que una administración u operador necesite desplazar un vehículo espacial de una posición orbital a otra</w:t>
      </w:r>
      <w:r w:rsidR="00B041A6" w:rsidRPr="00616F95">
        <w:t>,</w:t>
      </w:r>
      <w:r w:rsidR="00E67D45" w:rsidRPr="00616F95">
        <w:t xml:space="preserve"> y no se debe</w:t>
      </w:r>
      <w:r w:rsidR="0000105A" w:rsidRPr="00616F95">
        <w:t>ría</w:t>
      </w:r>
      <w:r w:rsidR="00E67D45" w:rsidRPr="00616F95">
        <w:t xml:space="preserve"> tratar de restringir la maniobrabilidad y gestión legítimas de los satélites.</w:t>
      </w:r>
      <w:r w:rsidR="00987F04" w:rsidRPr="00616F95">
        <w:t xml:space="preserve"> </w:t>
      </w:r>
      <w:r w:rsidR="00B041A6" w:rsidRPr="00616F95">
        <w:t>Entre dichos motivos puede figurar el rescate de un satélite averiado, el desplazamiento de un</w:t>
      </w:r>
      <w:r w:rsidR="00B041A6" w:rsidRPr="00616F95">
        <w:rPr>
          <w:rStyle w:val="hps"/>
        </w:rPr>
        <w:t xml:space="preserve"> satélite</w:t>
      </w:r>
      <w:r w:rsidR="00B041A6" w:rsidRPr="00616F95">
        <w:t xml:space="preserve"> </w:t>
      </w:r>
      <w:r w:rsidR="00B041A6" w:rsidRPr="00616F95">
        <w:rPr>
          <w:rStyle w:val="hps"/>
        </w:rPr>
        <w:t>reemplazado</w:t>
      </w:r>
      <w:r w:rsidR="00B041A6" w:rsidRPr="00616F95">
        <w:t xml:space="preserve"> </w:t>
      </w:r>
      <w:r w:rsidR="00B041A6" w:rsidRPr="00616F95">
        <w:rPr>
          <w:rStyle w:val="hps"/>
        </w:rPr>
        <w:t>a otra</w:t>
      </w:r>
      <w:r w:rsidR="00B041A6" w:rsidRPr="00616F95">
        <w:t xml:space="preserve"> </w:t>
      </w:r>
      <w:r w:rsidR="00B041A6" w:rsidRPr="00616F95">
        <w:rPr>
          <w:rStyle w:val="hps"/>
        </w:rPr>
        <w:t>posición orbital, o el reposicionamiento de un satélite</w:t>
      </w:r>
      <w:r w:rsidR="00B041A6" w:rsidRPr="00616F95">
        <w:t xml:space="preserve"> para garantizar que se cumplan las necesidades de servicio y cobertura.</w:t>
      </w:r>
      <w:r w:rsidR="002137BF" w:rsidRPr="00616F95">
        <w:rPr>
          <w:rFonts w:eastAsia="SimSun"/>
          <w:lang w:eastAsia="zh-CN"/>
        </w:rPr>
        <w:t xml:space="preserve"> </w:t>
      </w:r>
      <w:r w:rsidR="00B041A6" w:rsidRPr="00616F95">
        <w:rPr>
          <w:rFonts w:eastAsia="SimSun"/>
          <w:lang w:eastAsia="zh-CN"/>
        </w:rPr>
        <w:t>Además,</w:t>
      </w:r>
      <w:r w:rsidR="00987F04" w:rsidRPr="00616F95">
        <w:t xml:space="preserve"> existe un mecanismo para resolver la diferencia entre la utilización real y la información consignada en el Registro. La Oficina puede aplicar el número 13.6 del RR</w:t>
      </w:r>
      <w:r w:rsidR="00106FFB" w:rsidRPr="00616F95">
        <w:t xml:space="preserve"> con el fin de pedir aclaraciones a la </w:t>
      </w:r>
      <w:r w:rsidR="00106FFB" w:rsidRPr="00616F95">
        <w:rPr>
          <w:rStyle w:val="hps"/>
        </w:rPr>
        <w:t>administración, s</w:t>
      </w:r>
      <w:r w:rsidR="00987F04" w:rsidRPr="00616F95">
        <w:t xml:space="preserve">i la información fiable disponible parece </w:t>
      </w:r>
      <w:r w:rsidR="00106FFB" w:rsidRPr="00616F95">
        <w:t>diferir de los datos</w:t>
      </w:r>
      <w:r w:rsidR="00987F04" w:rsidRPr="00616F95">
        <w:t xml:space="preserve"> registrad</w:t>
      </w:r>
      <w:r w:rsidR="00106FFB" w:rsidRPr="00616F95">
        <w:t>os</w:t>
      </w:r>
      <w:r w:rsidR="00987F04" w:rsidRPr="00616F95">
        <w:t>.</w:t>
      </w:r>
    </w:p>
    <w:p w:rsidR="00F46A97" w:rsidRPr="00616F95" w:rsidRDefault="00F46A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46A97" w:rsidRPr="00616F95" w:rsidRDefault="00F46A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6F95">
        <w:br w:type="page"/>
      </w:r>
    </w:p>
    <w:p w:rsidR="00E32852" w:rsidRPr="00616F95" w:rsidRDefault="00E462E0" w:rsidP="00F6470E">
      <w:pPr>
        <w:pStyle w:val="Title3"/>
        <w:keepNext/>
        <w:rPr>
          <w:lang w:eastAsia="zh-CN"/>
        </w:rPr>
      </w:pPr>
      <w:r w:rsidRPr="00616F95">
        <w:lastRenderedPageBreak/>
        <w:t>Punto 7 del orden del día Tema I</w:t>
      </w:r>
    </w:p>
    <w:p w:rsidR="00E32852" w:rsidRPr="00616F95" w:rsidRDefault="00E32852" w:rsidP="00F6470E">
      <w:pPr>
        <w:jc w:val="both"/>
        <w:outlineLvl w:val="0"/>
        <w:rPr>
          <w:lang w:eastAsia="zh-CN"/>
        </w:rPr>
      </w:pPr>
      <w:r w:rsidRPr="00616F95">
        <w:t>7(</w:t>
      </w:r>
      <w:r w:rsidRPr="00616F95">
        <w:rPr>
          <w:lang w:eastAsia="zh-CN"/>
        </w:rPr>
        <w:t>I</w:t>
      </w:r>
      <w:r w:rsidRPr="00616F95">
        <w:t>)</w:t>
      </w:r>
      <w:r w:rsidRPr="00616F95">
        <w:tab/>
      </w:r>
      <w:r w:rsidR="009A3EA7" w:rsidRPr="00616F95">
        <w:t>Tema</w:t>
      </w:r>
      <w:r w:rsidRPr="00616F95">
        <w:t xml:space="preserve"> </w:t>
      </w:r>
      <w:r w:rsidRPr="00616F95">
        <w:rPr>
          <w:lang w:eastAsia="zh-CN"/>
        </w:rPr>
        <w:t>I</w:t>
      </w:r>
      <w:r w:rsidRPr="00616F95">
        <w:t xml:space="preserve"> – </w:t>
      </w:r>
      <w:r w:rsidR="009A3EA7" w:rsidRPr="00616F95">
        <w:t>Posible método para resolver el problema de la notificación excesiva de redes de satélite</w:t>
      </w:r>
    </w:p>
    <w:p w:rsidR="00E32852" w:rsidRPr="00616F95" w:rsidRDefault="001F29C1" w:rsidP="00F6470E">
      <w:pPr>
        <w:pStyle w:val="Headingb"/>
        <w:rPr>
          <w:lang w:eastAsia="zh-CN"/>
        </w:rPr>
      </w:pPr>
      <w:r w:rsidRPr="00616F95">
        <w:rPr>
          <w:lang w:eastAsia="ko-KR"/>
        </w:rPr>
        <w:t>Introducción</w:t>
      </w:r>
    </w:p>
    <w:p w:rsidR="00E32852" w:rsidRPr="00616F95" w:rsidRDefault="00306257" w:rsidP="005F7437">
      <w:pPr>
        <w:rPr>
          <w:rFonts w:eastAsia="SimSun"/>
          <w:lang w:eastAsia="zh-CN"/>
        </w:rPr>
      </w:pPr>
      <w:r w:rsidRPr="00616F95">
        <w:rPr>
          <w:rStyle w:val="hps"/>
        </w:rPr>
        <w:t>En el</w:t>
      </w:r>
      <w:r w:rsidRPr="00616F95">
        <w:t xml:space="preserve"> </w:t>
      </w:r>
      <w:r w:rsidRPr="00616F95">
        <w:rPr>
          <w:rStyle w:val="hps"/>
        </w:rPr>
        <w:t>Informe de la RPC</w:t>
      </w:r>
      <w:r w:rsidRPr="00616F95">
        <w:t xml:space="preserve">, se proponen </w:t>
      </w:r>
      <w:r w:rsidRPr="00616F95">
        <w:rPr>
          <w:rStyle w:val="hps"/>
        </w:rPr>
        <w:t>cuatro métodos</w:t>
      </w:r>
      <w:r w:rsidRPr="00616F95">
        <w:t xml:space="preserve"> para resolver el problema de la notificación excesiva de solicitudes de coordinación (CR/C), </w:t>
      </w:r>
      <w:r w:rsidRPr="00616F95">
        <w:rPr>
          <w:rStyle w:val="hps"/>
        </w:rPr>
        <w:t>y tres</w:t>
      </w:r>
      <w:r w:rsidRPr="00616F95">
        <w:t xml:space="preserve"> </w:t>
      </w:r>
      <w:r w:rsidRPr="00616F95">
        <w:rPr>
          <w:rStyle w:val="hps"/>
        </w:rPr>
        <w:t>métodos</w:t>
      </w:r>
      <w:r w:rsidR="00C811B0" w:rsidRPr="00616F95">
        <w:t xml:space="preserve"> para resolver el problema de la notificación</w:t>
      </w:r>
      <w:r w:rsidRPr="00616F95">
        <w:rPr>
          <w:rStyle w:val="hps"/>
        </w:rPr>
        <w:t xml:space="preserve"> excesiva de información de publicación anticipada (API).</w:t>
      </w:r>
      <w:r w:rsidRPr="00616F95">
        <w:t xml:space="preserve"> </w:t>
      </w:r>
      <w:r w:rsidRPr="00616F95">
        <w:rPr>
          <w:rStyle w:val="hps"/>
        </w:rPr>
        <w:t xml:space="preserve">China considera que </w:t>
      </w:r>
      <w:r w:rsidR="004E466B" w:rsidRPr="00616F95">
        <w:rPr>
          <w:rStyle w:val="hps"/>
        </w:rPr>
        <w:t xml:space="preserve">aún es </w:t>
      </w:r>
      <w:r w:rsidR="00C811B0" w:rsidRPr="00616F95">
        <w:rPr>
          <w:rStyle w:val="hps"/>
        </w:rPr>
        <w:t>necesario</w:t>
      </w:r>
      <w:r w:rsidR="004E466B" w:rsidRPr="00616F95">
        <w:rPr>
          <w:rStyle w:val="hps"/>
        </w:rPr>
        <w:t xml:space="preserve"> ahondar en el estudio de este tema,</w:t>
      </w:r>
      <w:r w:rsidR="004E466B" w:rsidRPr="00616F95">
        <w:rPr>
          <w:lang w:eastAsia="zh-CN"/>
        </w:rPr>
        <w:t xml:space="preserve"> con miras a desarrollar un método más adecuado. Por consiguiente,</w:t>
      </w:r>
      <w:r w:rsidR="00C811B0" w:rsidRPr="00616F95">
        <w:rPr>
          <w:lang w:eastAsia="zh-CN"/>
        </w:rPr>
        <w:t xml:space="preserve"> China</w:t>
      </w:r>
      <w:r w:rsidR="004E466B" w:rsidRPr="00616F95">
        <w:rPr>
          <w:lang w:eastAsia="zh-CN"/>
        </w:rPr>
        <w:t xml:space="preserve"> es partidaria </w:t>
      </w:r>
      <w:r w:rsidR="005F7437" w:rsidRPr="00616F95">
        <w:rPr>
          <w:lang w:eastAsia="zh-CN"/>
        </w:rPr>
        <w:t xml:space="preserve">de los métodos </w:t>
      </w:r>
      <w:r w:rsidR="005F7437" w:rsidRPr="00616F95">
        <w:rPr>
          <w:rStyle w:val="hps"/>
        </w:rPr>
        <w:t>I1.4</w:t>
      </w:r>
      <w:r w:rsidR="005F7437" w:rsidRPr="00616F95">
        <w:t xml:space="preserve"> </w:t>
      </w:r>
      <w:r w:rsidR="005F7437" w:rsidRPr="00616F95">
        <w:rPr>
          <w:rStyle w:val="hps"/>
        </w:rPr>
        <w:t>y</w:t>
      </w:r>
      <w:r w:rsidR="005F7437" w:rsidRPr="00616F95">
        <w:t xml:space="preserve"> </w:t>
      </w:r>
      <w:r w:rsidR="005F7437" w:rsidRPr="00616F95">
        <w:rPr>
          <w:rStyle w:val="hps"/>
        </w:rPr>
        <w:t xml:space="preserve">I2.1, es decir, </w:t>
      </w:r>
      <w:r w:rsidR="004E466B" w:rsidRPr="00616F95">
        <w:rPr>
          <w:lang w:eastAsia="zh-CN"/>
        </w:rPr>
        <w:t>de no introducir ningún cambio en el RR</w:t>
      </w:r>
      <w:r w:rsidRPr="00616F95">
        <w:rPr>
          <w:rStyle w:val="hps"/>
        </w:rPr>
        <w:t>.</w:t>
      </w:r>
    </w:p>
    <w:p w:rsidR="00E32852" w:rsidRPr="00616F95" w:rsidRDefault="001F29C1" w:rsidP="00F6470E">
      <w:pPr>
        <w:pStyle w:val="Headingb"/>
        <w:rPr>
          <w:lang w:eastAsia="zh-CN"/>
        </w:rPr>
      </w:pPr>
      <w:r w:rsidRPr="00616F95">
        <w:t>Propuestas</w:t>
      </w:r>
    </w:p>
    <w:p w:rsidR="00CB4C9E" w:rsidRPr="00616F95" w:rsidRDefault="0099486C" w:rsidP="00F6470E">
      <w:pPr>
        <w:pStyle w:val="Proposal"/>
      </w:pPr>
      <w:r w:rsidRPr="00616F95">
        <w:rPr>
          <w:u w:val="single"/>
        </w:rPr>
        <w:t>NOC</w:t>
      </w:r>
      <w:r w:rsidRPr="00616F95">
        <w:tab/>
        <w:t>CHN/62A21/5</w:t>
      </w:r>
    </w:p>
    <w:p w:rsidR="00F008F3" w:rsidRPr="00616F95" w:rsidRDefault="0099486C" w:rsidP="00F6470E">
      <w:pPr>
        <w:pStyle w:val="ArtNo"/>
      </w:pPr>
      <w:r w:rsidRPr="00616F95">
        <w:t xml:space="preserve">ARTÍCULO </w:t>
      </w:r>
      <w:r w:rsidRPr="00616F95">
        <w:rPr>
          <w:rStyle w:val="href"/>
        </w:rPr>
        <w:t>9</w:t>
      </w:r>
    </w:p>
    <w:p w:rsidR="00F008F3" w:rsidRPr="00616F95" w:rsidRDefault="0099486C" w:rsidP="00F6470E">
      <w:pPr>
        <w:pStyle w:val="Arttitle"/>
        <w:rPr>
          <w:b w:val="0"/>
          <w:bCs/>
          <w:sz w:val="16"/>
        </w:rPr>
      </w:pPr>
      <w:r w:rsidRPr="00616F95">
        <w:t xml:space="preserve">Procedimiento para efectuar la coordinación u obtener el acuerdo </w:t>
      </w:r>
      <w:r w:rsidRPr="00616F95">
        <w:br/>
        <w:t>de otras administraciones</w:t>
      </w:r>
      <w:r w:rsidRPr="00616F95">
        <w:rPr>
          <w:rStyle w:val="FootnoteReference"/>
          <w:bCs/>
          <w:szCs w:val="18"/>
        </w:rPr>
        <w:t>1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2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3,</w:t>
      </w:r>
      <w:r w:rsidRPr="00616F95">
        <w:rPr>
          <w:bCs/>
          <w:position w:val="6"/>
          <w:sz w:val="18"/>
          <w:szCs w:val="18"/>
        </w:rPr>
        <w:t xml:space="preserve"> </w:t>
      </w:r>
      <w:r w:rsidRPr="00616F95">
        <w:rPr>
          <w:rStyle w:val="FootnoteReference"/>
          <w:bCs/>
          <w:szCs w:val="18"/>
        </w:rPr>
        <w:t>4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5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6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7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8, 8</w:t>
      </w:r>
      <w:r w:rsidRPr="00616F95">
        <w:rPr>
          <w:rStyle w:val="FootnoteReference"/>
          <w:bCs/>
          <w:i/>
          <w:iCs/>
          <w:szCs w:val="18"/>
        </w:rPr>
        <w:t>bis</w:t>
      </w:r>
      <w:r w:rsidRPr="00616F95">
        <w:rPr>
          <w:b w:val="0"/>
          <w:sz w:val="16"/>
          <w:szCs w:val="16"/>
        </w:rPr>
        <w:t>     </w:t>
      </w:r>
      <w:r w:rsidRPr="00616F95">
        <w:rPr>
          <w:b w:val="0"/>
          <w:sz w:val="16"/>
        </w:rPr>
        <w:t>(CMR-12)</w:t>
      </w:r>
    </w:p>
    <w:p w:rsidR="00CB4C9E" w:rsidRPr="00616F95" w:rsidRDefault="0099486C" w:rsidP="00086E05">
      <w:pPr>
        <w:pStyle w:val="Reasons"/>
      </w:pPr>
      <w:r w:rsidRPr="00616F95">
        <w:rPr>
          <w:b/>
        </w:rPr>
        <w:t>Motivos:</w:t>
      </w:r>
      <w:r w:rsidRPr="00616F95">
        <w:tab/>
      </w:r>
      <w:r w:rsidR="00086E05" w:rsidRPr="00616F95">
        <w:t>Este punto suscita las mismas inquietudes que l</w:t>
      </w:r>
      <w:r w:rsidR="004E466B" w:rsidRPr="00616F95">
        <w:t>a revisión o posible cancelación del mecanismo de API</w:t>
      </w:r>
      <w:r w:rsidR="00086E05" w:rsidRPr="00616F95">
        <w:t xml:space="preserve"> (véase el tema C)</w:t>
      </w:r>
      <w:r w:rsidR="004E466B" w:rsidRPr="00616F95">
        <w:t>.</w:t>
      </w:r>
    </w:p>
    <w:p w:rsidR="00CB4C9E" w:rsidRPr="00616F95" w:rsidRDefault="0099486C" w:rsidP="00F6470E">
      <w:pPr>
        <w:pStyle w:val="Proposal"/>
      </w:pPr>
      <w:r w:rsidRPr="00616F95">
        <w:rPr>
          <w:u w:val="single"/>
        </w:rPr>
        <w:t>NOC</w:t>
      </w:r>
      <w:r w:rsidRPr="00616F95">
        <w:tab/>
        <w:t>CHN/62A21/6</w:t>
      </w:r>
    </w:p>
    <w:p w:rsidR="00F008F3" w:rsidRPr="00616F95" w:rsidRDefault="0099486C" w:rsidP="00F6470E">
      <w:pPr>
        <w:pStyle w:val="ArtNo"/>
      </w:pPr>
      <w:r w:rsidRPr="00616F95">
        <w:t xml:space="preserve">ARTÍCULO </w:t>
      </w:r>
      <w:r w:rsidRPr="00616F95">
        <w:rPr>
          <w:rStyle w:val="href"/>
        </w:rPr>
        <w:t>11</w:t>
      </w:r>
    </w:p>
    <w:p w:rsidR="00F008F3" w:rsidRPr="00616F95" w:rsidRDefault="0099486C" w:rsidP="00F6470E">
      <w:pPr>
        <w:pStyle w:val="Arttitle"/>
        <w:spacing w:before="120"/>
        <w:rPr>
          <w:bCs/>
        </w:rPr>
      </w:pPr>
      <w:r w:rsidRPr="00616F95">
        <w:t>Notificación e inscripción de asignaciones</w:t>
      </w:r>
      <w:r w:rsidRPr="00616F95">
        <w:br/>
        <w:t>de frecuencia</w:t>
      </w:r>
      <w:r w:rsidRPr="00616F95">
        <w:rPr>
          <w:rStyle w:val="FootnoteReference"/>
          <w:bCs/>
          <w:szCs w:val="18"/>
        </w:rPr>
        <w:t>1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2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3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4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5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6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7,</w:t>
      </w:r>
      <w:r w:rsidRPr="00616F95">
        <w:rPr>
          <w:bCs/>
          <w:sz w:val="18"/>
          <w:szCs w:val="18"/>
        </w:rPr>
        <w:t xml:space="preserve"> </w:t>
      </w:r>
      <w:r w:rsidRPr="00616F95">
        <w:rPr>
          <w:bCs/>
          <w:position w:val="6"/>
          <w:sz w:val="18"/>
          <w:szCs w:val="18"/>
        </w:rPr>
        <w:t>7</w:t>
      </w:r>
      <w:r w:rsidRPr="00616F95">
        <w:rPr>
          <w:bCs/>
          <w:i/>
          <w:iCs/>
          <w:position w:val="6"/>
          <w:sz w:val="18"/>
          <w:szCs w:val="18"/>
        </w:rPr>
        <w:t>bis</w:t>
      </w:r>
      <w:r w:rsidRPr="00616F95">
        <w:rPr>
          <w:b w:val="0"/>
          <w:sz w:val="16"/>
        </w:rPr>
        <w:t>     (CMR</w:t>
      </w:r>
      <w:r w:rsidRPr="00616F95">
        <w:rPr>
          <w:b w:val="0"/>
          <w:sz w:val="16"/>
        </w:rPr>
        <w:noBreakHyphen/>
        <w:t>12)</w:t>
      </w:r>
    </w:p>
    <w:p w:rsidR="00CB4C9E" w:rsidRPr="00616F95" w:rsidRDefault="0099486C" w:rsidP="00F6470E">
      <w:pPr>
        <w:pStyle w:val="Reasons"/>
      </w:pPr>
      <w:r w:rsidRPr="00616F95">
        <w:rPr>
          <w:b/>
        </w:rPr>
        <w:t>Motivos:</w:t>
      </w:r>
      <w:r w:rsidRPr="00616F95">
        <w:tab/>
      </w:r>
      <w:r w:rsidR="003C1B01" w:rsidRPr="00616F95">
        <w:t>Los efectos adversos de la introducción de una fase inicial de notificación no han sido analizados</w:t>
      </w:r>
      <w:r w:rsidR="00186700" w:rsidRPr="00616F95">
        <w:t>.</w:t>
      </w:r>
    </w:p>
    <w:p w:rsidR="00F46A97" w:rsidRPr="00616F95" w:rsidRDefault="00F46A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6F95">
        <w:br w:type="page"/>
      </w:r>
    </w:p>
    <w:p w:rsidR="00F77561" w:rsidRPr="00616F95" w:rsidRDefault="008140F0" w:rsidP="00F6470E">
      <w:pPr>
        <w:pStyle w:val="Title3"/>
        <w:keepNext/>
        <w:rPr>
          <w:lang w:eastAsia="zh-CN"/>
        </w:rPr>
      </w:pPr>
      <w:r w:rsidRPr="00616F95">
        <w:lastRenderedPageBreak/>
        <w:t>Punto 7 del orden del día Tema J</w:t>
      </w:r>
    </w:p>
    <w:p w:rsidR="00F77561" w:rsidRPr="00616F95" w:rsidRDefault="00F77561" w:rsidP="00F6470E">
      <w:pPr>
        <w:rPr>
          <w:lang w:eastAsia="zh-CN"/>
        </w:rPr>
      </w:pPr>
      <w:r w:rsidRPr="00616F95">
        <w:t>7(</w:t>
      </w:r>
      <w:r w:rsidRPr="00616F95">
        <w:rPr>
          <w:lang w:eastAsia="zh-CN"/>
        </w:rPr>
        <w:t>J</w:t>
      </w:r>
      <w:r w:rsidRPr="00616F95">
        <w:t>)</w:t>
      </w:r>
      <w:r w:rsidRPr="00616F95">
        <w:tab/>
      </w:r>
      <w:r w:rsidR="00316FCF" w:rsidRPr="00616F95">
        <w:t>Tema J – Supresión del vínculo entre la fecha de recepción de la información de notificación y la fecha de puesta en servicio del número 11.44B</w:t>
      </w:r>
    </w:p>
    <w:p w:rsidR="00F77561" w:rsidRPr="00616F95" w:rsidRDefault="0010414A" w:rsidP="00F6470E">
      <w:pPr>
        <w:pStyle w:val="Headingb"/>
        <w:rPr>
          <w:lang w:eastAsia="zh-CN"/>
        </w:rPr>
      </w:pPr>
      <w:r w:rsidRPr="00616F95">
        <w:rPr>
          <w:lang w:eastAsia="ko-KR"/>
        </w:rPr>
        <w:t>Introducción</w:t>
      </w:r>
    </w:p>
    <w:p w:rsidR="00F77561" w:rsidRPr="00616F95" w:rsidRDefault="00186700" w:rsidP="00F46A97">
      <w:pPr>
        <w:rPr>
          <w:rFonts w:eastAsia="SimSun"/>
          <w:lang w:eastAsia="zh-CN"/>
        </w:rPr>
      </w:pPr>
      <w:r w:rsidRPr="00616F95">
        <w:rPr>
          <w:rFonts w:eastAsia="SimSun"/>
          <w:lang w:eastAsia="zh-CN"/>
        </w:rPr>
        <w:t xml:space="preserve">El </w:t>
      </w:r>
      <w:r w:rsidR="0006689F" w:rsidRPr="00616F95">
        <w:rPr>
          <w:rFonts w:eastAsia="SimSun"/>
          <w:lang w:eastAsia="zh-CN"/>
        </w:rPr>
        <w:t>UIT-R estudió la cuestión y</w:t>
      </w:r>
      <w:r w:rsidRPr="00616F95">
        <w:rPr>
          <w:rFonts w:eastAsia="SimSun"/>
          <w:lang w:eastAsia="zh-CN"/>
        </w:rPr>
        <w:t>,</w:t>
      </w:r>
      <w:r w:rsidR="0006689F" w:rsidRPr="00616F95">
        <w:rPr>
          <w:rFonts w:eastAsia="SimSun"/>
          <w:lang w:eastAsia="zh-CN"/>
        </w:rPr>
        <w:t xml:space="preserve"> a continuación</w:t>
      </w:r>
      <w:r w:rsidRPr="00616F95">
        <w:rPr>
          <w:rFonts w:eastAsia="SimSun"/>
          <w:lang w:eastAsia="zh-CN"/>
        </w:rPr>
        <w:t>,</w:t>
      </w:r>
      <w:r w:rsidR="0006689F" w:rsidRPr="00616F95">
        <w:rPr>
          <w:rFonts w:eastAsia="SimSun"/>
          <w:lang w:eastAsia="zh-CN"/>
        </w:rPr>
        <w:t xml:space="preserve"> se incluye</w:t>
      </w:r>
      <w:r w:rsidRPr="00616F95">
        <w:rPr>
          <w:rFonts w:eastAsia="SimSun"/>
          <w:lang w:eastAsia="zh-CN"/>
        </w:rPr>
        <w:t>ro</w:t>
      </w:r>
      <w:r w:rsidR="0006689F" w:rsidRPr="00616F95">
        <w:rPr>
          <w:rFonts w:eastAsia="SimSun"/>
          <w:lang w:eastAsia="zh-CN"/>
        </w:rPr>
        <w:t>n dos métodos</w:t>
      </w:r>
      <w:r w:rsidRPr="00616F95">
        <w:rPr>
          <w:rFonts w:eastAsia="SimSun"/>
          <w:lang w:eastAsia="zh-CN"/>
        </w:rPr>
        <w:t xml:space="preserve"> en el Informe de la RPC</w:t>
      </w:r>
      <w:r w:rsidR="0006689F" w:rsidRPr="00616F95">
        <w:rPr>
          <w:rFonts w:eastAsia="SimSun"/>
          <w:lang w:eastAsia="zh-CN"/>
        </w:rPr>
        <w:t xml:space="preserve"> para responder a </w:t>
      </w:r>
      <w:r w:rsidR="000D4B39" w:rsidRPr="00616F95">
        <w:rPr>
          <w:rFonts w:eastAsia="SimSun"/>
          <w:lang w:eastAsia="zh-CN"/>
        </w:rPr>
        <w:t>este tema</w:t>
      </w:r>
      <w:r w:rsidR="00F77561" w:rsidRPr="00616F95">
        <w:rPr>
          <w:rFonts w:eastAsia="SimSun"/>
          <w:lang w:eastAsia="zh-CN"/>
        </w:rPr>
        <w:t xml:space="preserve">. China </w:t>
      </w:r>
      <w:r w:rsidRPr="00616F95">
        <w:rPr>
          <w:rFonts w:eastAsia="SimSun"/>
          <w:lang w:eastAsia="zh-CN"/>
        </w:rPr>
        <w:t>es partidaria del Método</w:t>
      </w:r>
      <w:r w:rsidR="00F77561" w:rsidRPr="00616F95">
        <w:rPr>
          <w:rFonts w:eastAsia="SimSun"/>
          <w:lang w:eastAsia="zh-CN"/>
        </w:rPr>
        <w:t xml:space="preserve"> J2.</w:t>
      </w:r>
    </w:p>
    <w:p w:rsidR="00F77561" w:rsidRPr="00616F95" w:rsidRDefault="0010414A" w:rsidP="00F6470E">
      <w:pPr>
        <w:pStyle w:val="Headingb"/>
        <w:rPr>
          <w:lang w:eastAsia="zh-CN"/>
        </w:rPr>
      </w:pPr>
      <w:r w:rsidRPr="00616F95">
        <w:t>Propuestas</w:t>
      </w:r>
    </w:p>
    <w:p w:rsidR="00CB4C9E" w:rsidRPr="00616F95" w:rsidRDefault="0099486C" w:rsidP="00F6470E">
      <w:pPr>
        <w:pStyle w:val="Proposal"/>
      </w:pPr>
      <w:r w:rsidRPr="00616F95">
        <w:rPr>
          <w:u w:val="single"/>
        </w:rPr>
        <w:t>NOC</w:t>
      </w:r>
      <w:r w:rsidRPr="00616F95">
        <w:tab/>
        <w:t>CHN/62A21/7</w:t>
      </w:r>
    </w:p>
    <w:p w:rsidR="00F008F3" w:rsidRPr="00616F95" w:rsidRDefault="0099486C" w:rsidP="00F6470E">
      <w:pPr>
        <w:pStyle w:val="ArtNo"/>
      </w:pPr>
      <w:r w:rsidRPr="00616F95">
        <w:t xml:space="preserve">ARTÍCULO </w:t>
      </w:r>
      <w:r w:rsidRPr="00616F95">
        <w:rPr>
          <w:rStyle w:val="href"/>
        </w:rPr>
        <w:t>11</w:t>
      </w:r>
    </w:p>
    <w:p w:rsidR="00F008F3" w:rsidRPr="00616F95" w:rsidRDefault="0099486C" w:rsidP="00F6470E">
      <w:pPr>
        <w:pStyle w:val="Arttitle"/>
        <w:spacing w:before="120"/>
        <w:rPr>
          <w:bCs/>
        </w:rPr>
      </w:pPr>
      <w:r w:rsidRPr="00616F95">
        <w:t>Notificación e inscripción de asignaciones</w:t>
      </w:r>
      <w:r w:rsidRPr="00616F95">
        <w:br/>
        <w:t>de frecuencia</w:t>
      </w:r>
      <w:r w:rsidRPr="00616F95">
        <w:rPr>
          <w:rStyle w:val="FootnoteReference"/>
          <w:bCs/>
          <w:szCs w:val="18"/>
        </w:rPr>
        <w:t>1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2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3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4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5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6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7,</w:t>
      </w:r>
      <w:r w:rsidRPr="00616F95">
        <w:rPr>
          <w:bCs/>
          <w:sz w:val="18"/>
          <w:szCs w:val="18"/>
        </w:rPr>
        <w:t xml:space="preserve"> </w:t>
      </w:r>
      <w:r w:rsidRPr="00616F95">
        <w:rPr>
          <w:bCs/>
          <w:position w:val="6"/>
          <w:sz w:val="18"/>
          <w:szCs w:val="18"/>
        </w:rPr>
        <w:t>7</w:t>
      </w:r>
      <w:r w:rsidRPr="00616F95">
        <w:rPr>
          <w:bCs/>
          <w:i/>
          <w:iCs/>
          <w:position w:val="6"/>
          <w:sz w:val="18"/>
          <w:szCs w:val="18"/>
        </w:rPr>
        <w:t>bis</w:t>
      </w:r>
      <w:r w:rsidRPr="00616F95">
        <w:rPr>
          <w:b w:val="0"/>
          <w:sz w:val="16"/>
        </w:rPr>
        <w:t>     (CMR</w:t>
      </w:r>
      <w:r w:rsidRPr="00616F95">
        <w:rPr>
          <w:b w:val="0"/>
          <w:sz w:val="16"/>
        </w:rPr>
        <w:noBreakHyphen/>
        <w:t>12)</w:t>
      </w:r>
    </w:p>
    <w:p w:rsidR="00CB4C9E" w:rsidRPr="00616F95" w:rsidRDefault="0099486C" w:rsidP="000D4B39">
      <w:pPr>
        <w:pStyle w:val="Reasons"/>
        <w:rPr>
          <w:rStyle w:val="hps"/>
        </w:rPr>
      </w:pPr>
      <w:r w:rsidRPr="00616F95">
        <w:rPr>
          <w:b/>
        </w:rPr>
        <w:t>Motivos:</w:t>
      </w:r>
      <w:r w:rsidRPr="00616F95">
        <w:tab/>
      </w:r>
      <w:r w:rsidR="00186700" w:rsidRPr="00616F95">
        <w:t xml:space="preserve">Se temen </w:t>
      </w:r>
      <w:r w:rsidR="00186700" w:rsidRPr="00616F95">
        <w:rPr>
          <w:rStyle w:val="hps"/>
        </w:rPr>
        <w:t>posibles</w:t>
      </w:r>
      <w:r w:rsidR="00186700" w:rsidRPr="00616F95">
        <w:t xml:space="preserve"> </w:t>
      </w:r>
      <w:r w:rsidR="00186700" w:rsidRPr="00616F95">
        <w:rPr>
          <w:rStyle w:val="hps"/>
        </w:rPr>
        <w:t>usos indebidos de las</w:t>
      </w:r>
      <w:r w:rsidR="00186700" w:rsidRPr="00616F95">
        <w:t xml:space="preserve"> </w:t>
      </w:r>
      <w:r w:rsidR="00186700" w:rsidRPr="00616F95">
        <w:rPr>
          <w:rStyle w:val="hps"/>
        </w:rPr>
        <w:t>disposiciones pertinentes</w:t>
      </w:r>
      <w:r w:rsidR="00186700" w:rsidRPr="00616F95">
        <w:t xml:space="preserve">, </w:t>
      </w:r>
      <w:r w:rsidR="000D4B39" w:rsidRPr="00616F95">
        <w:t xml:space="preserve">de conformidad con lo estipulado en </w:t>
      </w:r>
      <w:r w:rsidR="00186700" w:rsidRPr="00616F95">
        <w:rPr>
          <w:rStyle w:val="hps"/>
        </w:rPr>
        <w:t>el Método</w:t>
      </w:r>
      <w:r w:rsidR="00186700" w:rsidRPr="00616F95">
        <w:t xml:space="preserve"> </w:t>
      </w:r>
      <w:r w:rsidR="00186700" w:rsidRPr="00616F95">
        <w:rPr>
          <w:rStyle w:val="hps"/>
        </w:rPr>
        <w:t>J1</w:t>
      </w:r>
      <w:r w:rsidR="00186700" w:rsidRPr="00616F95">
        <w:t>, tales como el fomento de la</w:t>
      </w:r>
      <w:r w:rsidR="00186700" w:rsidRPr="00616F95">
        <w:rPr>
          <w:rStyle w:val="hps"/>
        </w:rPr>
        <w:t xml:space="preserve"> notificación</w:t>
      </w:r>
      <w:r w:rsidR="00186700" w:rsidRPr="00616F95">
        <w:t xml:space="preserve"> </w:t>
      </w:r>
      <w:r w:rsidR="00186700" w:rsidRPr="00616F95">
        <w:rPr>
          <w:rStyle w:val="hps"/>
        </w:rPr>
        <w:t>después de la puesta en servicio.</w:t>
      </w:r>
    </w:p>
    <w:p w:rsidR="00F46A97" w:rsidRPr="00616F95" w:rsidRDefault="00F46A97" w:rsidP="000D4B39">
      <w:pPr>
        <w:pStyle w:val="Reasons"/>
        <w:rPr>
          <w:rStyle w:val="hps"/>
        </w:rPr>
      </w:pPr>
    </w:p>
    <w:p w:rsidR="00F46A97" w:rsidRPr="00616F95" w:rsidRDefault="00F46A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6F95">
        <w:br w:type="page"/>
      </w:r>
    </w:p>
    <w:p w:rsidR="007D6089" w:rsidRPr="00616F95" w:rsidRDefault="00CA69E3" w:rsidP="00F6470E">
      <w:pPr>
        <w:pStyle w:val="Title3"/>
        <w:keepNext/>
        <w:rPr>
          <w:lang w:eastAsia="zh-CN"/>
        </w:rPr>
      </w:pPr>
      <w:r w:rsidRPr="00616F95">
        <w:lastRenderedPageBreak/>
        <w:t>Punto 7 del orden del día Tema K</w:t>
      </w:r>
    </w:p>
    <w:p w:rsidR="007D6089" w:rsidRPr="00616F95" w:rsidRDefault="007D6089" w:rsidP="00F6470E">
      <w:pPr>
        <w:rPr>
          <w:lang w:eastAsia="zh-CN"/>
        </w:rPr>
      </w:pPr>
      <w:r w:rsidRPr="00616F95">
        <w:t>7(</w:t>
      </w:r>
      <w:r w:rsidRPr="00616F95">
        <w:rPr>
          <w:lang w:eastAsia="zh-CN"/>
        </w:rPr>
        <w:t>K</w:t>
      </w:r>
      <w:r w:rsidRPr="00616F95">
        <w:t>)</w:t>
      </w:r>
      <w:r w:rsidRPr="00616F95">
        <w:tab/>
      </w:r>
      <w:r w:rsidR="00777E20" w:rsidRPr="00616F95">
        <w:t>Tema</w:t>
      </w:r>
      <w:r w:rsidRPr="00616F95">
        <w:t xml:space="preserve"> </w:t>
      </w:r>
      <w:r w:rsidRPr="00616F95">
        <w:rPr>
          <w:lang w:eastAsia="zh-CN"/>
        </w:rPr>
        <w:t>K</w:t>
      </w:r>
      <w:r w:rsidRPr="00616F95">
        <w:t xml:space="preserve"> – </w:t>
      </w:r>
      <w:r w:rsidR="00777E20" w:rsidRPr="00616F95">
        <w:t>Adición de una disposición reglamentaria en el Artículo 11 del RR relativa al caso de fallo de lanzamiento</w:t>
      </w:r>
    </w:p>
    <w:p w:rsidR="007D6089" w:rsidRPr="00616F95" w:rsidRDefault="00826E87" w:rsidP="00F6470E">
      <w:pPr>
        <w:pStyle w:val="Headingb"/>
        <w:rPr>
          <w:lang w:eastAsia="zh-CN"/>
        </w:rPr>
      </w:pPr>
      <w:r w:rsidRPr="00616F95">
        <w:rPr>
          <w:lang w:eastAsia="ko-KR"/>
        </w:rPr>
        <w:t>Introducción</w:t>
      </w:r>
    </w:p>
    <w:p w:rsidR="007D6089" w:rsidRPr="00616F95" w:rsidRDefault="00186700" w:rsidP="000D4B39">
      <w:pPr>
        <w:rPr>
          <w:rFonts w:eastAsia="SimSun"/>
          <w:lang w:eastAsia="zh-CN"/>
        </w:rPr>
      </w:pPr>
      <w:r w:rsidRPr="00616F95">
        <w:rPr>
          <w:lang w:eastAsia="zh-CN"/>
        </w:rPr>
        <w:t>E</w:t>
      </w:r>
      <w:r w:rsidR="005F7437" w:rsidRPr="00616F95">
        <w:rPr>
          <w:lang w:eastAsia="zh-CN"/>
        </w:rPr>
        <w:t>n el I</w:t>
      </w:r>
      <w:r w:rsidRPr="00616F95">
        <w:rPr>
          <w:lang w:eastAsia="zh-CN"/>
        </w:rPr>
        <w:t>nforme de la RPC, se proponen</w:t>
      </w:r>
      <w:r w:rsidRPr="00616F95">
        <w:rPr>
          <w:rStyle w:val="hps"/>
        </w:rPr>
        <w:t xml:space="preserve"> tres</w:t>
      </w:r>
      <w:r w:rsidRPr="00616F95">
        <w:t xml:space="preserve"> </w:t>
      </w:r>
      <w:r w:rsidRPr="00616F95">
        <w:rPr>
          <w:rStyle w:val="hps"/>
        </w:rPr>
        <w:t>métodos</w:t>
      </w:r>
      <w:r w:rsidRPr="00616F95">
        <w:t xml:space="preserve"> </w:t>
      </w:r>
      <w:r w:rsidRPr="00616F95">
        <w:rPr>
          <w:rStyle w:val="hps"/>
        </w:rPr>
        <w:t>para</w:t>
      </w:r>
      <w:r w:rsidRPr="00616F95">
        <w:rPr>
          <w:lang w:eastAsia="zh-CN"/>
        </w:rPr>
        <w:t xml:space="preserve"> r</w:t>
      </w:r>
      <w:r w:rsidR="000D4B39" w:rsidRPr="00616F95">
        <w:rPr>
          <w:lang w:eastAsia="zh-CN"/>
        </w:rPr>
        <w:t>esponder a</w:t>
      </w:r>
      <w:r w:rsidRPr="00616F95">
        <w:rPr>
          <w:lang w:eastAsia="zh-CN"/>
        </w:rPr>
        <w:t xml:space="preserve"> este tema.</w:t>
      </w:r>
      <w:r w:rsidRPr="00616F95">
        <w:t xml:space="preserve"> </w:t>
      </w:r>
      <w:r w:rsidR="000D4B39" w:rsidRPr="00616F95">
        <w:t xml:space="preserve">A tal efecto, </w:t>
      </w:r>
      <w:r w:rsidRPr="00616F95">
        <w:rPr>
          <w:rStyle w:val="hps"/>
        </w:rPr>
        <w:t>China considera que el Método K3 es el más adecuado.</w:t>
      </w:r>
    </w:p>
    <w:p w:rsidR="007D6089" w:rsidRPr="00616F95" w:rsidRDefault="00826E87" w:rsidP="00F6470E">
      <w:pPr>
        <w:pStyle w:val="Headingb"/>
        <w:rPr>
          <w:lang w:eastAsia="zh-CN"/>
        </w:rPr>
      </w:pPr>
      <w:r w:rsidRPr="00616F95">
        <w:t>Propuestas</w:t>
      </w:r>
    </w:p>
    <w:p w:rsidR="00CB4C9E" w:rsidRPr="00616F95" w:rsidRDefault="0099486C" w:rsidP="00F6470E">
      <w:pPr>
        <w:pStyle w:val="Proposal"/>
      </w:pPr>
      <w:r w:rsidRPr="00616F95">
        <w:rPr>
          <w:u w:val="single"/>
        </w:rPr>
        <w:t>NOC</w:t>
      </w:r>
      <w:r w:rsidRPr="00616F95">
        <w:tab/>
        <w:t>CHN/62A21/8</w:t>
      </w:r>
    </w:p>
    <w:p w:rsidR="00F008F3" w:rsidRPr="00616F95" w:rsidRDefault="0099486C" w:rsidP="00F6470E">
      <w:pPr>
        <w:pStyle w:val="ArtNo"/>
      </w:pPr>
      <w:r w:rsidRPr="00616F95">
        <w:t xml:space="preserve">ARTÍCULO </w:t>
      </w:r>
      <w:r w:rsidRPr="00616F95">
        <w:rPr>
          <w:rStyle w:val="href"/>
        </w:rPr>
        <w:t>11</w:t>
      </w:r>
    </w:p>
    <w:p w:rsidR="00F008F3" w:rsidRPr="00616F95" w:rsidRDefault="0099486C" w:rsidP="00F6470E">
      <w:pPr>
        <w:pStyle w:val="Arttitle"/>
        <w:spacing w:before="120"/>
        <w:rPr>
          <w:bCs/>
        </w:rPr>
      </w:pPr>
      <w:r w:rsidRPr="00616F95">
        <w:t>Notificación e inscripción de asignaciones</w:t>
      </w:r>
      <w:r w:rsidRPr="00616F95">
        <w:br/>
        <w:t>de frecuencia</w:t>
      </w:r>
      <w:r w:rsidRPr="00616F95">
        <w:rPr>
          <w:rStyle w:val="FootnoteReference"/>
          <w:bCs/>
          <w:szCs w:val="18"/>
        </w:rPr>
        <w:t>1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2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3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4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5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6</w:t>
      </w:r>
      <w:r w:rsidRPr="00616F95">
        <w:rPr>
          <w:bCs/>
          <w:position w:val="6"/>
          <w:sz w:val="18"/>
          <w:szCs w:val="18"/>
        </w:rPr>
        <w:t xml:space="preserve">, </w:t>
      </w:r>
      <w:r w:rsidRPr="00616F95">
        <w:rPr>
          <w:rStyle w:val="FootnoteReference"/>
          <w:bCs/>
          <w:szCs w:val="18"/>
        </w:rPr>
        <w:t>7,</w:t>
      </w:r>
      <w:r w:rsidRPr="00616F95">
        <w:rPr>
          <w:bCs/>
          <w:sz w:val="18"/>
          <w:szCs w:val="18"/>
        </w:rPr>
        <w:t xml:space="preserve"> </w:t>
      </w:r>
      <w:r w:rsidRPr="00616F95">
        <w:rPr>
          <w:bCs/>
          <w:position w:val="6"/>
          <w:sz w:val="18"/>
          <w:szCs w:val="18"/>
        </w:rPr>
        <w:t>7</w:t>
      </w:r>
      <w:r w:rsidRPr="00616F95">
        <w:rPr>
          <w:bCs/>
          <w:i/>
          <w:iCs/>
          <w:position w:val="6"/>
          <w:sz w:val="18"/>
          <w:szCs w:val="18"/>
        </w:rPr>
        <w:t>bis</w:t>
      </w:r>
      <w:r w:rsidRPr="00616F95">
        <w:rPr>
          <w:b w:val="0"/>
          <w:sz w:val="16"/>
        </w:rPr>
        <w:t>     (CMR</w:t>
      </w:r>
      <w:r w:rsidRPr="00616F95">
        <w:rPr>
          <w:b w:val="0"/>
          <w:sz w:val="16"/>
        </w:rPr>
        <w:noBreakHyphen/>
        <w:t>12)</w:t>
      </w:r>
    </w:p>
    <w:p w:rsidR="00CB4C9E" w:rsidRPr="00616F95" w:rsidRDefault="0099486C" w:rsidP="00F6470E">
      <w:pPr>
        <w:pStyle w:val="Reasons"/>
      </w:pPr>
      <w:r w:rsidRPr="00616F95">
        <w:rPr>
          <w:b/>
        </w:rPr>
        <w:t>Motivos:</w:t>
      </w:r>
      <w:r w:rsidRPr="00616F95">
        <w:tab/>
      </w:r>
      <w:r w:rsidR="00186700" w:rsidRPr="00616F95">
        <w:t xml:space="preserve">Las prácticas vigentes bastan para responder a este tema. </w:t>
      </w:r>
      <w:r w:rsidR="00312769" w:rsidRPr="00616F95">
        <w:t>En los estudios realizados h</w:t>
      </w:r>
      <w:r w:rsidR="00D83C62" w:rsidRPr="00616F95">
        <w:t>asta la fecha no</w:t>
      </w:r>
      <w:r w:rsidR="00312769" w:rsidRPr="00616F95">
        <w:t xml:space="preserve"> se abordan </w:t>
      </w:r>
      <w:r w:rsidR="00D83C62" w:rsidRPr="00616F95">
        <w:t>los problemas</w:t>
      </w:r>
      <w:r w:rsidR="00312769" w:rsidRPr="00616F95">
        <w:t xml:space="preserve"> eventuales, incluidos los</w:t>
      </w:r>
      <w:r w:rsidR="00D83C62" w:rsidRPr="00616F95">
        <w:t xml:space="preserve"> que conllevaría la aplicación de disposiciones relativas a un fallo de lanzamiento a los sistemas en órbitas no geoestacionarias, </w:t>
      </w:r>
      <w:r w:rsidR="00312769" w:rsidRPr="00616F95">
        <w:t xml:space="preserve">ni se determina </w:t>
      </w:r>
      <w:r w:rsidR="00D83C62" w:rsidRPr="00616F95">
        <w:t>si las disposiciones relativas al fallo de lanzamiento deben aplicarse a</w:t>
      </w:r>
      <w:r w:rsidR="00312769" w:rsidRPr="00616F95">
        <w:t xml:space="preserve"> </w:t>
      </w:r>
      <w:r w:rsidR="00D83C62" w:rsidRPr="00616F95">
        <w:t>l</w:t>
      </w:r>
      <w:r w:rsidR="00312769" w:rsidRPr="00616F95">
        <w:t>os</w:t>
      </w:r>
      <w:r w:rsidR="00D83C62" w:rsidRPr="00616F95">
        <w:t xml:space="preserve"> caso</w:t>
      </w:r>
      <w:r w:rsidR="00312769" w:rsidRPr="00616F95">
        <w:t>s</w:t>
      </w:r>
      <w:r w:rsidR="00D83C62" w:rsidRPr="00616F95">
        <w:t xml:space="preserve"> de nueva puesta en servicio</w:t>
      </w:r>
      <w:r w:rsidR="00312769" w:rsidRPr="00616F95">
        <w:t>,</w:t>
      </w:r>
      <w:r w:rsidR="00D83C62" w:rsidRPr="00616F95">
        <w:t xml:space="preserve"> o si dichas disposiciones deberían armonizarse con las ya existentes en los Apéndices 30, 30A y 30B del RR.</w:t>
      </w:r>
    </w:p>
    <w:p w:rsidR="00F46A97" w:rsidRPr="00616F95" w:rsidRDefault="00F46A97" w:rsidP="0032202E">
      <w:pPr>
        <w:pStyle w:val="Reasons"/>
      </w:pPr>
    </w:p>
    <w:p w:rsidR="00F46A97" w:rsidRPr="00616F95" w:rsidRDefault="00F46A97">
      <w:pPr>
        <w:jc w:val="center"/>
      </w:pPr>
      <w:r w:rsidRPr="00616F95">
        <w:t>______________</w:t>
      </w:r>
    </w:p>
    <w:sectPr w:rsidR="00F46A97" w:rsidRPr="00616F9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C1763F" w:rsidRDefault="0077084A">
    <w:pPr>
      <w:ind w:right="360"/>
    </w:pPr>
    <w:r>
      <w:fldChar w:fldCharType="begin"/>
    </w:r>
    <w:r w:rsidRPr="00C1763F">
      <w:instrText xml:space="preserve"> FILENAME \p  \* MERGEFORMAT </w:instrText>
    </w:r>
    <w:r>
      <w:fldChar w:fldCharType="separate"/>
    </w:r>
    <w:r w:rsidR="00476DA8">
      <w:rPr>
        <w:noProof/>
      </w:rPr>
      <w:t>P:\ESP\ITU-R\CONF-R\CMR15\000\062ADD21S.docx</w:t>
    </w:r>
    <w:r>
      <w:fldChar w:fldCharType="end"/>
    </w:r>
    <w:r w:rsidRPr="00C1763F">
      <w:tab/>
    </w:r>
    <w:r>
      <w:fldChar w:fldCharType="begin"/>
    </w:r>
    <w:r>
      <w:instrText xml:space="preserve"> SAVEDATE \@ DD.MM.YY </w:instrText>
    </w:r>
    <w:r>
      <w:fldChar w:fldCharType="separate"/>
    </w:r>
    <w:r w:rsidR="00476DA8">
      <w:rPr>
        <w:noProof/>
      </w:rPr>
      <w:t>28.10.15</w:t>
    </w:r>
    <w:r>
      <w:fldChar w:fldCharType="end"/>
    </w:r>
    <w:r w:rsidRPr="00C1763F">
      <w:tab/>
    </w:r>
    <w:r>
      <w:fldChar w:fldCharType="begin"/>
    </w:r>
    <w:r>
      <w:instrText xml:space="preserve"> PRINTDATE \@ DD.MM.YY </w:instrText>
    </w:r>
    <w:r>
      <w:fldChar w:fldCharType="separate"/>
    </w:r>
    <w:r w:rsidR="00476DA8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D6" w:rsidRPr="00987C12" w:rsidRDefault="00987C12" w:rsidP="00987C12">
    <w:pPr>
      <w:pStyle w:val="Footer"/>
    </w:pPr>
    <w:fldSimple w:instr=" FILENAME \p  \* MERGEFORMAT ">
      <w:r w:rsidR="00476DA8">
        <w:t>P:\ESP\ITU-R\CONF-R\CMR15\000\062ADD21S.docx</w:t>
      </w:r>
    </w:fldSimple>
    <w:r>
      <w:t xml:space="preserve"> (388519)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76DA8"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76DA8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987C12" w:rsidRDefault="00CB74B9" w:rsidP="00987C1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76DA8">
      <w:t>P:\ESP\ITU-R\CONF-R\CMR15\000\062ADD21S.docx</w:t>
    </w:r>
    <w:r>
      <w:fldChar w:fldCharType="end"/>
    </w:r>
    <w:r w:rsidR="00987C12">
      <w:t xml:space="preserve"> (388519)</w:t>
    </w:r>
    <w:r w:rsidR="00987C12">
      <w:tab/>
    </w:r>
    <w:r w:rsidR="00987C12">
      <w:fldChar w:fldCharType="begin"/>
    </w:r>
    <w:r w:rsidR="00987C12">
      <w:instrText xml:space="preserve"> SAVEDATE \@ DD.MM.YY </w:instrText>
    </w:r>
    <w:r w:rsidR="00987C12">
      <w:fldChar w:fldCharType="separate"/>
    </w:r>
    <w:r w:rsidR="00476DA8">
      <w:t>28.10.15</w:t>
    </w:r>
    <w:r w:rsidR="00987C12">
      <w:fldChar w:fldCharType="end"/>
    </w:r>
    <w:r w:rsidR="00987C12">
      <w:tab/>
    </w:r>
    <w:r w:rsidR="00987C12">
      <w:fldChar w:fldCharType="begin"/>
    </w:r>
    <w:r w:rsidR="00987C12">
      <w:instrText xml:space="preserve"> PRINTDATE \@ DD.MM.YY </w:instrText>
    </w:r>
    <w:r w:rsidR="00987C12">
      <w:fldChar w:fldCharType="separate"/>
    </w:r>
    <w:r w:rsidR="00476DA8">
      <w:t>28.10.15</w:t>
    </w:r>
    <w:r w:rsidR="00987C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74B9">
      <w:rPr>
        <w:rStyle w:val="PageNumber"/>
        <w:noProof/>
      </w:rPr>
      <w:t>7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62(Add.21)-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3CD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74D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58B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D46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3E0C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260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04E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843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A63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68E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105A"/>
    <w:rsid w:val="000161D2"/>
    <w:rsid w:val="0002785D"/>
    <w:rsid w:val="0006689F"/>
    <w:rsid w:val="00086E05"/>
    <w:rsid w:val="00087AE8"/>
    <w:rsid w:val="000A5B9A"/>
    <w:rsid w:val="000D4B39"/>
    <w:rsid w:val="000E5BF9"/>
    <w:rsid w:val="000F0E6D"/>
    <w:rsid w:val="0010414A"/>
    <w:rsid w:val="00106FFB"/>
    <w:rsid w:val="00116AAA"/>
    <w:rsid w:val="00121170"/>
    <w:rsid w:val="00123CC5"/>
    <w:rsid w:val="00134704"/>
    <w:rsid w:val="0015142D"/>
    <w:rsid w:val="001616DC"/>
    <w:rsid w:val="00163962"/>
    <w:rsid w:val="00186700"/>
    <w:rsid w:val="00191A97"/>
    <w:rsid w:val="001A083F"/>
    <w:rsid w:val="001A522E"/>
    <w:rsid w:val="001A7AB2"/>
    <w:rsid w:val="001C41FA"/>
    <w:rsid w:val="001E2B52"/>
    <w:rsid w:val="001E3F27"/>
    <w:rsid w:val="001F29C1"/>
    <w:rsid w:val="00201503"/>
    <w:rsid w:val="002137BF"/>
    <w:rsid w:val="00236D2A"/>
    <w:rsid w:val="00255F12"/>
    <w:rsid w:val="00262C09"/>
    <w:rsid w:val="00282864"/>
    <w:rsid w:val="002A791F"/>
    <w:rsid w:val="002C1B26"/>
    <w:rsid w:val="002C5D6C"/>
    <w:rsid w:val="002E701F"/>
    <w:rsid w:val="00306257"/>
    <w:rsid w:val="00312769"/>
    <w:rsid w:val="00316FCF"/>
    <w:rsid w:val="003248A9"/>
    <w:rsid w:val="00324FFA"/>
    <w:rsid w:val="0032680B"/>
    <w:rsid w:val="00363A65"/>
    <w:rsid w:val="003864FE"/>
    <w:rsid w:val="00392F5F"/>
    <w:rsid w:val="003A7884"/>
    <w:rsid w:val="003B1E8C"/>
    <w:rsid w:val="003B3464"/>
    <w:rsid w:val="003C1B01"/>
    <w:rsid w:val="003C2508"/>
    <w:rsid w:val="003D0AA3"/>
    <w:rsid w:val="00415768"/>
    <w:rsid w:val="004277C0"/>
    <w:rsid w:val="00440B3A"/>
    <w:rsid w:val="0045384C"/>
    <w:rsid w:val="00454553"/>
    <w:rsid w:val="00467C79"/>
    <w:rsid w:val="00476DA8"/>
    <w:rsid w:val="004A5399"/>
    <w:rsid w:val="004B124A"/>
    <w:rsid w:val="004D7808"/>
    <w:rsid w:val="004E466B"/>
    <w:rsid w:val="004F357C"/>
    <w:rsid w:val="005133B5"/>
    <w:rsid w:val="00527598"/>
    <w:rsid w:val="00532097"/>
    <w:rsid w:val="00556DFA"/>
    <w:rsid w:val="00582627"/>
    <w:rsid w:val="0058350F"/>
    <w:rsid w:val="00583C7E"/>
    <w:rsid w:val="005D46FB"/>
    <w:rsid w:val="005F2605"/>
    <w:rsid w:val="005F3B0E"/>
    <w:rsid w:val="005F559C"/>
    <w:rsid w:val="005F7437"/>
    <w:rsid w:val="00616F95"/>
    <w:rsid w:val="00662BA0"/>
    <w:rsid w:val="00692AAE"/>
    <w:rsid w:val="0069729B"/>
    <w:rsid w:val="006D6E67"/>
    <w:rsid w:val="006D7D9D"/>
    <w:rsid w:val="006E1A13"/>
    <w:rsid w:val="00701C20"/>
    <w:rsid w:val="00702F3D"/>
    <w:rsid w:val="00703950"/>
    <w:rsid w:val="0070518E"/>
    <w:rsid w:val="007137F2"/>
    <w:rsid w:val="007354E9"/>
    <w:rsid w:val="0074502D"/>
    <w:rsid w:val="00765578"/>
    <w:rsid w:val="0077084A"/>
    <w:rsid w:val="00777E20"/>
    <w:rsid w:val="007931D6"/>
    <w:rsid w:val="007952C7"/>
    <w:rsid w:val="007A1056"/>
    <w:rsid w:val="007C0B95"/>
    <w:rsid w:val="007C2317"/>
    <w:rsid w:val="007D330A"/>
    <w:rsid w:val="007D3AB8"/>
    <w:rsid w:val="007D6089"/>
    <w:rsid w:val="008140F0"/>
    <w:rsid w:val="00826E87"/>
    <w:rsid w:val="00866AE6"/>
    <w:rsid w:val="008750A8"/>
    <w:rsid w:val="00887C24"/>
    <w:rsid w:val="008C5FB7"/>
    <w:rsid w:val="008C78B6"/>
    <w:rsid w:val="008E5AF2"/>
    <w:rsid w:val="0090121B"/>
    <w:rsid w:val="009144C9"/>
    <w:rsid w:val="0094091F"/>
    <w:rsid w:val="00973754"/>
    <w:rsid w:val="00987C12"/>
    <w:rsid w:val="00987F04"/>
    <w:rsid w:val="0099486C"/>
    <w:rsid w:val="009A3EA7"/>
    <w:rsid w:val="009A5810"/>
    <w:rsid w:val="009C0BED"/>
    <w:rsid w:val="009D2D7F"/>
    <w:rsid w:val="009E11EC"/>
    <w:rsid w:val="00A039AC"/>
    <w:rsid w:val="00A118DB"/>
    <w:rsid w:val="00A4450C"/>
    <w:rsid w:val="00A77489"/>
    <w:rsid w:val="00A92CA9"/>
    <w:rsid w:val="00AA5E6C"/>
    <w:rsid w:val="00AB40BB"/>
    <w:rsid w:val="00AE5677"/>
    <w:rsid w:val="00AE658F"/>
    <w:rsid w:val="00AF2F78"/>
    <w:rsid w:val="00B041A6"/>
    <w:rsid w:val="00B239FA"/>
    <w:rsid w:val="00B352FE"/>
    <w:rsid w:val="00B51811"/>
    <w:rsid w:val="00B52D55"/>
    <w:rsid w:val="00B8288C"/>
    <w:rsid w:val="00BE2E80"/>
    <w:rsid w:val="00BE5EDD"/>
    <w:rsid w:val="00BE6A1F"/>
    <w:rsid w:val="00C126C4"/>
    <w:rsid w:val="00C1763F"/>
    <w:rsid w:val="00C63EB5"/>
    <w:rsid w:val="00C645A9"/>
    <w:rsid w:val="00C811B0"/>
    <w:rsid w:val="00CA69E3"/>
    <w:rsid w:val="00CB3972"/>
    <w:rsid w:val="00CB4C9E"/>
    <w:rsid w:val="00CB74B9"/>
    <w:rsid w:val="00CC01E0"/>
    <w:rsid w:val="00CD5FEE"/>
    <w:rsid w:val="00CE60D2"/>
    <w:rsid w:val="00CE7431"/>
    <w:rsid w:val="00CF07A6"/>
    <w:rsid w:val="00D0288A"/>
    <w:rsid w:val="00D2405F"/>
    <w:rsid w:val="00D72A5D"/>
    <w:rsid w:val="00D83C62"/>
    <w:rsid w:val="00DC629B"/>
    <w:rsid w:val="00DD2321"/>
    <w:rsid w:val="00E05BFF"/>
    <w:rsid w:val="00E12363"/>
    <w:rsid w:val="00E262F1"/>
    <w:rsid w:val="00E3176A"/>
    <w:rsid w:val="00E32852"/>
    <w:rsid w:val="00E462E0"/>
    <w:rsid w:val="00E54754"/>
    <w:rsid w:val="00E56BD3"/>
    <w:rsid w:val="00E67D45"/>
    <w:rsid w:val="00E71D14"/>
    <w:rsid w:val="00F34B03"/>
    <w:rsid w:val="00F46A97"/>
    <w:rsid w:val="00F6470E"/>
    <w:rsid w:val="00F66597"/>
    <w:rsid w:val="00F675D0"/>
    <w:rsid w:val="00F77561"/>
    <w:rsid w:val="00F8150C"/>
    <w:rsid w:val="00FB67AD"/>
    <w:rsid w:val="00FD79C7"/>
    <w:rsid w:val="00FE4574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EB47838-6B46-4AEA-A50A-06756CF2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CommentTextChar">
    <w:name w:val="Comment Text Char"/>
    <w:basedOn w:val="DefaultParagraphFont"/>
    <w:link w:val="CommentText"/>
    <w:semiHidden/>
    <w:rsid w:val="00B352FE"/>
    <w:rPr>
      <w:rFonts w:ascii="Times New Roman" w:hAnsi="Times New Roman"/>
      <w:lang w:val="es-ES_tradnl" w:eastAsia="en-US"/>
    </w:rPr>
  </w:style>
  <w:style w:type="character" w:customStyle="1" w:styleId="hps">
    <w:name w:val="hps"/>
    <w:basedOn w:val="DefaultParagraphFont"/>
    <w:rsid w:val="00FB67AD"/>
  </w:style>
  <w:style w:type="paragraph" w:styleId="BalloonText">
    <w:name w:val="Balloon Text"/>
    <w:basedOn w:val="Normal"/>
    <w:link w:val="BalloonTextChar"/>
    <w:semiHidden/>
    <w:unhideWhenUsed/>
    <w:rsid w:val="007A10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105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R15-WRC15-C-0062!A21!MSW-S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95FED-3C90-4CEB-AD29-F489BC9AA8BD}">
  <ds:schemaRefs>
    <ds:schemaRef ds:uri="http://www.w3.org/XML/1998/namespace"/>
    <ds:schemaRef ds:uri="http://purl.org/dc/elements/1.1/"/>
    <ds:schemaRef ds:uri="http://schemas.microsoft.com/office/2006/metadata/properties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0C5ECFE-3F99-4E2C-B848-37570FBF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1424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R15-WRC15-C-0062!A21!MSW-S</vt:lpstr>
    </vt:vector>
  </TitlesOfParts>
  <Manager>Secretaría General - Pool</Manager>
  <Company>Unión Internacional de Telecomunicaciones (UIT)</Company>
  <LinksUpToDate>false</LinksUpToDate>
  <CharactersWithSpaces>8818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R15-WRC15-C-0062!A21!MSW-S</dc:title>
  <dc:subject>Conferencia Mundial de Radiocomunicaciones - 2015</dc:subject>
  <dc:creator>Documents Proposals Manager (DPM)</dc:creator>
  <cp:keywords>DPM_v5.2015.10.271_prod</cp:keywords>
  <dc:description/>
  <cp:lastModifiedBy>Martinez Romera, Angel</cp:lastModifiedBy>
  <cp:revision>6</cp:revision>
  <cp:lastPrinted>2015-10-28T20:18:00Z</cp:lastPrinted>
  <dcterms:created xsi:type="dcterms:W3CDTF">2015-10-28T20:15:00Z</dcterms:created>
  <dcterms:modified xsi:type="dcterms:W3CDTF">2015-10-28T21:36:00Z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