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3413A7">
        <w:trPr>
          <w:cantSplit/>
        </w:trPr>
        <w:tc>
          <w:tcPr>
            <w:tcW w:w="6911" w:type="dxa"/>
          </w:tcPr>
          <w:p w:rsidR="00A066F1" w:rsidRPr="003413A7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413A7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3413A7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3413A7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3413A7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413A7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3413A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413A7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413A7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3413A7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3413A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3413A7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3413A7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3413A7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413A7" w:rsidRDefault="00A066F1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120" w:type="dxa"/>
            <w:shd w:val="clear" w:color="auto" w:fill="auto"/>
          </w:tcPr>
          <w:p w:rsidR="00A066F1" w:rsidRPr="003413A7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3413A7">
              <w:rPr>
                <w:rFonts w:ascii="Verdana" w:eastAsia="SimSun" w:hAnsi="Verdana" w:cs="Traditional Arabic"/>
                <w:b/>
                <w:sz w:val="20"/>
              </w:rPr>
              <w:t>Addendum 10 to</w:t>
            </w:r>
            <w:r w:rsidRPr="003413A7">
              <w:rPr>
                <w:rFonts w:ascii="Verdana" w:eastAsia="SimSun" w:hAnsi="Verdana" w:cs="Traditional Arabic"/>
                <w:b/>
                <w:sz w:val="20"/>
              </w:rPr>
              <w:br/>
              <w:t>Document 62</w:t>
            </w:r>
            <w:r w:rsidR="00A066F1" w:rsidRPr="003413A7">
              <w:rPr>
                <w:rFonts w:ascii="Verdana" w:hAnsi="Verdana"/>
                <w:b/>
                <w:sz w:val="20"/>
              </w:rPr>
              <w:t>-</w:t>
            </w:r>
            <w:r w:rsidR="005E10C9" w:rsidRPr="003413A7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3413A7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413A7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3413A7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3413A7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3413A7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413A7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3413A7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3413A7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3413A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3413A7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3413A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413A7" w:rsidRDefault="00884D60" w:rsidP="00E55816">
            <w:pPr>
              <w:pStyle w:val="Source"/>
            </w:pPr>
            <w:r w:rsidRPr="003413A7">
              <w:t>China (People's Republic of)</w:t>
            </w:r>
          </w:p>
        </w:tc>
      </w:tr>
      <w:tr w:rsidR="00E55816" w:rsidRPr="003413A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413A7" w:rsidRDefault="007D5320" w:rsidP="00E55816">
            <w:pPr>
              <w:pStyle w:val="Title1"/>
            </w:pPr>
            <w:r w:rsidRPr="003413A7">
              <w:t>Proposals for the work of the conference</w:t>
            </w:r>
          </w:p>
        </w:tc>
      </w:tr>
      <w:tr w:rsidR="00E55816" w:rsidRPr="003413A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413A7" w:rsidRDefault="00E55816" w:rsidP="00E55816">
            <w:pPr>
              <w:pStyle w:val="Title2"/>
            </w:pPr>
          </w:p>
        </w:tc>
      </w:tr>
      <w:tr w:rsidR="00A538A6" w:rsidRPr="003413A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3413A7" w:rsidRDefault="004B13CB" w:rsidP="004B13CB">
            <w:pPr>
              <w:pStyle w:val="Agendaitem"/>
              <w:rPr>
                <w:lang w:val="en-GB"/>
              </w:rPr>
            </w:pPr>
            <w:r w:rsidRPr="003413A7">
              <w:rPr>
                <w:lang w:val="en-GB"/>
              </w:rPr>
              <w:t>Agenda item 1.10</w:t>
            </w:r>
          </w:p>
        </w:tc>
      </w:tr>
    </w:tbl>
    <w:bookmarkEnd w:id="6"/>
    <w:bookmarkEnd w:id="7"/>
    <w:p w:rsidR="00C51699" w:rsidRDefault="00485332" w:rsidP="00C51699">
      <w:pPr>
        <w:overflowPunct/>
        <w:autoSpaceDE/>
        <w:autoSpaceDN/>
        <w:adjustRightInd/>
        <w:spacing w:before="100"/>
        <w:textAlignment w:val="auto"/>
      </w:pPr>
      <w:r w:rsidRPr="003413A7">
        <w:t>1.10</w:t>
      </w:r>
      <w:r w:rsidRPr="003413A7">
        <w:tab/>
        <w:t xml:space="preserve">to consider spectrum requirements and possible additional spectrum allocations for the mobile-satellite service in the Earth-to-space and space-to-Earth directions, including the satellite component for broadband applications, including International Mobile Telecommunications (IMT), within the frequency range from 22 GHz to 26 GHz, in accordance with Resolution </w:t>
      </w:r>
      <w:r w:rsidRPr="003413A7">
        <w:rPr>
          <w:b/>
          <w:bCs/>
        </w:rPr>
        <w:t>234 (WRC</w:t>
      </w:r>
      <w:r w:rsidRPr="003413A7">
        <w:rPr>
          <w:b/>
          <w:bCs/>
        </w:rPr>
        <w:noBreakHyphen/>
        <w:t>12)</w:t>
      </w:r>
      <w:r w:rsidRPr="003413A7">
        <w:t>;</w:t>
      </w:r>
    </w:p>
    <w:p w:rsidR="00254956" w:rsidRPr="003413A7" w:rsidRDefault="00254956" w:rsidP="00254956">
      <w:pPr>
        <w:overflowPunct/>
        <w:autoSpaceDE/>
        <w:autoSpaceDN/>
        <w:adjustRightInd/>
        <w:spacing w:before="0"/>
        <w:textAlignment w:val="auto"/>
      </w:pPr>
    </w:p>
    <w:p w:rsidR="0073247B" w:rsidRPr="00254956" w:rsidRDefault="0073247B" w:rsidP="00254956">
      <w:pPr>
        <w:pStyle w:val="Headingb"/>
        <w:rPr>
          <w:lang w:val="en-US" w:eastAsia="zh-CN"/>
        </w:rPr>
      </w:pPr>
      <w:r w:rsidRPr="00254956">
        <w:rPr>
          <w:lang w:val="en-US" w:eastAsia="ko-KR"/>
        </w:rPr>
        <w:t>Background</w:t>
      </w:r>
    </w:p>
    <w:p w:rsidR="0073247B" w:rsidRPr="003413A7" w:rsidRDefault="0073247B" w:rsidP="002D21E7">
      <w:pPr>
        <w:rPr>
          <w:lang w:eastAsia="zh-CN"/>
        </w:rPr>
      </w:pPr>
      <w:r w:rsidRPr="003413A7">
        <w:rPr>
          <w:lang w:eastAsia="zh-CN"/>
        </w:rPr>
        <w:t xml:space="preserve">Resolution 234 (WRC-12) </w:t>
      </w:r>
      <w:r w:rsidRPr="003413A7">
        <w:rPr>
          <w:i/>
          <w:iCs/>
          <w:lang w:eastAsia="zh-CN"/>
        </w:rPr>
        <w:t>resolves to invite ITU-R “to complete, for WRC-15, sharing and compatibility studies towards additional allocations to the mobile-satellite  service in the Earth-to-space and space-to-Earth directions, within portions of the bands between 22</w:t>
      </w:r>
      <w:r w:rsidR="002D21E7" w:rsidRPr="003413A7">
        <w:rPr>
          <w:i/>
          <w:iCs/>
          <w:lang w:eastAsia="zh-CN"/>
        </w:rPr>
        <w:t> </w:t>
      </w:r>
      <w:r w:rsidRPr="003413A7">
        <w:rPr>
          <w:i/>
          <w:iCs/>
          <w:lang w:eastAsia="zh-CN"/>
        </w:rPr>
        <w:t>GHz and 26</w:t>
      </w:r>
      <w:r w:rsidR="002D21E7" w:rsidRPr="003413A7">
        <w:rPr>
          <w:i/>
          <w:iCs/>
          <w:lang w:eastAsia="zh-CN"/>
        </w:rPr>
        <w:t> </w:t>
      </w:r>
      <w:r w:rsidRPr="003413A7">
        <w:rPr>
          <w:i/>
          <w:iCs/>
          <w:lang w:eastAsia="zh-CN"/>
        </w:rPr>
        <w:t>GHz, while ensuring protection of existing services within these bands as well as taking into account No.</w:t>
      </w:r>
      <w:r w:rsidR="002D21E7" w:rsidRPr="003413A7">
        <w:rPr>
          <w:b/>
          <w:bCs/>
          <w:i/>
          <w:iCs/>
          <w:lang w:eastAsia="zh-CN"/>
        </w:rPr>
        <w:t> </w:t>
      </w:r>
      <w:r w:rsidRPr="003413A7">
        <w:rPr>
          <w:b/>
          <w:bCs/>
          <w:i/>
          <w:iCs/>
          <w:lang w:eastAsia="zh-CN"/>
        </w:rPr>
        <w:t>5.340</w:t>
      </w:r>
      <w:r w:rsidRPr="003413A7">
        <w:rPr>
          <w:i/>
          <w:iCs/>
          <w:lang w:eastAsia="zh-CN"/>
        </w:rPr>
        <w:t xml:space="preserve"> and No.</w:t>
      </w:r>
      <w:r w:rsidRPr="003413A7">
        <w:rPr>
          <w:b/>
          <w:bCs/>
          <w:i/>
          <w:iCs/>
          <w:lang w:eastAsia="zh-CN"/>
        </w:rPr>
        <w:t xml:space="preserve"> 5.149</w:t>
      </w:r>
      <w:r w:rsidRPr="003413A7">
        <w:rPr>
          <w:lang w:eastAsia="zh-CN"/>
        </w:rPr>
        <w:t>”</w:t>
      </w:r>
      <w:r w:rsidR="002D21E7" w:rsidRPr="003413A7">
        <w:rPr>
          <w:lang w:eastAsia="zh-CN"/>
        </w:rPr>
        <w:t>.</w:t>
      </w:r>
    </w:p>
    <w:p w:rsidR="00404F9F" w:rsidRPr="003413A7" w:rsidRDefault="00404F9F" w:rsidP="002D21E7">
      <w:pPr>
        <w:rPr>
          <w:lang w:eastAsia="zh-CN"/>
        </w:rPr>
      </w:pPr>
      <w:r w:rsidRPr="003413A7">
        <w:rPr>
          <w:lang w:eastAsia="zh-CN"/>
        </w:rPr>
        <w:t>According to RR</w:t>
      </w:r>
      <w:r w:rsidR="00771115" w:rsidRPr="003413A7">
        <w:rPr>
          <w:lang w:eastAsia="zh-CN"/>
        </w:rPr>
        <w:t xml:space="preserve">, </w:t>
      </w:r>
      <w:r w:rsidR="00443A29" w:rsidRPr="003413A7">
        <w:rPr>
          <w:lang w:eastAsia="zh-CN"/>
        </w:rPr>
        <w:t>e</w:t>
      </w:r>
      <w:r w:rsidR="00771115" w:rsidRPr="003413A7">
        <w:rPr>
          <w:lang w:eastAsia="zh-CN"/>
        </w:rPr>
        <w:t>dition of 2012</w:t>
      </w:r>
      <w:r w:rsidRPr="003413A7">
        <w:rPr>
          <w:lang w:eastAsia="zh-CN"/>
        </w:rPr>
        <w:t>, the band</w:t>
      </w:r>
      <w:r w:rsidR="005C6DFA" w:rsidRPr="003413A7">
        <w:rPr>
          <w:lang w:eastAsia="zh-CN"/>
        </w:rPr>
        <w:t>s</w:t>
      </w:r>
      <w:r w:rsidRPr="003413A7">
        <w:rPr>
          <w:lang w:eastAsia="zh-CN"/>
        </w:rPr>
        <w:t xml:space="preserve"> between 22</w:t>
      </w:r>
      <w:r w:rsidR="002D21E7" w:rsidRPr="003413A7">
        <w:rPr>
          <w:lang w:eastAsia="zh-CN"/>
        </w:rPr>
        <w:t> </w:t>
      </w:r>
      <w:r w:rsidRPr="003413A7">
        <w:rPr>
          <w:lang w:eastAsia="zh-CN"/>
        </w:rPr>
        <w:t>GHz and 26</w:t>
      </w:r>
      <w:r w:rsidR="002D21E7" w:rsidRPr="003413A7">
        <w:rPr>
          <w:lang w:eastAsia="zh-CN"/>
        </w:rPr>
        <w:t> </w:t>
      </w:r>
      <w:r w:rsidRPr="003413A7">
        <w:rPr>
          <w:lang w:eastAsia="zh-CN"/>
        </w:rPr>
        <w:t xml:space="preserve">GHz </w:t>
      </w:r>
      <w:r w:rsidR="00E54BAC" w:rsidRPr="003413A7">
        <w:rPr>
          <w:lang w:eastAsia="zh-CN"/>
        </w:rPr>
        <w:t>are</w:t>
      </w:r>
      <w:r w:rsidRPr="003413A7">
        <w:rPr>
          <w:lang w:eastAsia="zh-CN"/>
        </w:rPr>
        <w:t xml:space="preserve"> alloca</w:t>
      </w:r>
      <w:r w:rsidR="007F3009" w:rsidRPr="003413A7">
        <w:rPr>
          <w:lang w:eastAsia="zh-CN"/>
        </w:rPr>
        <w:t>ted to the following services: radio a</w:t>
      </w:r>
      <w:r w:rsidRPr="003413A7">
        <w:rPr>
          <w:lang w:eastAsia="zh-CN"/>
        </w:rPr>
        <w:t>stronomy</w:t>
      </w:r>
      <w:r w:rsidR="0094201D" w:rsidRPr="003413A7">
        <w:rPr>
          <w:lang w:eastAsia="zh-CN"/>
        </w:rPr>
        <w:t xml:space="preserve"> service</w:t>
      </w:r>
      <w:r w:rsidR="007F3009" w:rsidRPr="003413A7">
        <w:rPr>
          <w:lang w:eastAsia="zh-CN"/>
        </w:rPr>
        <w:t xml:space="preserve">, </w:t>
      </w:r>
      <w:r w:rsidR="00EE2329" w:rsidRPr="003413A7">
        <w:rPr>
          <w:lang w:eastAsia="zh-CN"/>
        </w:rPr>
        <w:t>E</w:t>
      </w:r>
      <w:r w:rsidR="007F3009" w:rsidRPr="003413A7">
        <w:rPr>
          <w:lang w:eastAsia="zh-CN"/>
        </w:rPr>
        <w:t>arth exploration-satellite service, space research service, inter-satellite service, fixed-satellite service, amateur-s</w:t>
      </w:r>
      <w:r w:rsidRPr="003413A7">
        <w:rPr>
          <w:lang w:eastAsia="zh-CN"/>
        </w:rPr>
        <w:t>ate</w:t>
      </w:r>
      <w:r w:rsidR="007F3009" w:rsidRPr="003413A7">
        <w:rPr>
          <w:lang w:eastAsia="zh-CN"/>
        </w:rPr>
        <w:t>llite service, radiolocation-s</w:t>
      </w:r>
      <w:r w:rsidRPr="003413A7">
        <w:rPr>
          <w:lang w:eastAsia="zh-CN"/>
        </w:rPr>
        <w:t>atellite service</w:t>
      </w:r>
      <w:r w:rsidR="007F3009" w:rsidRPr="003413A7">
        <w:rPr>
          <w:lang w:eastAsia="zh-CN"/>
        </w:rPr>
        <w:t>, standard frequency and time signal-satellite service, amateur service, radiolocation service, radionavigation service, fixed service and mobile s</w:t>
      </w:r>
      <w:r w:rsidRPr="003413A7">
        <w:rPr>
          <w:lang w:eastAsia="zh-CN"/>
        </w:rPr>
        <w:t>ervice.</w:t>
      </w:r>
    </w:p>
    <w:p w:rsidR="007B37D8" w:rsidRPr="003413A7" w:rsidRDefault="007B37D8" w:rsidP="00254956">
      <w:pPr>
        <w:pStyle w:val="Headingb"/>
        <w:rPr>
          <w:lang w:eastAsia="zh-CN"/>
        </w:rPr>
      </w:pPr>
      <w:proofErr w:type="spellStart"/>
      <w:r w:rsidRPr="003413A7">
        <w:rPr>
          <w:lang w:eastAsia="zh-CN"/>
        </w:rPr>
        <w:lastRenderedPageBreak/>
        <w:t>Proposal</w:t>
      </w:r>
      <w:r w:rsidR="00254956">
        <w:rPr>
          <w:lang w:eastAsia="zh-CN"/>
        </w:rPr>
        <w:t>s</w:t>
      </w:r>
      <w:proofErr w:type="spellEnd"/>
    </w:p>
    <w:p w:rsidR="00167944" w:rsidRPr="003413A7" w:rsidRDefault="00167944" w:rsidP="002D21E7">
      <w:pPr>
        <w:rPr>
          <w:lang w:eastAsia="zh-CN"/>
        </w:rPr>
      </w:pPr>
      <w:r w:rsidRPr="003413A7">
        <w:rPr>
          <w:lang w:eastAsia="zh-CN"/>
        </w:rPr>
        <w:t>According to the present compatibility studies, it is not feasible for many frequency bands between 22</w:t>
      </w:r>
      <w:r w:rsidR="002D21E7" w:rsidRPr="003413A7">
        <w:rPr>
          <w:lang w:eastAsia="zh-CN"/>
        </w:rPr>
        <w:t> </w:t>
      </w:r>
      <w:r w:rsidRPr="003413A7">
        <w:rPr>
          <w:lang w:eastAsia="zh-CN"/>
        </w:rPr>
        <w:t>GHz and 26</w:t>
      </w:r>
      <w:r w:rsidR="002D21E7" w:rsidRPr="003413A7">
        <w:rPr>
          <w:lang w:eastAsia="zh-CN"/>
        </w:rPr>
        <w:t> </w:t>
      </w:r>
      <w:r w:rsidRPr="003413A7">
        <w:rPr>
          <w:lang w:eastAsia="zh-CN"/>
        </w:rPr>
        <w:t>GHz, such as the bands allocated to the radio astronomy service, Earth exploration-satellite service etc., to be allocated to MSS.</w:t>
      </w:r>
    </w:p>
    <w:p w:rsidR="007B37D8" w:rsidRPr="003413A7" w:rsidRDefault="00167944" w:rsidP="002D21E7">
      <w:r w:rsidRPr="003413A7">
        <w:rPr>
          <w:lang w:eastAsia="zh-CN"/>
        </w:rPr>
        <w:t xml:space="preserve">Considering the result of the compatibility analysis, the Chinese Administration’s view on </w:t>
      </w:r>
      <w:r w:rsidR="007B37D8" w:rsidRPr="003413A7">
        <w:rPr>
          <w:lang w:eastAsia="zh-CN"/>
        </w:rPr>
        <w:t xml:space="preserve">WRC-15 agenda item 1.10 </w:t>
      </w:r>
      <w:r w:rsidR="001736D9" w:rsidRPr="003413A7">
        <w:rPr>
          <w:lang w:eastAsia="zh-CN"/>
        </w:rPr>
        <w:t>is to support Method A in</w:t>
      </w:r>
      <w:r w:rsidR="00510A4E" w:rsidRPr="003413A7">
        <w:rPr>
          <w:lang w:eastAsia="zh-CN"/>
        </w:rPr>
        <w:t xml:space="preserve"> the CPM R</w:t>
      </w:r>
      <w:r w:rsidR="007B37D8" w:rsidRPr="003413A7">
        <w:rPr>
          <w:lang w:eastAsia="zh-CN"/>
        </w:rPr>
        <w:t>eport</w:t>
      </w:r>
      <w:r w:rsidR="001736D9" w:rsidRPr="003413A7">
        <w:rPr>
          <w:lang w:eastAsia="zh-CN"/>
        </w:rPr>
        <w:t>.</w:t>
      </w:r>
    </w:p>
    <w:p w:rsidR="00187BD9" w:rsidRPr="003413A7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413A7">
        <w:br w:type="page"/>
      </w:r>
    </w:p>
    <w:p w:rsidR="009B463A" w:rsidRPr="003413A7" w:rsidRDefault="00485332" w:rsidP="009B463A">
      <w:pPr>
        <w:pStyle w:val="ArtNo"/>
      </w:pPr>
      <w:bookmarkStart w:id="8" w:name="_Toc327956582"/>
      <w:r w:rsidRPr="003413A7">
        <w:lastRenderedPageBreak/>
        <w:t xml:space="preserve">ARTICLE </w:t>
      </w:r>
      <w:r w:rsidRPr="003413A7">
        <w:rPr>
          <w:rStyle w:val="href"/>
          <w:rFonts w:eastAsiaTheme="majorEastAsia"/>
          <w:color w:val="000000"/>
        </w:rPr>
        <w:t>5</w:t>
      </w:r>
      <w:bookmarkEnd w:id="8"/>
    </w:p>
    <w:p w:rsidR="009B463A" w:rsidRPr="003413A7" w:rsidRDefault="00485332" w:rsidP="009B463A">
      <w:pPr>
        <w:pStyle w:val="Arttitle"/>
      </w:pPr>
      <w:bookmarkStart w:id="9" w:name="_Toc327956583"/>
      <w:r w:rsidRPr="003413A7">
        <w:t>Frequency allocations</w:t>
      </w:r>
      <w:bookmarkEnd w:id="9"/>
    </w:p>
    <w:p w:rsidR="009B463A" w:rsidRPr="003413A7" w:rsidRDefault="00485332" w:rsidP="009B463A">
      <w:pPr>
        <w:pStyle w:val="Section1"/>
        <w:keepNext/>
      </w:pPr>
      <w:r w:rsidRPr="003413A7">
        <w:t>Section IV – Table of Frequency Allocations</w:t>
      </w:r>
      <w:r w:rsidRPr="003413A7">
        <w:br/>
      </w:r>
      <w:r w:rsidRPr="003413A7">
        <w:rPr>
          <w:b w:val="0"/>
          <w:bCs/>
        </w:rPr>
        <w:t xml:space="preserve">(See No. </w:t>
      </w:r>
      <w:r w:rsidRPr="003413A7">
        <w:t>2.1</w:t>
      </w:r>
      <w:r w:rsidRPr="003413A7">
        <w:rPr>
          <w:b w:val="0"/>
          <w:bCs/>
        </w:rPr>
        <w:t>)</w:t>
      </w:r>
      <w:r w:rsidRPr="003413A7">
        <w:rPr>
          <w:b w:val="0"/>
          <w:bCs/>
        </w:rPr>
        <w:br/>
      </w:r>
      <w:r w:rsidRPr="003413A7">
        <w:br/>
      </w:r>
    </w:p>
    <w:p w:rsidR="00F15002" w:rsidRPr="003413A7" w:rsidRDefault="00485332">
      <w:pPr>
        <w:pStyle w:val="Proposal"/>
      </w:pPr>
      <w:r w:rsidRPr="003413A7">
        <w:rPr>
          <w:u w:val="single"/>
        </w:rPr>
        <w:t>NOC</w:t>
      </w:r>
      <w:r w:rsidRPr="003413A7">
        <w:tab/>
        <w:t>CHN/62A10/1</w:t>
      </w:r>
    </w:p>
    <w:p w:rsidR="009B463A" w:rsidRPr="003413A7" w:rsidRDefault="00485332" w:rsidP="009B463A">
      <w:pPr>
        <w:pStyle w:val="Tabletitle"/>
      </w:pPr>
      <w:r w:rsidRPr="003413A7">
        <w:t>22-24.75 GHz</w:t>
      </w:r>
    </w:p>
    <w:tbl>
      <w:tblPr>
        <w:tblW w:w="0" w:type="auto"/>
        <w:jc w:val="center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3413A7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head"/>
            </w:pPr>
            <w:r w:rsidRPr="003413A7">
              <w:t>Allocation to services</w:t>
            </w:r>
          </w:p>
        </w:tc>
      </w:tr>
      <w:tr w:rsidR="009B463A" w:rsidRPr="003413A7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3413A7" w:rsidRDefault="00485332" w:rsidP="00477577">
            <w:pPr>
              <w:pStyle w:val="Tablehead"/>
            </w:pPr>
            <w:r w:rsidRPr="003413A7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3413A7" w:rsidRDefault="00485332" w:rsidP="00477577">
            <w:pPr>
              <w:pStyle w:val="Tablehead"/>
            </w:pPr>
            <w:r w:rsidRPr="003413A7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head"/>
            </w:pPr>
            <w:r w:rsidRPr="003413A7">
              <w:t>Region 3</w:t>
            </w:r>
          </w:p>
        </w:tc>
      </w:tr>
      <w:tr w:rsidR="009B463A" w:rsidRPr="00254956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54956" w:rsidRDefault="00485332" w:rsidP="00477577">
            <w:pPr>
              <w:pStyle w:val="TableTextS5"/>
              <w:spacing w:before="20" w:after="0"/>
              <w:rPr>
                <w:color w:val="000000"/>
                <w:lang w:val="fr-CH"/>
              </w:rPr>
            </w:pPr>
            <w:r w:rsidRPr="00254956">
              <w:rPr>
                <w:rStyle w:val="Tablefreq"/>
                <w:lang w:val="fr-CH"/>
              </w:rPr>
              <w:t>22-22.21</w:t>
            </w:r>
            <w:r w:rsidRPr="00254956">
              <w:rPr>
                <w:color w:val="000000"/>
                <w:lang w:val="fr-CH"/>
              </w:rPr>
              <w:tab/>
            </w:r>
            <w:r w:rsidRPr="00254956">
              <w:rPr>
                <w:color w:val="000000"/>
                <w:lang w:val="fr-CH"/>
              </w:rPr>
              <w:tab/>
              <w:t>FIXED</w:t>
            </w:r>
          </w:p>
          <w:p w:rsidR="009B463A" w:rsidRPr="00254956" w:rsidRDefault="00485332" w:rsidP="00477577">
            <w:pPr>
              <w:pStyle w:val="TableTextS5"/>
              <w:spacing w:before="20" w:after="0"/>
              <w:rPr>
                <w:color w:val="000000"/>
                <w:lang w:val="fr-CH"/>
              </w:rPr>
            </w:pPr>
            <w:r w:rsidRPr="00254956">
              <w:rPr>
                <w:color w:val="000000"/>
                <w:lang w:val="fr-CH"/>
              </w:rPr>
              <w:tab/>
            </w:r>
            <w:r w:rsidRPr="00254956">
              <w:rPr>
                <w:color w:val="000000"/>
                <w:lang w:val="fr-CH"/>
              </w:rPr>
              <w:tab/>
            </w:r>
            <w:r w:rsidRPr="00254956">
              <w:rPr>
                <w:color w:val="000000"/>
                <w:lang w:val="fr-CH"/>
              </w:rPr>
              <w:tab/>
            </w:r>
            <w:r w:rsidRPr="00254956">
              <w:rPr>
                <w:color w:val="000000"/>
                <w:lang w:val="fr-CH"/>
              </w:rPr>
              <w:tab/>
              <w:t xml:space="preserve">MOBILE </w:t>
            </w:r>
            <w:proofErr w:type="spellStart"/>
            <w:r w:rsidRPr="00254956">
              <w:rPr>
                <w:color w:val="000000"/>
                <w:lang w:val="fr-CH"/>
              </w:rPr>
              <w:t>except</w:t>
            </w:r>
            <w:proofErr w:type="spellEnd"/>
            <w:r w:rsidRPr="00254956">
              <w:rPr>
                <w:color w:val="000000"/>
                <w:lang w:val="fr-CH"/>
              </w:rPr>
              <w:t xml:space="preserve"> </w:t>
            </w:r>
            <w:proofErr w:type="spellStart"/>
            <w:r w:rsidRPr="00254956">
              <w:rPr>
                <w:color w:val="000000"/>
                <w:lang w:val="fr-CH"/>
              </w:rPr>
              <w:t>aeronautical</w:t>
            </w:r>
            <w:proofErr w:type="spellEnd"/>
            <w:r w:rsidRPr="00254956">
              <w:rPr>
                <w:color w:val="000000"/>
                <w:lang w:val="fr-CH"/>
              </w:rPr>
              <w:t xml:space="preserve"> mobile</w:t>
            </w:r>
          </w:p>
          <w:p w:rsidR="009B463A" w:rsidRPr="00254956" w:rsidRDefault="00485332" w:rsidP="00477577">
            <w:pPr>
              <w:pStyle w:val="TableTextS5"/>
              <w:spacing w:before="20" w:after="0"/>
              <w:rPr>
                <w:color w:val="000000"/>
                <w:lang w:val="fr-CH"/>
              </w:rPr>
            </w:pPr>
            <w:r w:rsidRPr="00254956">
              <w:rPr>
                <w:color w:val="000000"/>
                <w:lang w:val="fr-CH"/>
              </w:rPr>
              <w:tab/>
            </w:r>
            <w:r w:rsidRPr="00254956">
              <w:rPr>
                <w:color w:val="000000"/>
                <w:lang w:val="fr-CH"/>
              </w:rPr>
              <w:tab/>
            </w:r>
            <w:r w:rsidRPr="00254956">
              <w:rPr>
                <w:color w:val="000000"/>
                <w:lang w:val="fr-CH"/>
              </w:rPr>
              <w:tab/>
            </w:r>
            <w:r w:rsidRPr="00254956">
              <w:rPr>
                <w:color w:val="000000"/>
                <w:lang w:val="fr-CH"/>
              </w:rPr>
              <w:tab/>
            </w:r>
            <w:r w:rsidRPr="00254956">
              <w:rPr>
                <w:rStyle w:val="Artref"/>
                <w:color w:val="000000"/>
                <w:lang w:val="fr-CH"/>
              </w:rPr>
              <w:t>5.149</w:t>
            </w:r>
          </w:p>
        </w:tc>
      </w:tr>
      <w:tr w:rsidR="009B463A" w:rsidRPr="003413A7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rStyle w:val="Tablefreq"/>
              </w:rPr>
              <w:t>22.21-22.5</w:t>
            </w:r>
            <w:r w:rsidRPr="003413A7">
              <w:rPr>
                <w:color w:val="000000"/>
              </w:rPr>
              <w:tab/>
              <w:t>EARTH EXPLORATION-SATELLITE (passive)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  <w:t>FIXED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  <w:t>MOBILE except aeronautical mobile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  <w:t>RADIO ASTRONOMY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  <w:t>SPACE RESEARCH (passive)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rStyle w:val="Artref"/>
                <w:color w:val="000000"/>
              </w:rPr>
              <w:t>5.149</w:t>
            </w:r>
            <w:r w:rsidRPr="003413A7">
              <w:rPr>
                <w:color w:val="000000"/>
              </w:rPr>
              <w:t xml:space="preserve">  </w:t>
            </w:r>
            <w:r w:rsidRPr="003413A7">
              <w:rPr>
                <w:rStyle w:val="Artref"/>
                <w:color w:val="000000"/>
              </w:rPr>
              <w:t>5.532</w:t>
            </w:r>
          </w:p>
        </w:tc>
      </w:tr>
      <w:tr w:rsidR="009B463A" w:rsidRPr="003413A7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rStyle w:val="Tablefreq"/>
              </w:rPr>
              <w:t>22.5-22.55</w:t>
            </w:r>
            <w:r w:rsidRPr="003413A7">
              <w:rPr>
                <w:color w:val="000000"/>
              </w:rPr>
              <w:tab/>
              <w:t>FIXED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  <w:t>MOBILE</w:t>
            </w:r>
          </w:p>
        </w:tc>
      </w:tr>
      <w:tr w:rsidR="009B463A" w:rsidRPr="003413A7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3A" w:rsidRPr="003413A7" w:rsidRDefault="00485332" w:rsidP="00477577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color w:val="000000"/>
              </w:rPr>
            </w:pPr>
            <w:r w:rsidRPr="003413A7">
              <w:rPr>
                <w:rStyle w:val="Tablefreq"/>
              </w:rPr>
              <w:t>22.55-23.15</w:t>
            </w:r>
            <w:r w:rsidRPr="003413A7">
              <w:rPr>
                <w:color w:val="000000"/>
              </w:rPr>
              <w:tab/>
              <w:t>FIXED</w:t>
            </w:r>
          </w:p>
          <w:p w:rsidR="009B463A" w:rsidRPr="003413A7" w:rsidRDefault="00485332" w:rsidP="00477577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  <w:t>INTER-SATELLITE  5.338A</w:t>
            </w:r>
          </w:p>
          <w:p w:rsidR="009B463A" w:rsidRPr="003413A7" w:rsidRDefault="00485332" w:rsidP="00477577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  <w:t>MOBILE</w:t>
            </w:r>
          </w:p>
          <w:p w:rsidR="009B463A" w:rsidRPr="003413A7" w:rsidRDefault="00485332" w:rsidP="00477577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  <w:t>SPACE RESEARCH (Earth-to-space)  5.532A</w:t>
            </w:r>
          </w:p>
          <w:p w:rsidR="009B463A" w:rsidRPr="003413A7" w:rsidRDefault="00485332" w:rsidP="00477577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rStyle w:val="Tablefreq"/>
              </w:rPr>
            </w:pPr>
            <w:r w:rsidRPr="003413A7">
              <w:rPr>
                <w:rStyle w:val="Artref"/>
                <w:color w:val="000000"/>
              </w:rPr>
              <w:tab/>
              <w:t>5.149</w:t>
            </w:r>
          </w:p>
        </w:tc>
      </w:tr>
      <w:tr w:rsidR="009B463A" w:rsidRPr="003413A7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3A" w:rsidRPr="003413A7" w:rsidRDefault="00485332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color w:val="000000"/>
              </w:rPr>
            </w:pPr>
            <w:r w:rsidRPr="003413A7">
              <w:rPr>
                <w:rStyle w:val="Tablefreq"/>
              </w:rPr>
              <w:t>23.15-23.55</w:t>
            </w:r>
            <w:r w:rsidRPr="003413A7">
              <w:rPr>
                <w:color w:val="000000"/>
              </w:rPr>
              <w:tab/>
              <w:t>FIXED</w:t>
            </w:r>
          </w:p>
          <w:p w:rsidR="009B463A" w:rsidRPr="003413A7" w:rsidRDefault="00485332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  <w:t>INTER-SATELLITE  5.338A</w:t>
            </w:r>
          </w:p>
          <w:p w:rsidR="009B463A" w:rsidRPr="003413A7" w:rsidRDefault="00485332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rStyle w:val="Tablefreq"/>
              </w:rPr>
            </w:pPr>
            <w:r w:rsidRPr="003413A7">
              <w:rPr>
                <w:color w:val="000000"/>
              </w:rPr>
              <w:tab/>
              <w:t>MOBILE</w:t>
            </w:r>
          </w:p>
        </w:tc>
      </w:tr>
      <w:tr w:rsidR="009B463A" w:rsidRPr="003413A7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rStyle w:val="Tablefreq"/>
              </w:rPr>
              <w:t>23.55-23.6</w:t>
            </w:r>
            <w:r w:rsidRPr="003413A7">
              <w:rPr>
                <w:color w:val="000000"/>
              </w:rPr>
              <w:tab/>
              <w:t>FIXED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  <w:t>MOBILE</w:t>
            </w:r>
          </w:p>
        </w:tc>
      </w:tr>
      <w:tr w:rsidR="009B463A" w:rsidRPr="003413A7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rStyle w:val="Tablefreq"/>
              </w:rPr>
              <w:t>23.6-24</w:t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  <w:t>EARTH EXPLORATION-SATELLITE (passive)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  <w:t>RADIO ASTRONOMY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  <w:t>SPACE RESEARCH (passive)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rStyle w:val="Artref"/>
                <w:color w:val="000000"/>
              </w:rPr>
              <w:t>5.340</w:t>
            </w:r>
          </w:p>
        </w:tc>
      </w:tr>
      <w:tr w:rsidR="009B463A" w:rsidRPr="003413A7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rStyle w:val="Tablefreq"/>
              </w:rPr>
              <w:t>24-24.05</w:t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  <w:t>AMATEUR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  <w:t>AMATEUR-SATELLITE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rStyle w:val="Artref"/>
                <w:color w:val="000000"/>
              </w:rPr>
              <w:t>5.150</w:t>
            </w:r>
          </w:p>
        </w:tc>
      </w:tr>
      <w:tr w:rsidR="009B463A" w:rsidRPr="003413A7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rStyle w:val="Tablefreq"/>
              </w:rPr>
              <w:t>24.05-24.25</w:t>
            </w:r>
            <w:r w:rsidRPr="003413A7">
              <w:rPr>
                <w:color w:val="000000"/>
              </w:rPr>
              <w:tab/>
              <w:t>RADIOLOCATION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  <w:t>Amateur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  <w:t>Earth exploration-satellite (active)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rStyle w:val="Artref"/>
                <w:color w:val="000000"/>
              </w:rPr>
              <w:t>5.150</w:t>
            </w:r>
          </w:p>
        </w:tc>
      </w:tr>
      <w:tr w:rsidR="009B463A" w:rsidRPr="003413A7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spacing w:before="20" w:after="0"/>
              <w:rPr>
                <w:rStyle w:val="Tablefreq"/>
              </w:rPr>
            </w:pPr>
            <w:r w:rsidRPr="003413A7">
              <w:rPr>
                <w:rStyle w:val="Tablefreq"/>
              </w:rPr>
              <w:t>24.25-24.45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  <w:u w:val="double"/>
              </w:rPr>
            </w:pPr>
            <w:r w:rsidRPr="003413A7">
              <w:rPr>
                <w:color w:val="000000"/>
              </w:rPr>
              <w:t>FIXED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spacing w:before="20" w:after="0"/>
              <w:rPr>
                <w:rStyle w:val="Tablefreq"/>
              </w:rPr>
            </w:pPr>
            <w:r w:rsidRPr="003413A7">
              <w:rPr>
                <w:rStyle w:val="Tablefreq"/>
              </w:rPr>
              <w:t>24.25-24.45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  <w:u w:val="double"/>
              </w:rPr>
            </w:pPr>
            <w:r w:rsidRPr="003413A7">
              <w:rPr>
                <w:color w:val="000000"/>
              </w:rPr>
              <w:t>RADIONAVIGATION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spacing w:before="20" w:after="0"/>
              <w:rPr>
                <w:rStyle w:val="Tablefreq"/>
              </w:rPr>
            </w:pPr>
            <w:r w:rsidRPr="003413A7">
              <w:rPr>
                <w:rStyle w:val="Tablefreq"/>
              </w:rPr>
              <w:t>24.25-24.45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>RADIONAVIGATION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>FIXED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>MOBILE</w:t>
            </w:r>
          </w:p>
        </w:tc>
      </w:tr>
      <w:tr w:rsidR="009B463A" w:rsidRPr="00254956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spacing w:before="20" w:after="0"/>
              <w:rPr>
                <w:rStyle w:val="Tablefreq"/>
              </w:rPr>
            </w:pPr>
            <w:r w:rsidRPr="003413A7">
              <w:rPr>
                <w:rStyle w:val="Tablefreq"/>
              </w:rPr>
              <w:t>24.45-24.65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>FIXED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>INTER-SATELLITE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spacing w:before="20" w:after="0"/>
              <w:rPr>
                <w:rStyle w:val="Tablefreq"/>
              </w:rPr>
            </w:pPr>
            <w:r w:rsidRPr="003413A7">
              <w:rPr>
                <w:rStyle w:val="Tablefreq"/>
              </w:rPr>
              <w:t>24.45-24.65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>INTER-SATELLITE</w:t>
            </w:r>
          </w:p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  <w:u w:val="double"/>
              </w:rPr>
            </w:pPr>
            <w:r w:rsidRPr="003413A7">
              <w:rPr>
                <w:color w:val="000000"/>
              </w:rPr>
              <w:t>RADIONAVIGATION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B463A" w:rsidRPr="00254956" w:rsidRDefault="00485332" w:rsidP="00477577">
            <w:pPr>
              <w:pStyle w:val="TableTextS5"/>
              <w:spacing w:before="20" w:after="0"/>
              <w:rPr>
                <w:rStyle w:val="Tablefreq"/>
                <w:lang w:val="fr-CH"/>
              </w:rPr>
            </w:pPr>
            <w:r w:rsidRPr="00254956">
              <w:rPr>
                <w:rStyle w:val="Tablefreq"/>
                <w:lang w:val="fr-CH"/>
              </w:rPr>
              <w:t>24.45-24.65</w:t>
            </w:r>
          </w:p>
          <w:p w:rsidR="009B463A" w:rsidRPr="00254956" w:rsidRDefault="00485332" w:rsidP="00477577">
            <w:pPr>
              <w:pStyle w:val="TableTextS5"/>
              <w:spacing w:before="20" w:after="0"/>
              <w:rPr>
                <w:color w:val="000000"/>
                <w:lang w:val="fr-CH"/>
              </w:rPr>
            </w:pPr>
            <w:r w:rsidRPr="00254956">
              <w:rPr>
                <w:color w:val="000000"/>
                <w:lang w:val="fr-CH"/>
              </w:rPr>
              <w:t>FIXED</w:t>
            </w:r>
          </w:p>
          <w:p w:rsidR="009B463A" w:rsidRPr="00254956" w:rsidRDefault="00485332" w:rsidP="00477577">
            <w:pPr>
              <w:pStyle w:val="TableTextS5"/>
              <w:spacing w:before="20" w:after="0"/>
              <w:rPr>
                <w:color w:val="000000"/>
                <w:lang w:val="fr-CH"/>
              </w:rPr>
            </w:pPr>
            <w:r w:rsidRPr="00254956">
              <w:rPr>
                <w:color w:val="000000"/>
                <w:lang w:val="fr-CH"/>
              </w:rPr>
              <w:t>INTER-SATELLITE</w:t>
            </w:r>
          </w:p>
          <w:p w:rsidR="009B463A" w:rsidRPr="00254956" w:rsidRDefault="00485332" w:rsidP="00477577">
            <w:pPr>
              <w:pStyle w:val="TableTextS5"/>
              <w:spacing w:before="20" w:after="0"/>
              <w:rPr>
                <w:color w:val="000000"/>
                <w:lang w:val="fr-CH"/>
              </w:rPr>
            </w:pPr>
            <w:r w:rsidRPr="00254956">
              <w:rPr>
                <w:color w:val="000000"/>
                <w:lang w:val="fr-CH"/>
              </w:rPr>
              <w:t>MOBILE</w:t>
            </w:r>
          </w:p>
          <w:p w:rsidR="009B463A" w:rsidRPr="00254956" w:rsidRDefault="00485332" w:rsidP="00477577">
            <w:pPr>
              <w:pStyle w:val="TableTextS5"/>
              <w:spacing w:before="20" w:after="0"/>
              <w:rPr>
                <w:color w:val="000000"/>
                <w:u w:val="double"/>
                <w:lang w:val="fr-CH"/>
              </w:rPr>
            </w:pPr>
            <w:r w:rsidRPr="00254956">
              <w:rPr>
                <w:color w:val="000000"/>
                <w:lang w:val="fr-CH"/>
              </w:rPr>
              <w:t>RADIONAVIGATION</w:t>
            </w:r>
          </w:p>
        </w:tc>
      </w:tr>
      <w:tr w:rsidR="009B463A" w:rsidRPr="003413A7" w:rsidTr="00477577">
        <w:trPr>
          <w:cantSplit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463A" w:rsidRPr="00254956" w:rsidRDefault="00254956" w:rsidP="00477577">
            <w:pPr>
              <w:pStyle w:val="TableTextS5"/>
              <w:spacing w:before="20" w:after="0"/>
              <w:rPr>
                <w:color w:val="000000"/>
                <w:lang w:val="fr-CH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rStyle w:val="Artref"/>
                <w:color w:val="000000"/>
              </w:rPr>
              <w:t>5.533</w:t>
            </w: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rStyle w:val="Artref"/>
                <w:color w:val="000000"/>
              </w:rPr>
              <w:t>5.533</w:t>
            </w:r>
          </w:p>
        </w:tc>
      </w:tr>
      <w:tr w:rsidR="009B463A" w:rsidRPr="003413A7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keepNext/>
              <w:spacing w:before="20" w:after="0"/>
              <w:rPr>
                <w:rStyle w:val="Tablefreq"/>
              </w:rPr>
            </w:pPr>
            <w:r w:rsidRPr="003413A7">
              <w:rPr>
                <w:rStyle w:val="Tablefreq"/>
              </w:rPr>
              <w:lastRenderedPageBreak/>
              <w:t>24.65-24.75</w:t>
            </w:r>
          </w:p>
          <w:p w:rsidR="009B463A" w:rsidRPr="003413A7" w:rsidRDefault="00485332" w:rsidP="00477577">
            <w:pPr>
              <w:pStyle w:val="TableTextS5"/>
              <w:keepNext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>FIXED</w:t>
            </w:r>
          </w:p>
          <w:p w:rsidR="009B463A" w:rsidRPr="003413A7" w:rsidRDefault="00485332" w:rsidP="00477577">
            <w:pPr>
              <w:pStyle w:val="TableTextS5"/>
              <w:keepNext/>
              <w:spacing w:before="20" w:after="0"/>
              <w:ind w:left="170" w:hanging="170"/>
              <w:rPr>
                <w:color w:val="000000"/>
              </w:rPr>
            </w:pPr>
            <w:r w:rsidRPr="003413A7">
              <w:rPr>
                <w:color w:val="000000"/>
              </w:rPr>
              <w:t>FIXED-SATELLITE</w:t>
            </w:r>
            <w:r w:rsidRPr="003413A7">
              <w:rPr>
                <w:color w:val="000000"/>
              </w:rPr>
              <w:br/>
              <w:t>(Earth-to-space)  5.532B</w:t>
            </w:r>
          </w:p>
          <w:p w:rsidR="009B463A" w:rsidRPr="003413A7" w:rsidRDefault="00485332" w:rsidP="00477577">
            <w:pPr>
              <w:pStyle w:val="TableTextS5"/>
              <w:keepNext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>INTER-SATELLITE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keepNext/>
              <w:spacing w:before="20" w:after="0"/>
              <w:rPr>
                <w:rStyle w:val="Tablefreq"/>
              </w:rPr>
            </w:pPr>
            <w:r w:rsidRPr="003413A7">
              <w:rPr>
                <w:rStyle w:val="Tablefreq"/>
              </w:rPr>
              <w:t>24.65-24.75</w:t>
            </w:r>
          </w:p>
          <w:p w:rsidR="009B463A" w:rsidRPr="003413A7" w:rsidRDefault="00485332" w:rsidP="00477577">
            <w:pPr>
              <w:pStyle w:val="TableTextS5"/>
              <w:keepNext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>INTER-SATELLITE</w:t>
            </w:r>
          </w:p>
          <w:p w:rsidR="009B463A" w:rsidRPr="003413A7" w:rsidRDefault="00485332" w:rsidP="00477577">
            <w:pPr>
              <w:pStyle w:val="TableTextS5"/>
              <w:keepNext/>
              <w:spacing w:before="20" w:after="0"/>
              <w:ind w:left="170" w:hanging="170"/>
              <w:rPr>
                <w:color w:val="000000"/>
              </w:rPr>
            </w:pPr>
            <w:r w:rsidRPr="003413A7">
              <w:rPr>
                <w:color w:val="000000"/>
              </w:rPr>
              <w:t>RADIOLOCATION-</w:t>
            </w:r>
            <w:r w:rsidRPr="003413A7">
              <w:rPr>
                <w:color w:val="000000"/>
              </w:rPr>
              <w:br/>
              <w:t>SATELLITE (Earth-to-space)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keepNext/>
              <w:spacing w:before="20" w:after="0"/>
              <w:rPr>
                <w:rStyle w:val="Tablefreq"/>
              </w:rPr>
            </w:pPr>
            <w:r w:rsidRPr="003413A7">
              <w:rPr>
                <w:rStyle w:val="Tablefreq"/>
              </w:rPr>
              <w:t>24.65-24.75</w:t>
            </w:r>
          </w:p>
          <w:p w:rsidR="009B463A" w:rsidRPr="003413A7" w:rsidRDefault="00485332" w:rsidP="00477577">
            <w:pPr>
              <w:pStyle w:val="TableTextS5"/>
              <w:keepNext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>FIXED</w:t>
            </w:r>
          </w:p>
          <w:p w:rsidR="009B463A" w:rsidRPr="003413A7" w:rsidRDefault="00485332" w:rsidP="00477577">
            <w:pPr>
              <w:pStyle w:val="TableTextS5"/>
              <w:keepNext/>
              <w:spacing w:before="20" w:after="0"/>
              <w:ind w:left="170" w:hanging="170"/>
              <w:rPr>
                <w:color w:val="000000"/>
              </w:rPr>
            </w:pPr>
            <w:r w:rsidRPr="003413A7">
              <w:rPr>
                <w:color w:val="000000"/>
              </w:rPr>
              <w:t>FIXED-SATELLITE</w:t>
            </w:r>
            <w:r w:rsidRPr="003413A7">
              <w:rPr>
                <w:color w:val="000000"/>
              </w:rPr>
              <w:br/>
              <w:t>(Earth-to-space)  5.532B</w:t>
            </w:r>
          </w:p>
          <w:p w:rsidR="009B463A" w:rsidRPr="003413A7" w:rsidRDefault="00485332" w:rsidP="00477577">
            <w:pPr>
              <w:pStyle w:val="TableTextS5"/>
              <w:keepNext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>INTER-SATELLITE</w:t>
            </w:r>
          </w:p>
          <w:p w:rsidR="009B463A" w:rsidRPr="003413A7" w:rsidRDefault="00485332" w:rsidP="00477577">
            <w:pPr>
              <w:pStyle w:val="TableTextS5"/>
              <w:keepNext/>
              <w:spacing w:before="20" w:after="0"/>
              <w:rPr>
                <w:color w:val="000000"/>
              </w:rPr>
            </w:pPr>
            <w:r w:rsidRPr="003413A7">
              <w:rPr>
                <w:color w:val="000000"/>
              </w:rPr>
              <w:t>MOBILE</w:t>
            </w:r>
          </w:p>
        </w:tc>
      </w:tr>
      <w:tr w:rsidR="009B463A" w:rsidRPr="003413A7" w:rsidTr="00477577">
        <w:trPr>
          <w:cantSplit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463A" w:rsidRPr="003413A7" w:rsidRDefault="00254956" w:rsidP="00477577">
            <w:pPr>
              <w:pStyle w:val="TableTextS5"/>
              <w:spacing w:before="20" w:after="0"/>
              <w:rPr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Pr="003413A7" w:rsidRDefault="00254956" w:rsidP="00477577">
            <w:pPr>
              <w:pStyle w:val="TableTextS5"/>
              <w:spacing w:before="20" w:after="0"/>
              <w:rPr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spacing w:before="20" w:after="0"/>
              <w:rPr>
                <w:color w:val="000000"/>
              </w:rPr>
            </w:pPr>
            <w:r w:rsidRPr="003413A7">
              <w:rPr>
                <w:rStyle w:val="Artref"/>
                <w:color w:val="000000"/>
              </w:rPr>
              <w:t>5.533</w:t>
            </w:r>
          </w:p>
        </w:tc>
      </w:tr>
    </w:tbl>
    <w:p w:rsidR="00C07143" w:rsidRPr="003413A7" w:rsidRDefault="00485332" w:rsidP="00167944">
      <w:pPr>
        <w:pStyle w:val="Reasons"/>
      </w:pPr>
      <w:r w:rsidRPr="003413A7">
        <w:rPr>
          <w:b/>
        </w:rPr>
        <w:t>Reasons:</w:t>
      </w:r>
      <w:r w:rsidRPr="003413A7">
        <w:tab/>
      </w:r>
      <w:r w:rsidR="00C07143" w:rsidRPr="003413A7">
        <w:rPr>
          <w:lang w:eastAsia="zh-CN"/>
        </w:rPr>
        <w:t xml:space="preserve">According to present compatibility studies, </w:t>
      </w:r>
      <w:r w:rsidR="00167944" w:rsidRPr="003413A7">
        <w:rPr>
          <w:lang w:eastAsia="zh-CN"/>
        </w:rPr>
        <w:t xml:space="preserve">it is not feasible for </w:t>
      </w:r>
      <w:r w:rsidR="00C07143" w:rsidRPr="003413A7">
        <w:rPr>
          <w:lang w:eastAsia="zh-CN"/>
        </w:rPr>
        <w:t>frequency bands between 22 GHz and 26</w:t>
      </w:r>
      <w:r w:rsidR="00443A29" w:rsidRPr="003413A7">
        <w:rPr>
          <w:lang w:eastAsia="zh-CN"/>
        </w:rPr>
        <w:t xml:space="preserve"> </w:t>
      </w:r>
      <w:r w:rsidR="00C07143" w:rsidRPr="003413A7">
        <w:rPr>
          <w:lang w:eastAsia="zh-CN"/>
        </w:rPr>
        <w:t>GHz to be allocated to MSS.</w:t>
      </w:r>
    </w:p>
    <w:p w:rsidR="00F15002" w:rsidRPr="003413A7" w:rsidRDefault="00485332">
      <w:pPr>
        <w:pStyle w:val="Proposal"/>
      </w:pPr>
      <w:r w:rsidRPr="003413A7">
        <w:rPr>
          <w:u w:val="single"/>
        </w:rPr>
        <w:t>NOC</w:t>
      </w:r>
      <w:r w:rsidRPr="003413A7">
        <w:tab/>
        <w:t>CHN/62A10/2</w:t>
      </w:r>
    </w:p>
    <w:p w:rsidR="009B463A" w:rsidRPr="003413A7" w:rsidRDefault="00485332" w:rsidP="009B463A">
      <w:pPr>
        <w:pStyle w:val="Tabletitle"/>
      </w:pPr>
      <w:r w:rsidRPr="003413A7">
        <w:t>24.75-29.9 GHz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3413A7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head"/>
            </w:pPr>
            <w:r w:rsidRPr="003413A7">
              <w:t>Allocation to services</w:t>
            </w:r>
          </w:p>
        </w:tc>
      </w:tr>
      <w:tr w:rsidR="009B463A" w:rsidRPr="003413A7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head"/>
            </w:pPr>
            <w:r w:rsidRPr="003413A7">
              <w:t>Region 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head"/>
            </w:pPr>
            <w:r w:rsidRPr="003413A7">
              <w:t>Region 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head"/>
            </w:pPr>
            <w:r w:rsidRPr="003413A7">
              <w:t>Region 3</w:t>
            </w:r>
          </w:p>
        </w:tc>
      </w:tr>
      <w:tr w:rsidR="009B463A" w:rsidRPr="003413A7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rPr>
                <w:rStyle w:val="Tablefreq"/>
              </w:rPr>
            </w:pPr>
            <w:r w:rsidRPr="003413A7">
              <w:rPr>
                <w:rStyle w:val="Tablefreq"/>
              </w:rPr>
              <w:t>24.75-25.25</w:t>
            </w:r>
          </w:p>
          <w:p w:rsidR="009B463A" w:rsidRPr="003413A7" w:rsidRDefault="00485332" w:rsidP="00477577">
            <w:pPr>
              <w:pStyle w:val="TableTextS5"/>
              <w:rPr>
                <w:color w:val="000000"/>
              </w:rPr>
            </w:pPr>
            <w:r w:rsidRPr="003413A7">
              <w:rPr>
                <w:color w:val="000000"/>
              </w:rPr>
              <w:t>FIXED</w:t>
            </w:r>
          </w:p>
          <w:p w:rsidR="009B463A" w:rsidRPr="003413A7" w:rsidRDefault="00485332" w:rsidP="00477577">
            <w:pPr>
              <w:pStyle w:val="TableTextS5"/>
              <w:ind w:left="170" w:hanging="170"/>
              <w:rPr>
                <w:color w:val="000000"/>
              </w:rPr>
            </w:pPr>
            <w:r w:rsidRPr="003413A7">
              <w:rPr>
                <w:color w:val="000000"/>
              </w:rPr>
              <w:t>FIXED-SATELLITE</w:t>
            </w:r>
            <w:r w:rsidRPr="003413A7">
              <w:rPr>
                <w:color w:val="000000"/>
              </w:rPr>
              <w:br/>
              <w:t>(Earth-to-space)  5.532B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rPr>
                <w:rStyle w:val="Tablefreq"/>
              </w:rPr>
            </w:pPr>
            <w:r w:rsidRPr="003413A7">
              <w:rPr>
                <w:rStyle w:val="Tablefreq"/>
              </w:rPr>
              <w:t>24.75-25.25</w:t>
            </w:r>
          </w:p>
          <w:p w:rsidR="009B463A" w:rsidRPr="003413A7" w:rsidRDefault="00485332" w:rsidP="00477577">
            <w:pPr>
              <w:pStyle w:val="TableTextS5"/>
              <w:ind w:left="170" w:hanging="170"/>
              <w:rPr>
                <w:color w:val="000000"/>
              </w:rPr>
            </w:pPr>
            <w:r w:rsidRPr="003413A7">
              <w:rPr>
                <w:color w:val="000000"/>
              </w:rPr>
              <w:t>FIXED-SATELLITE</w:t>
            </w:r>
            <w:r w:rsidRPr="003413A7">
              <w:rPr>
                <w:color w:val="000000"/>
              </w:rPr>
              <w:br/>
              <w:t xml:space="preserve">(Earth-to-space)  </w:t>
            </w:r>
            <w:r w:rsidRPr="003413A7">
              <w:rPr>
                <w:rStyle w:val="Artref"/>
                <w:color w:val="000000"/>
              </w:rPr>
              <w:t>5.535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rPr>
                <w:rStyle w:val="Tablefreq"/>
              </w:rPr>
            </w:pPr>
            <w:r w:rsidRPr="003413A7">
              <w:rPr>
                <w:rStyle w:val="Tablefreq"/>
              </w:rPr>
              <w:t>24.75-25.25</w:t>
            </w:r>
          </w:p>
          <w:p w:rsidR="009B463A" w:rsidRPr="003413A7" w:rsidRDefault="00485332" w:rsidP="00477577">
            <w:pPr>
              <w:pStyle w:val="TableTextS5"/>
              <w:rPr>
                <w:color w:val="000000"/>
              </w:rPr>
            </w:pPr>
            <w:r w:rsidRPr="003413A7">
              <w:rPr>
                <w:color w:val="000000"/>
              </w:rPr>
              <w:t>FIXED</w:t>
            </w:r>
          </w:p>
          <w:p w:rsidR="009B463A" w:rsidRPr="003413A7" w:rsidRDefault="00485332" w:rsidP="00477577">
            <w:pPr>
              <w:pStyle w:val="TableTextS5"/>
              <w:spacing w:before="0"/>
              <w:ind w:left="170" w:hanging="170"/>
              <w:rPr>
                <w:color w:val="000000"/>
              </w:rPr>
            </w:pPr>
            <w:r w:rsidRPr="003413A7">
              <w:rPr>
                <w:color w:val="000000"/>
              </w:rPr>
              <w:t>FIXED-SATELLITE</w:t>
            </w:r>
            <w:r w:rsidRPr="003413A7">
              <w:rPr>
                <w:color w:val="000000"/>
              </w:rPr>
              <w:br/>
              <w:t xml:space="preserve">(Earth-to-space)  </w:t>
            </w:r>
            <w:r w:rsidRPr="003413A7">
              <w:rPr>
                <w:rStyle w:val="Artref"/>
                <w:color w:val="000000"/>
              </w:rPr>
              <w:t>5.535</w:t>
            </w:r>
          </w:p>
          <w:p w:rsidR="009B463A" w:rsidRPr="003413A7" w:rsidRDefault="00485332" w:rsidP="00477577">
            <w:pPr>
              <w:pStyle w:val="TableTextS5"/>
              <w:spacing w:before="0"/>
              <w:rPr>
                <w:color w:val="000000"/>
              </w:rPr>
            </w:pPr>
            <w:r w:rsidRPr="003413A7">
              <w:rPr>
                <w:color w:val="000000"/>
              </w:rPr>
              <w:t>MOBILE</w:t>
            </w:r>
          </w:p>
        </w:tc>
      </w:tr>
      <w:tr w:rsidR="009B463A" w:rsidRPr="003413A7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rPr>
                <w:color w:val="000000"/>
              </w:rPr>
            </w:pPr>
            <w:r w:rsidRPr="003413A7">
              <w:rPr>
                <w:rStyle w:val="Tablefreq"/>
              </w:rPr>
              <w:t>25.25-25.5</w:t>
            </w:r>
            <w:r w:rsidRPr="003413A7">
              <w:rPr>
                <w:color w:val="000000"/>
              </w:rPr>
              <w:tab/>
              <w:t>FIXED</w:t>
            </w:r>
          </w:p>
          <w:p w:rsidR="009B463A" w:rsidRPr="003413A7" w:rsidRDefault="00485332" w:rsidP="00477577">
            <w:pPr>
              <w:pStyle w:val="TableTextS5"/>
              <w:spacing w:before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  <w:t xml:space="preserve">INTER-SATELLITE  </w:t>
            </w:r>
            <w:r w:rsidRPr="003413A7">
              <w:rPr>
                <w:rStyle w:val="Artref"/>
                <w:color w:val="000000"/>
              </w:rPr>
              <w:t>5.536</w:t>
            </w:r>
          </w:p>
          <w:p w:rsidR="009B463A" w:rsidRPr="003413A7" w:rsidRDefault="00485332" w:rsidP="00477577">
            <w:pPr>
              <w:pStyle w:val="TableTextS5"/>
              <w:spacing w:before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  <w:t>MOBILE</w:t>
            </w:r>
          </w:p>
          <w:p w:rsidR="009B463A" w:rsidRPr="003413A7" w:rsidRDefault="00485332" w:rsidP="00477577">
            <w:pPr>
              <w:pStyle w:val="TableTextS5"/>
              <w:spacing w:before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</w:r>
            <w:r w:rsidRPr="003413A7">
              <w:rPr>
                <w:color w:val="000000"/>
              </w:rPr>
              <w:tab/>
              <w:t>Standard frequency and time signal-satellite (Earth-to-space)</w:t>
            </w:r>
          </w:p>
        </w:tc>
      </w:tr>
      <w:tr w:rsidR="009B463A" w:rsidRPr="003413A7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3413A7" w:rsidRDefault="00485332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ind w:left="3062" w:hanging="3062"/>
              <w:rPr>
                <w:color w:val="000000"/>
              </w:rPr>
            </w:pPr>
            <w:r w:rsidRPr="003413A7">
              <w:rPr>
                <w:rStyle w:val="Tablefreq"/>
              </w:rPr>
              <w:t>25.5-27</w:t>
            </w:r>
            <w:r w:rsidRPr="003413A7">
              <w:rPr>
                <w:b/>
                <w:color w:val="000000"/>
              </w:rPr>
              <w:tab/>
            </w:r>
            <w:r w:rsidRPr="003413A7">
              <w:rPr>
                <w:color w:val="000000"/>
              </w:rPr>
              <w:t xml:space="preserve">EARTH EXPLORATION-SATELLITE (space-to Earth)  </w:t>
            </w:r>
            <w:r w:rsidRPr="003413A7">
              <w:rPr>
                <w:rStyle w:val="Artref"/>
                <w:color w:val="000000"/>
              </w:rPr>
              <w:t>5.536B</w:t>
            </w:r>
          </w:p>
          <w:p w:rsidR="009B463A" w:rsidRPr="003413A7" w:rsidRDefault="00485332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0"/>
              <w:rPr>
                <w:color w:val="000000"/>
              </w:rPr>
            </w:pPr>
            <w:r w:rsidRPr="003413A7">
              <w:rPr>
                <w:color w:val="000000"/>
              </w:rPr>
              <w:tab/>
              <w:t>FIXED</w:t>
            </w:r>
          </w:p>
          <w:p w:rsidR="009B463A" w:rsidRPr="003413A7" w:rsidRDefault="00485332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0"/>
              <w:rPr>
                <w:color w:val="000000"/>
              </w:rPr>
            </w:pPr>
            <w:r w:rsidRPr="003413A7">
              <w:rPr>
                <w:color w:val="000000"/>
              </w:rPr>
              <w:tab/>
              <w:t xml:space="preserve">INTER-SATELLITE  </w:t>
            </w:r>
            <w:r w:rsidRPr="003413A7">
              <w:rPr>
                <w:rStyle w:val="Artref"/>
                <w:color w:val="000000"/>
              </w:rPr>
              <w:t>5.536</w:t>
            </w:r>
          </w:p>
          <w:p w:rsidR="009B463A" w:rsidRPr="003413A7" w:rsidRDefault="00485332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0"/>
              <w:rPr>
                <w:color w:val="000000"/>
              </w:rPr>
            </w:pPr>
            <w:r w:rsidRPr="003413A7">
              <w:rPr>
                <w:color w:val="000000"/>
              </w:rPr>
              <w:tab/>
              <w:t>MOBILE</w:t>
            </w:r>
          </w:p>
          <w:p w:rsidR="009B463A" w:rsidRPr="003413A7" w:rsidRDefault="00485332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0"/>
              <w:rPr>
                <w:color w:val="000000"/>
              </w:rPr>
            </w:pPr>
            <w:r w:rsidRPr="003413A7">
              <w:rPr>
                <w:color w:val="000000"/>
              </w:rPr>
              <w:tab/>
              <w:t xml:space="preserve">SPACE  RESEARCH (space-to-Earth)  </w:t>
            </w:r>
            <w:r w:rsidRPr="003413A7">
              <w:rPr>
                <w:rStyle w:val="Artref"/>
                <w:color w:val="000000"/>
              </w:rPr>
              <w:t>5.536C</w:t>
            </w:r>
          </w:p>
          <w:p w:rsidR="009B463A" w:rsidRPr="003413A7" w:rsidRDefault="00485332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0"/>
              <w:rPr>
                <w:color w:val="000000"/>
              </w:rPr>
            </w:pPr>
            <w:r w:rsidRPr="003413A7">
              <w:rPr>
                <w:color w:val="000000"/>
              </w:rPr>
              <w:tab/>
              <w:t>Standard frequency and time signal-satellite (Earth-to-space)</w:t>
            </w:r>
          </w:p>
          <w:p w:rsidR="009B463A" w:rsidRPr="003413A7" w:rsidRDefault="00485332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0"/>
              <w:rPr>
                <w:color w:val="000000"/>
              </w:rPr>
            </w:pPr>
            <w:r w:rsidRPr="003413A7">
              <w:rPr>
                <w:color w:val="000000"/>
              </w:rPr>
              <w:tab/>
            </w:r>
            <w:r w:rsidRPr="003413A7">
              <w:rPr>
                <w:rStyle w:val="Artref"/>
                <w:color w:val="000000"/>
              </w:rPr>
              <w:t>5.536A</w:t>
            </w:r>
          </w:p>
        </w:tc>
      </w:tr>
    </w:tbl>
    <w:p w:rsidR="00C07143" w:rsidRPr="003413A7" w:rsidRDefault="00485332" w:rsidP="00141D29">
      <w:pPr>
        <w:pStyle w:val="Reasons"/>
      </w:pPr>
      <w:r w:rsidRPr="003413A7">
        <w:rPr>
          <w:b/>
        </w:rPr>
        <w:t>Reasons:</w:t>
      </w:r>
      <w:r w:rsidRPr="003413A7">
        <w:tab/>
      </w:r>
      <w:r w:rsidR="00141D29" w:rsidRPr="003413A7">
        <w:rPr>
          <w:lang w:eastAsia="zh-CN"/>
        </w:rPr>
        <w:t>According to present compatibility studies, it is not feasible for frequency bands between 22 GHz and 26</w:t>
      </w:r>
      <w:r w:rsidR="00443A29" w:rsidRPr="003413A7">
        <w:rPr>
          <w:lang w:eastAsia="zh-CN"/>
        </w:rPr>
        <w:t xml:space="preserve"> </w:t>
      </w:r>
      <w:r w:rsidR="00141D29" w:rsidRPr="003413A7">
        <w:rPr>
          <w:lang w:eastAsia="zh-CN"/>
        </w:rPr>
        <w:t>GHz to be allocated to MSS.</w:t>
      </w:r>
    </w:p>
    <w:p w:rsidR="00F15002" w:rsidRPr="003413A7" w:rsidRDefault="00485332">
      <w:pPr>
        <w:pStyle w:val="Proposal"/>
      </w:pPr>
      <w:r w:rsidRPr="003413A7">
        <w:t>SUP</w:t>
      </w:r>
      <w:r w:rsidRPr="003413A7">
        <w:tab/>
        <w:t>CHN/62A10/3</w:t>
      </w:r>
    </w:p>
    <w:p w:rsidR="003638D8" w:rsidRPr="003413A7" w:rsidRDefault="00485332" w:rsidP="003638D8">
      <w:pPr>
        <w:pStyle w:val="ResNo"/>
      </w:pPr>
      <w:r w:rsidRPr="003413A7">
        <w:t xml:space="preserve">RESOLUTION </w:t>
      </w:r>
      <w:r w:rsidRPr="003413A7">
        <w:rPr>
          <w:rStyle w:val="href"/>
        </w:rPr>
        <w:t>234</w:t>
      </w:r>
      <w:r w:rsidRPr="003413A7">
        <w:t xml:space="preserve"> (WRC</w:t>
      </w:r>
      <w:r w:rsidRPr="003413A7">
        <w:noBreakHyphen/>
        <w:t>12)</w:t>
      </w:r>
    </w:p>
    <w:p w:rsidR="003638D8" w:rsidRPr="003413A7" w:rsidRDefault="00485332" w:rsidP="00107E4A">
      <w:pPr>
        <w:pStyle w:val="Restitle"/>
      </w:pPr>
      <w:bookmarkStart w:id="10" w:name="_Toc327364424"/>
      <w:r w:rsidRPr="003413A7">
        <w:t xml:space="preserve">Additional primary allocations to the mobile-satellite service </w:t>
      </w:r>
      <w:r w:rsidRPr="003413A7">
        <w:br/>
        <w:t>within the bands from 22 GHz to 26 GHz</w:t>
      </w:r>
      <w:bookmarkEnd w:id="10"/>
    </w:p>
    <w:p w:rsidR="002E09BA" w:rsidRPr="003413A7" w:rsidRDefault="00485332" w:rsidP="002E09BA">
      <w:pPr>
        <w:pStyle w:val="Reasons"/>
      </w:pPr>
      <w:r w:rsidRPr="003413A7">
        <w:rPr>
          <w:b/>
        </w:rPr>
        <w:t>Reasons:</w:t>
      </w:r>
      <w:r w:rsidRPr="003413A7">
        <w:tab/>
      </w:r>
      <w:r w:rsidR="002E09BA" w:rsidRPr="003413A7">
        <w:rPr>
          <w:lang w:eastAsia="zh-CN"/>
        </w:rPr>
        <w:t>N</w:t>
      </w:r>
      <w:r w:rsidR="002E09BA" w:rsidRPr="003413A7">
        <w:rPr>
          <w:lang w:eastAsia="ja-JP"/>
        </w:rPr>
        <w:t>o further sharing and compatibility studies towards additional allocations to MSS in this band would b</w:t>
      </w:r>
      <w:bookmarkStart w:id="11" w:name="_GoBack"/>
      <w:bookmarkEnd w:id="11"/>
      <w:r w:rsidR="002E09BA" w:rsidRPr="003413A7">
        <w:rPr>
          <w:lang w:eastAsia="ja-JP"/>
        </w:rPr>
        <w:t>e needed.</w:t>
      </w:r>
    </w:p>
    <w:p w:rsidR="002D21E7" w:rsidRPr="003413A7" w:rsidRDefault="002D21E7">
      <w:pPr>
        <w:jc w:val="center"/>
      </w:pPr>
      <w:r w:rsidRPr="003413A7">
        <w:lastRenderedPageBreak/>
        <w:t>______________</w:t>
      </w:r>
    </w:p>
    <w:sectPr w:rsidR="002D21E7" w:rsidRPr="003413A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3413A7" w:rsidRDefault="00E45D05">
    <w:pPr>
      <w:ind w:right="360"/>
      <w:rPr>
        <w:lang w:val="en-US"/>
      </w:rPr>
    </w:pPr>
    <w:r>
      <w:fldChar w:fldCharType="begin"/>
    </w:r>
    <w:r w:rsidRPr="003413A7">
      <w:rPr>
        <w:lang w:val="en-US"/>
      </w:rPr>
      <w:instrText xml:space="preserve"> FILENAME \p  \* MERGEFORMAT </w:instrText>
    </w:r>
    <w:r>
      <w:fldChar w:fldCharType="separate"/>
    </w:r>
    <w:r w:rsidR="003413A7" w:rsidRPr="003413A7">
      <w:rPr>
        <w:noProof/>
        <w:lang w:val="en-US"/>
      </w:rPr>
      <w:t>P:\ENG\ITU-R\CONF-R\CMR15\000\062ADD10E.docx</w:t>
    </w:r>
    <w:r>
      <w:fldChar w:fldCharType="end"/>
    </w:r>
    <w:r w:rsidRPr="003413A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2032">
      <w:rPr>
        <w:noProof/>
      </w:rPr>
      <w:t>24.10.15</w:t>
    </w:r>
    <w:r>
      <w:fldChar w:fldCharType="end"/>
    </w:r>
    <w:r w:rsidRPr="003413A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13A7">
      <w:rPr>
        <w:noProof/>
      </w:rPr>
      <w:t>24.10.15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E7" w:rsidRPr="002D21E7" w:rsidRDefault="002D21E7" w:rsidP="002D21E7">
    <w:pPr>
      <w:pStyle w:val="Footer"/>
      <w:rPr>
        <w:lang w:val="en-US"/>
      </w:rPr>
    </w:pPr>
    <w:r>
      <w:fldChar w:fldCharType="begin"/>
    </w:r>
    <w:r w:rsidRPr="002D21E7">
      <w:rPr>
        <w:lang w:val="en-US"/>
      </w:rPr>
      <w:instrText xml:space="preserve"> FILENAME  \* Upper \p  \* MERGEFORMAT </w:instrText>
    </w:r>
    <w:r>
      <w:fldChar w:fldCharType="separate"/>
    </w:r>
    <w:r w:rsidR="00811535">
      <w:rPr>
        <w:caps w:val="0"/>
        <w:lang w:val="en-US"/>
      </w:rPr>
      <w:t>P:\ENG\ITU-R\CONF-R\CMR15\000\062ADD10V2E.DOCX</w:t>
    </w:r>
    <w:r>
      <w:rPr>
        <w:caps w:val="0"/>
      </w:rPr>
      <w:fldChar w:fldCharType="end"/>
    </w:r>
    <w:r>
      <w:rPr>
        <w:caps w:val="0"/>
      </w:rPr>
      <w:t xml:space="preserve"> </w:t>
    </w:r>
    <w:r w:rsidRPr="002D21E7">
      <w:rPr>
        <w:lang w:val="en-US"/>
      </w:rPr>
      <w:t>(388508)</w:t>
    </w:r>
    <w:r w:rsidRPr="002D21E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1535">
      <w:t>28.10.15</w:t>
    </w:r>
    <w:r>
      <w:fldChar w:fldCharType="end"/>
    </w:r>
    <w:r w:rsidRPr="002D21E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11535">
      <w:t>24.10.15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2D21E7" w:rsidRDefault="00443A29" w:rsidP="00A30305">
    <w:pPr>
      <w:pStyle w:val="Footer"/>
      <w:rPr>
        <w:lang w:val="en-US"/>
      </w:rPr>
    </w:pPr>
    <w:r>
      <w:fldChar w:fldCharType="begin"/>
    </w:r>
    <w:r w:rsidRPr="002D21E7">
      <w:rPr>
        <w:lang w:val="en-US"/>
      </w:rPr>
      <w:instrText xml:space="preserve"> FILENAME  \* Upper \p  \* MERGEFORMAT </w:instrText>
    </w:r>
    <w:r>
      <w:fldChar w:fldCharType="separate"/>
    </w:r>
    <w:r w:rsidR="00811535">
      <w:rPr>
        <w:caps w:val="0"/>
        <w:lang w:val="en-US"/>
      </w:rPr>
      <w:t>P:\ENG\ITU-R\CONF-R\CMR15\000\062ADD10V2E.DOCX</w:t>
    </w:r>
    <w:r>
      <w:rPr>
        <w:caps w:val="0"/>
      </w:rPr>
      <w:fldChar w:fldCharType="end"/>
    </w:r>
    <w:r w:rsidR="002D21E7">
      <w:rPr>
        <w:caps w:val="0"/>
      </w:rPr>
      <w:t xml:space="preserve"> </w:t>
    </w:r>
    <w:r w:rsidR="00485332" w:rsidRPr="002D21E7">
      <w:rPr>
        <w:lang w:val="en-US"/>
      </w:rPr>
      <w:t>(388508)</w:t>
    </w:r>
    <w:r w:rsidR="00E45D05" w:rsidRPr="002D21E7">
      <w:rPr>
        <w:lang w:val="en-US"/>
      </w:rPr>
      <w:tab/>
    </w:r>
    <w:r w:rsidR="00E45D05">
      <w:fldChar w:fldCharType="begin"/>
    </w:r>
    <w:r w:rsidR="00E45D05">
      <w:instrText xml:space="preserve"> SAVEDATE \@ DD.MM.YY </w:instrText>
    </w:r>
    <w:r w:rsidR="00E45D05">
      <w:fldChar w:fldCharType="separate"/>
    </w:r>
    <w:r w:rsidR="00811535">
      <w:t>28.10.15</w:t>
    </w:r>
    <w:r w:rsidR="00E45D05">
      <w:fldChar w:fldCharType="end"/>
    </w:r>
    <w:r w:rsidR="00E45D05" w:rsidRPr="002D21E7">
      <w:rPr>
        <w:lang w:val="en-US"/>
      </w:rPr>
      <w:tab/>
    </w:r>
    <w:r w:rsidR="00E45D05">
      <w:fldChar w:fldCharType="begin"/>
    </w:r>
    <w:r w:rsidR="00E45D05">
      <w:instrText xml:space="preserve"> PRINTDATE \@ DD.MM.YY </w:instrText>
    </w:r>
    <w:r w:rsidR="00E45D05">
      <w:fldChar w:fldCharType="separate"/>
    </w:r>
    <w:r w:rsidR="00811535">
      <w:t>24.10.15</w:t>
    </w:r>
    <w:r w:rsidR="00E45D0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54956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62(Add.10)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2A092D-1DEB-4536-89C3-C69D7983DA2C}"/>
    <w:docVar w:name="dgnword-eventsink" w:val="594518336"/>
  </w:docVars>
  <w:rsids>
    <w:rsidRoot w:val="00A066F1"/>
    <w:rsid w:val="000041EA"/>
    <w:rsid w:val="00022A29"/>
    <w:rsid w:val="00033718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36E42"/>
    <w:rsid w:val="00141D29"/>
    <w:rsid w:val="00146F6F"/>
    <w:rsid w:val="00167944"/>
    <w:rsid w:val="001736D9"/>
    <w:rsid w:val="00187BD9"/>
    <w:rsid w:val="00190B55"/>
    <w:rsid w:val="001C09F0"/>
    <w:rsid w:val="001C3B5F"/>
    <w:rsid w:val="001D058F"/>
    <w:rsid w:val="002009EA"/>
    <w:rsid w:val="00202CA0"/>
    <w:rsid w:val="00216B6D"/>
    <w:rsid w:val="00241FA2"/>
    <w:rsid w:val="00254956"/>
    <w:rsid w:val="00271316"/>
    <w:rsid w:val="002B349C"/>
    <w:rsid w:val="002D21E7"/>
    <w:rsid w:val="002D58BE"/>
    <w:rsid w:val="002E09BA"/>
    <w:rsid w:val="003413A7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04F9F"/>
    <w:rsid w:val="00412E45"/>
    <w:rsid w:val="0041348E"/>
    <w:rsid w:val="00420873"/>
    <w:rsid w:val="00443A29"/>
    <w:rsid w:val="004778B3"/>
    <w:rsid w:val="00485332"/>
    <w:rsid w:val="00492075"/>
    <w:rsid w:val="004969AD"/>
    <w:rsid w:val="004A26C4"/>
    <w:rsid w:val="004B13CB"/>
    <w:rsid w:val="004D26EA"/>
    <w:rsid w:val="004D2BFB"/>
    <w:rsid w:val="004D5D5C"/>
    <w:rsid w:val="0050139F"/>
    <w:rsid w:val="00510A4E"/>
    <w:rsid w:val="00531ABE"/>
    <w:rsid w:val="0055140B"/>
    <w:rsid w:val="00572032"/>
    <w:rsid w:val="005964AB"/>
    <w:rsid w:val="005C099A"/>
    <w:rsid w:val="005C31A5"/>
    <w:rsid w:val="005C6DFA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247B"/>
    <w:rsid w:val="00733A30"/>
    <w:rsid w:val="00745AEE"/>
    <w:rsid w:val="00750F10"/>
    <w:rsid w:val="00771115"/>
    <w:rsid w:val="007742CA"/>
    <w:rsid w:val="00790D70"/>
    <w:rsid w:val="007A6F1F"/>
    <w:rsid w:val="007B37D8"/>
    <w:rsid w:val="007D5320"/>
    <w:rsid w:val="007F06A3"/>
    <w:rsid w:val="007F3009"/>
    <w:rsid w:val="00800972"/>
    <w:rsid w:val="00804475"/>
    <w:rsid w:val="00811535"/>
    <w:rsid w:val="00811633"/>
    <w:rsid w:val="00841216"/>
    <w:rsid w:val="00872FC8"/>
    <w:rsid w:val="008845D0"/>
    <w:rsid w:val="00884D60"/>
    <w:rsid w:val="008B43F2"/>
    <w:rsid w:val="008B6CFF"/>
    <w:rsid w:val="008D3E37"/>
    <w:rsid w:val="009274B4"/>
    <w:rsid w:val="00934EA2"/>
    <w:rsid w:val="0094201D"/>
    <w:rsid w:val="00944A5C"/>
    <w:rsid w:val="00952A66"/>
    <w:rsid w:val="009930A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07143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0566"/>
    <w:rsid w:val="00DF4BC6"/>
    <w:rsid w:val="00E03C94"/>
    <w:rsid w:val="00E0755E"/>
    <w:rsid w:val="00E205BC"/>
    <w:rsid w:val="00E26226"/>
    <w:rsid w:val="00E45D05"/>
    <w:rsid w:val="00E54BAC"/>
    <w:rsid w:val="00E55816"/>
    <w:rsid w:val="00E55AEF"/>
    <w:rsid w:val="00E976C1"/>
    <w:rsid w:val="00EA12E5"/>
    <w:rsid w:val="00EB55C6"/>
    <w:rsid w:val="00EE2329"/>
    <w:rsid w:val="00EF1932"/>
    <w:rsid w:val="00F02766"/>
    <w:rsid w:val="00F05BD4"/>
    <w:rsid w:val="00F15002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."/>
  <w15:docId w15:val="{8CBFB846-B985-4AC4-83D7-2EF8E223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1A468-AB3F-4C41-8821-EBE4B7219AFF}">
  <ds:schemaRefs>
    <ds:schemaRef ds:uri="32a1a8c5-2265-4ebc-b7a0-2071e2c5c9bb"/>
    <ds:schemaRef ds:uri="http://purl.org/dc/terms/"/>
    <ds:schemaRef ds:uri="http://purl.org/dc/dcmitype/"/>
    <ds:schemaRef ds:uri="996b2e75-67fd-4955-a3b0-5ab9934cb50b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EE3EF18-39B8-4729-B0DC-10166EDD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</TotalTime>
  <Pages>3</Pages>
  <Words>542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R15-WRC15-C-0062!A10!MSW-E</vt:lpstr>
    </vt:vector>
  </TitlesOfParts>
  <Manager>General Secretariat - Pool</Manager>
  <Company>International Telecommunication Union (ITU)</Company>
  <LinksUpToDate>false</LinksUpToDate>
  <CharactersWithSpaces>4442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R15-WRC15-C-0062!A10!MSW-E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Turnbull, Karen</cp:lastModifiedBy>
  <cp:revision>4</cp:revision>
  <cp:lastPrinted>2015-10-24T12:04:00Z</cp:lastPrinted>
  <dcterms:created xsi:type="dcterms:W3CDTF">2015-10-28T07:47:00Z</dcterms:created>
  <dcterms:modified xsi:type="dcterms:W3CDTF">2015-10-28T07:48:00Z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