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E4401" w:rsidRDefault="006D4724" w:rsidP="00BA5BD0">
            <w:pPr>
              <w:spacing w:before="0"/>
              <w:rPr>
                <w:rFonts w:ascii="Verdana" w:hAnsi="Verdana"/>
                <w:b/>
                <w:sz w:val="20"/>
              </w:rPr>
            </w:pPr>
            <w:r w:rsidRPr="009E4401">
              <w:rPr>
                <w:rFonts w:ascii="Verdana" w:hAnsi="Verdana"/>
                <w:b/>
                <w:sz w:val="20"/>
              </w:rPr>
              <w:t>SÉANCE PLÉNIÈRE</w:t>
            </w:r>
          </w:p>
        </w:tc>
        <w:tc>
          <w:tcPr>
            <w:tcW w:w="3120" w:type="dxa"/>
            <w:shd w:val="clear" w:color="auto" w:fill="auto"/>
          </w:tcPr>
          <w:p w:rsidR="00BB1D82" w:rsidRPr="009E4401" w:rsidRDefault="006D4724" w:rsidP="00BA5BD0">
            <w:pPr>
              <w:spacing w:before="0"/>
              <w:rPr>
                <w:rFonts w:ascii="Verdana" w:hAnsi="Verdana"/>
                <w:sz w:val="20"/>
              </w:rPr>
            </w:pPr>
            <w:r w:rsidRPr="009E4401">
              <w:rPr>
                <w:rFonts w:ascii="Verdana" w:eastAsia="SimSun" w:hAnsi="Verdana" w:cs="Traditional Arabic"/>
                <w:b/>
                <w:sz w:val="20"/>
              </w:rPr>
              <w:t>Addendum 1 au</w:t>
            </w:r>
            <w:r w:rsidRPr="009E4401">
              <w:rPr>
                <w:rFonts w:ascii="Verdana" w:eastAsia="SimSun" w:hAnsi="Verdana" w:cs="Traditional Arabic"/>
                <w:b/>
                <w:sz w:val="20"/>
              </w:rPr>
              <w:br/>
              <w:t>Document 62</w:t>
            </w:r>
            <w:r w:rsidR="00BB1D82" w:rsidRPr="009E4401">
              <w:rPr>
                <w:rFonts w:ascii="Verdana" w:hAnsi="Verdana"/>
                <w:b/>
                <w:sz w:val="20"/>
              </w:rPr>
              <w:t>-</w:t>
            </w:r>
            <w:r w:rsidRPr="009E4401">
              <w:rPr>
                <w:rFonts w:ascii="Verdana" w:hAnsi="Verdana"/>
                <w:b/>
                <w:sz w:val="20"/>
              </w:rPr>
              <w:t>F</w:t>
            </w:r>
          </w:p>
        </w:tc>
      </w:tr>
      <w:bookmarkEnd w:id="2"/>
      <w:tr w:rsidR="00690C7B" w:rsidRPr="002A6F8F" w:rsidTr="00BB1D82">
        <w:trPr>
          <w:cantSplit/>
        </w:trPr>
        <w:tc>
          <w:tcPr>
            <w:tcW w:w="6911" w:type="dxa"/>
            <w:shd w:val="clear" w:color="auto" w:fill="auto"/>
          </w:tcPr>
          <w:p w:rsidR="00690C7B" w:rsidRPr="009E4401" w:rsidRDefault="00690C7B" w:rsidP="00BA5BD0">
            <w:pPr>
              <w:spacing w:before="0"/>
              <w:rPr>
                <w:rFonts w:ascii="Verdana" w:hAnsi="Verdana"/>
                <w:b/>
                <w:sz w:val="20"/>
              </w:rPr>
            </w:pPr>
          </w:p>
        </w:tc>
        <w:tc>
          <w:tcPr>
            <w:tcW w:w="3120" w:type="dxa"/>
            <w:shd w:val="clear" w:color="auto" w:fill="auto"/>
          </w:tcPr>
          <w:p w:rsidR="00690C7B" w:rsidRPr="009E4401" w:rsidRDefault="00690C7B" w:rsidP="00BA5BD0">
            <w:pPr>
              <w:spacing w:before="0"/>
              <w:rPr>
                <w:rFonts w:ascii="Verdana" w:hAnsi="Verdana"/>
                <w:b/>
                <w:sz w:val="20"/>
              </w:rPr>
            </w:pPr>
            <w:r w:rsidRPr="009E4401">
              <w:rPr>
                <w:rFonts w:ascii="Verdana" w:hAnsi="Verdana"/>
                <w:b/>
                <w:sz w:val="20"/>
              </w:rPr>
              <w:t>16 octobre 2015</w:t>
            </w:r>
          </w:p>
        </w:tc>
      </w:tr>
      <w:tr w:rsidR="00690C7B" w:rsidRPr="002A6F8F" w:rsidTr="00BB1D82">
        <w:trPr>
          <w:cantSplit/>
        </w:trPr>
        <w:tc>
          <w:tcPr>
            <w:tcW w:w="6911" w:type="dxa"/>
          </w:tcPr>
          <w:p w:rsidR="00690C7B" w:rsidRPr="009E4401" w:rsidRDefault="00690C7B" w:rsidP="00BA5BD0">
            <w:pPr>
              <w:spacing w:before="0" w:after="48"/>
              <w:rPr>
                <w:rFonts w:ascii="Verdana" w:hAnsi="Verdana"/>
                <w:b/>
                <w:smallCaps/>
                <w:sz w:val="20"/>
              </w:rPr>
            </w:pPr>
          </w:p>
        </w:tc>
        <w:tc>
          <w:tcPr>
            <w:tcW w:w="3120" w:type="dxa"/>
          </w:tcPr>
          <w:p w:rsidR="00690C7B" w:rsidRPr="009E4401" w:rsidRDefault="00690C7B" w:rsidP="00BA5BD0">
            <w:pPr>
              <w:spacing w:before="0"/>
              <w:rPr>
                <w:rFonts w:ascii="Verdana" w:hAnsi="Verdana"/>
                <w:b/>
                <w:sz w:val="20"/>
              </w:rPr>
            </w:pPr>
            <w:r w:rsidRPr="009E4401">
              <w:rPr>
                <w:rFonts w:ascii="Verdana" w:hAnsi="Verdana"/>
                <w:b/>
                <w:sz w:val="20"/>
              </w:rPr>
              <w:t>Original: chinois</w:t>
            </w:r>
          </w:p>
        </w:tc>
      </w:tr>
      <w:tr w:rsidR="00690C7B" w:rsidRPr="002A6F8F" w:rsidTr="00C11970">
        <w:trPr>
          <w:cantSplit/>
        </w:trPr>
        <w:tc>
          <w:tcPr>
            <w:tcW w:w="10031" w:type="dxa"/>
            <w:gridSpan w:val="2"/>
          </w:tcPr>
          <w:p w:rsidR="00690C7B" w:rsidRPr="009E4401" w:rsidRDefault="00690C7B" w:rsidP="00BA5BD0">
            <w:pPr>
              <w:spacing w:before="0"/>
              <w:rPr>
                <w:rFonts w:ascii="Verdana" w:hAnsi="Verdana"/>
                <w:b/>
                <w:sz w:val="20"/>
              </w:rPr>
            </w:pPr>
          </w:p>
        </w:tc>
      </w:tr>
      <w:tr w:rsidR="00690C7B" w:rsidRPr="002A6F8F" w:rsidTr="0050008E">
        <w:trPr>
          <w:cantSplit/>
        </w:trPr>
        <w:tc>
          <w:tcPr>
            <w:tcW w:w="10031" w:type="dxa"/>
            <w:gridSpan w:val="2"/>
          </w:tcPr>
          <w:p w:rsidR="00690C7B" w:rsidRPr="009E4401" w:rsidRDefault="00690C7B" w:rsidP="00690C7B">
            <w:pPr>
              <w:pStyle w:val="Source"/>
            </w:pPr>
            <w:bookmarkStart w:id="3" w:name="dsource" w:colFirst="0" w:colLast="0"/>
            <w:r w:rsidRPr="009E4401">
              <w:t>Chine (République populaire de)</w:t>
            </w:r>
          </w:p>
        </w:tc>
      </w:tr>
      <w:tr w:rsidR="00690C7B" w:rsidRPr="002A6F8F" w:rsidTr="0050008E">
        <w:trPr>
          <w:cantSplit/>
        </w:trPr>
        <w:tc>
          <w:tcPr>
            <w:tcW w:w="10031" w:type="dxa"/>
            <w:gridSpan w:val="2"/>
          </w:tcPr>
          <w:p w:rsidR="00690C7B" w:rsidRPr="009E4401" w:rsidRDefault="00690C7B" w:rsidP="002346C0">
            <w:pPr>
              <w:pStyle w:val="Title1"/>
            </w:pPr>
            <w:bookmarkStart w:id="4" w:name="dtitle1" w:colFirst="0" w:colLast="0"/>
            <w:bookmarkEnd w:id="3"/>
            <w:r w:rsidRPr="009E4401">
              <w:t>Propos</w:t>
            </w:r>
            <w:r w:rsidR="002346C0" w:rsidRPr="009E4401">
              <w:t>itions pour les travaux de la confé</w:t>
            </w:r>
            <w:r w:rsidRPr="009E4401">
              <w:t>rence</w:t>
            </w:r>
          </w:p>
        </w:tc>
      </w:tr>
      <w:tr w:rsidR="00690C7B" w:rsidRPr="002A6F8F" w:rsidTr="0050008E">
        <w:trPr>
          <w:cantSplit/>
        </w:trPr>
        <w:tc>
          <w:tcPr>
            <w:tcW w:w="10031" w:type="dxa"/>
            <w:gridSpan w:val="2"/>
          </w:tcPr>
          <w:p w:rsidR="00690C7B" w:rsidRPr="002346C0"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1.1 de l'ordre du jour</w:t>
            </w:r>
          </w:p>
        </w:tc>
      </w:tr>
    </w:tbl>
    <w:bookmarkEnd w:id="6"/>
    <w:p w:rsidR="001C0E40" w:rsidRPr="0000257F" w:rsidRDefault="00A45C42" w:rsidP="0000257F">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3A583E" w:rsidRDefault="003A583E" w:rsidP="00786598"/>
    <w:p w:rsidR="002346C0" w:rsidRPr="00DA671E" w:rsidRDefault="002346C0" w:rsidP="002346C0">
      <w:pPr>
        <w:pStyle w:val="headingb0"/>
        <w:rPr>
          <w:rFonts w:asciiTheme="majorBidi" w:hAnsiTheme="majorBidi" w:cstheme="majorBidi"/>
          <w:lang w:val="fr-CH" w:eastAsia="zh-CN"/>
        </w:rPr>
      </w:pPr>
      <w:r w:rsidRPr="00DA671E">
        <w:rPr>
          <w:rFonts w:asciiTheme="majorBidi" w:hAnsiTheme="majorBidi" w:cstheme="majorBidi"/>
          <w:lang w:val="fr-CH" w:eastAsia="zh-CN"/>
        </w:rPr>
        <w:t>I</w:t>
      </w:r>
      <w:r w:rsidRPr="00DA671E">
        <w:rPr>
          <w:rFonts w:asciiTheme="majorBidi" w:hAnsiTheme="majorBidi" w:cstheme="majorBidi" w:hint="eastAsia"/>
          <w:lang w:val="fr-CH" w:eastAsia="zh-CN"/>
        </w:rPr>
        <w:t>ntroduction</w:t>
      </w:r>
    </w:p>
    <w:p w:rsidR="009E4401" w:rsidRDefault="009E4401" w:rsidP="00DA671E">
      <w:pPr>
        <w:overflowPunct/>
        <w:autoSpaceDE/>
        <w:autoSpaceDN/>
        <w:adjustRightInd/>
        <w:textAlignment w:val="auto"/>
        <w:rPr>
          <w:lang w:val="fr-CH"/>
        </w:rPr>
      </w:pPr>
      <w:r>
        <w:rPr>
          <w:lang w:val="fr-CH"/>
        </w:rPr>
        <w:t xml:space="preserve">Dans certains pays de la Région 3, </w:t>
      </w:r>
      <w:r w:rsidR="00597E07">
        <w:rPr>
          <w:lang w:val="fr-CH"/>
        </w:rPr>
        <w:t>l</w:t>
      </w:r>
      <w:r w:rsidR="00597E07" w:rsidRPr="009E4401">
        <w:rPr>
          <w:lang w:val="fr-CH"/>
        </w:rPr>
        <w:t xml:space="preserve">a bande de fréquences </w:t>
      </w:r>
      <w:r w:rsidR="0096662B">
        <w:rPr>
          <w:rFonts w:hint="eastAsia"/>
          <w:lang w:val="fr-CH"/>
        </w:rPr>
        <w:t>1</w:t>
      </w:r>
      <w:r w:rsidR="0096662B">
        <w:rPr>
          <w:lang w:val="fr-CH"/>
        </w:rPr>
        <w:t> </w:t>
      </w:r>
      <w:r w:rsidR="0096662B">
        <w:rPr>
          <w:rFonts w:hint="eastAsia"/>
          <w:lang w:val="fr-CH"/>
        </w:rPr>
        <w:t>427-1</w:t>
      </w:r>
      <w:r w:rsidR="0096662B">
        <w:rPr>
          <w:lang w:val="fr-CH"/>
        </w:rPr>
        <w:t> </w:t>
      </w:r>
      <w:r w:rsidR="00597E07" w:rsidRPr="009E4401">
        <w:rPr>
          <w:rFonts w:hint="eastAsia"/>
          <w:lang w:val="fr-CH"/>
        </w:rPr>
        <w:t>518</w:t>
      </w:r>
      <w:r w:rsidR="0096662B">
        <w:rPr>
          <w:lang w:val="fr-CH"/>
        </w:rPr>
        <w:t> </w:t>
      </w:r>
      <w:r w:rsidR="00597E07" w:rsidRPr="009E4401">
        <w:rPr>
          <w:rFonts w:hint="eastAsia"/>
          <w:lang w:val="fr-CH"/>
        </w:rPr>
        <w:t>MHz</w:t>
      </w:r>
      <w:r w:rsidR="00DA671E">
        <w:rPr>
          <w:lang w:val="fr-CH"/>
        </w:rPr>
        <w:t>, ou des</w:t>
      </w:r>
      <w:r w:rsidR="0096662B">
        <w:rPr>
          <w:lang w:val="fr-CH"/>
        </w:rPr>
        <w:t xml:space="preserve"> partie</w:t>
      </w:r>
      <w:r w:rsidR="00DA671E">
        <w:rPr>
          <w:lang w:val="fr-CH"/>
        </w:rPr>
        <w:t>s</w:t>
      </w:r>
      <w:r w:rsidR="0096662B">
        <w:rPr>
          <w:lang w:val="fr-CH"/>
        </w:rPr>
        <w:t xml:space="preserve"> de cette bande,</w:t>
      </w:r>
      <w:r w:rsidR="00597E07">
        <w:rPr>
          <w:lang w:val="fr-CH"/>
        </w:rPr>
        <w:t xml:space="preserve"> </w:t>
      </w:r>
      <w:r w:rsidR="00DA671E">
        <w:rPr>
          <w:lang w:val="fr-CH"/>
        </w:rPr>
        <w:t>sont</w:t>
      </w:r>
      <w:r w:rsidR="00597E07">
        <w:rPr>
          <w:lang w:val="fr-CH"/>
        </w:rPr>
        <w:t xml:space="preserve"> </w:t>
      </w:r>
      <w:r w:rsidR="00DA26FA">
        <w:rPr>
          <w:lang w:val="fr-CH"/>
        </w:rPr>
        <w:t xml:space="preserve">largement </w:t>
      </w:r>
      <w:r w:rsidR="00597E07">
        <w:rPr>
          <w:lang w:val="fr-CH"/>
        </w:rPr>
        <w:t>utilisée</w:t>
      </w:r>
      <w:r w:rsidR="00DA671E">
        <w:rPr>
          <w:lang w:val="fr-CH"/>
        </w:rPr>
        <w:t>s</w:t>
      </w:r>
      <w:r w:rsidR="00DA26FA">
        <w:rPr>
          <w:lang w:val="fr-CH"/>
        </w:rPr>
        <w:t xml:space="preserve"> </w:t>
      </w:r>
      <w:r w:rsidR="00597E07">
        <w:rPr>
          <w:lang w:val="fr-CH"/>
        </w:rPr>
        <w:t xml:space="preserve">par les services fixe, mobile (y compris mobile aéronautique), de radiodiffusion et de radiodiffusion par satellite, </w:t>
      </w:r>
      <w:r>
        <w:rPr>
          <w:lang w:val="fr-CH"/>
        </w:rPr>
        <w:t xml:space="preserve">ou </w:t>
      </w:r>
      <w:r w:rsidR="00597E07">
        <w:rPr>
          <w:lang w:val="fr-CH"/>
        </w:rPr>
        <w:t>il est prévu qu'elle</w:t>
      </w:r>
      <w:r w:rsidR="00DA671E">
        <w:rPr>
          <w:lang w:val="fr-CH"/>
        </w:rPr>
        <w:t>s</w:t>
      </w:r>
      <w:r w:rsidR="00597E07">
        <w:rPr>
          <w:lang w:val="fr-CH"/>
        </w:rPr>
        <w:t xml:space="preserve"> le soi</w:t>
      </w:r>
      <w:r w:rsidR="00DA671E">
        <w:rPr>
          <w:lang w:val="fr-CH"/>
        </w:rPr>
        <w:t>en</w:t>
      </w:r>
      <w:r w:rsidR="00597E07">
        <w:rPr>
          <w:lang w:val="fr-CH"/>
        </w:rPr>
        <w:t>t</w:t>
      </w:r>
      <w:r>
        <w:rPr>
          <w:lang w:val="fr-CH"/>
        </w:rPr>
        <w:t>.</w:t>
      </w:r>
    </w:p>
    <w:p w:rsidR="0096662B" w:rsidRDefault="0096662B" w:rsidP="00DA671E">
      <w:pPr>
        <w:overflowPunct/>
        <w:autoSpaceDE/>
        <w:autoSpaceDN/>
        <w:adjustRightInd/>
        <w:textAlignment w:val="auto"/>
      </w:pPr>
      <w:r>
        <w:rPr>
          <w:lang w:val="fr-CH"/>
        </w:rPr>
        <w:t xml:space="preserve">Dans cette Région, le service fixe est principalement utilisé pour les liaisons point à point ou point à multipoints des réseaux de télécommunication de base. </w:t>
      </w:r>
      <w:r w:rsidR="0042755D">
        <w:rPr>
          <w:lang w:val="fr-CH"/>
        </w:rPr>
        <w:t>Le</w:t>
      </w:r>
      <w:r>
        <w:rPr>
          <w:lang w:val="fr-CH"/>
        </w:rPr>
        <w:t xml:space="preserve"> Rapport UIT</w:t>
      </w:r>
      <w:r>
        <w:rPr>
          <w:lang w:val="fr-CH"/>
        </w:rPr>
        <w:noBreakHyphen/>
        <w:t>R F.2333</w:t>
      </w:r>
      <w:r w:rsidR="0042755D">
        <w:rPr>
          <w:lang w:val="fr-CH"/>
        </w:rPr>
        <w:t xml:space="preserve"> indique que</w:t>
      </w:r>
      <w:r>
        <w:rPr>
          <w:lang w:val="fr-CH"/>
        </w:rPr>
        <w:t xml:space="preserve"> </w:t>
      </w:r>
      <w:r w:rsidR="0042755D" w:rsidRPr="0096662B">
        <w:t>la coexis</w:t>
      </w:r>
      <w:r w:rsidR="00DA671E">
        <w:t>tence dans le même canal entre l</w:t>
      </w:r>
      <w:r w:rsidR="0042755D" w:rsidRPr="0096662B">
        <w:t xml:space="preserve">es systèmes IMT et </w:t>
      </w:r>
      <w:r w:rsidR="00DA671E">
        <w:t>l</w:t>
      </w:r>
      <w:r w:rsidR="0042755D" w:rsidRPr="0096662B">
        <w:t>es liaisons fixes</w:t>
      </w:r>
      <w:r w:rsidR="0042755D">
        <w:t xml:space="preserve"> pourrait </w:t>
      </w:r>
      <w:r w:rsidR="0042755D">
        <w:rPr>
          <w:lang w:val="fr-CH"/>
        </w:rPr>
        <w:t xml:space="preserve">nécessiter des </w:t>
      </w:r>
      <w:r w:rsidRPr="0096662B">
        <w:t xml:space="preserve">distances de séparation </w:t>
      </w:r>
      <w:r>
        <w:t>supérieures à 100 km pour respecter le critère de brouillage dans certains cas particuliers.</w:t>
      </w:r>
    </w:p>
    <w:p w:rsidR="0042755D" w:rsidRDefault="0042755D" w:rsidP="00AF5DFF">
      <w:pPr>
        <w:overflowPunct/>
        <w:autoSpaceDE/>
        <w:autoSpaceDN/>
        <w:adjustRightInd/>
        <w:textAlignment w:val="auto"/>
        <w:rPr>
          <w:lang w:val="fr-CH" w:eastAsia="zh-CN"/>
        </w:rPr>
      </w:pPr>
      <w:r>
        <w:rPr>
          <w:lang w:val="fr-CH"/>
        </w:rPr>
        <w:t xml:space="preserve">Dans certains pays de la Région 3, </w:t>
      </w:r>
      <w:r w:rsidR="00E267A1">
        <w:rPr>
          <w:lang w:val="fr-CH"/>
        </w:rPr>
        <w:t xml:space="preserve">le service mobile aéronautique utilise </w:t>
      </w:r>
      <w:r>
        <w:rPr>
          <w:lang w:val="fr-CH"/>
        </w:rPr>
        <w:t xml:space="preserve">la bande de fréquences </w:t>
      </w:r>
      <w:r>
        <w:rPr>
          <w:rFonts w:hint="eastAsia"/>
          <w:lang w:val="fr-CH"/>
        </w:rPr>
        <w:t>1</w:t>
      </w:r>
      <w:r>
        <w:rPr>
          <w:lang w:val="fr-CH"/>
        </w:rPr>
        <w:t> </w:t>
      </w:r>
      <w:r>
        <w:rPr>
          <w:rFonts w:hint="eastAsia"/>
          <w:lang w:val="fr-CH"/>
        </w:rPr>
        <w:t>427-1</w:t>
      </w:r>
      <w:r>
        <w:rPr>
          <w:lang w:val="fr-CH"/>
        </w:rPr>
        <w:t> </w:t>
      </w:r>
      <w:r w:rsidRPr="009E4401">
        <w:rPr>
          <w:rFonts w:hint="eastAsia"/>
          <w:lang w:val="fr-CH"/>
        </w:rPr>
        <w:t>518</w:t>
      </w:r>
      <w:r>
        <w:rPr>
          <w:lang w:val="fr-CH"/>
        </w:rPr>
        <w:t> </w:t>
      </w:r>
      <w:r w:rsidRPr="009E4401">
        <w:rPr>
          <w:rFonts w:hint="eastAsia"/>
          <w:lang w:val="fr-CH"/>
        </w:rPr>
        <w:t>MHz</w:t>
      </w:r>
      <w:r>
        <w:rPr>
          <w:lang w:val="fr-CH"/>
        </w:rPr>
        <w:t xml:space="preserve"> pour </w:t>
      </w:r>
      <w:r w:rsidR="009A5B6E">
        <w:rPr>
          <w:lang w:val="fr-CH"/>
        </w:rPr>
        <w:t>effectuer des opérations</w:t>
      </w:r>
      <w:r w:rsidR="00E267A1">
        <w:rPr>
          <w:lang w:val="fr-CH"/>
        </w:rPr>
        <w:t xml:space="preserve"> de télémesure</w:t>
      </w:r>
      <w:r w:rsidR="009A5B6E">
        <w:rPr>
          <w:lang w:val="fr-CH"/>
        </w:rPr>
        <w:t>,</w:t>
      </w:r>
      <w:r w:rsidR="00655F74">
        <w:rPr>
          <w:lang w:val="fr-CH"/>
        </w:rPr>
        <w:t xml:space="preserve"> </w:t>
      </w:r>
      <w:r w:rsidR="009A5B6E">
        <w:rPr>
          <w:lang w:val="fr-CH"/>
        </w:rPr>
        <w:t xml:space="preserve">à l'aide de systèmes </w:t>
      </w:r>
      <w:r w:rsidR="00E267A1">
        <w:rPr>
          <w:lang w:val="fr-CH"/>
        </w:rPr>
        <w:t xml:space="preserve">similaires à ceux </w:t>
      </w:r>
      <w:r w:rsidR="00D2727A">
        <w:rPr>
          <w:lang w:val="fr-CH"/>
        </w:rPr>
        <w:t xml:space="preserve">utilisés dans certains pays de la Région 1 et dans la Région 2 pour les opérations de télémesure </w:t>
      </w:r>
      <w:r w:rsidR="00AF5DFF">
        <w:rPr>
          <w:lang w:val="fr-CH"/>
        </w:rPr>
        <w:t>mentionn</w:t>
      </w:r>
      <w:r w:rsidR="00D2727A">
        <w:rPr>
          <w:lang w:val="fr-CH"/>
        </w:rPr>
        <w:t xml:space="preserve">ées respectivement </w:t>
      </w:r>
      <w:r w:rsidR="00E261DE">
        <w:rPr>
          <w:lang w:val="fr-CH"/>
        </w:rPr>
        <w:t>au</w:t>
      </w:r>
      <w:r w:rsidR="00DA671E">
        <w:rPr>
          <w:lang w:val="fr-CH"/>
        </w:rPr>
        <w:t>x</w:t>
      </w:r>
      <w:r w:rsidR="00E261DE">
        <w:rPr>
          <w:lang w:val="fr-CH"/>
        </w:rPr>
        <w:t xml:space="preserve"> numéro</w:t>
      </w:r>
      <w:r w:rsidR="00DA671E">
        <w:rPr>
          <w:lang w:val="fr-CH"/>
        </w:rPr>
        <w:t>s</w:t>
      </w:r>
      <w:r w:rsidR="00E261DE">
        <w:rPr>
          <w:lang w:val="fr-CH"/>
        </w:rPr>
        <w:t> 5.342 et</w:t>
      </w:r>
      <w:r w:rsidR="00DA671E">
        <w:rPr>
          <w:lang w:val="fr-CH"/>
        </w:rPr>
        <w:t> </w:t>
      </w:r>
      <w:r w:rsidR="00E261DE">
        <w:rPr>
          <w:lang w:val="fr-CH"/>
        </w:rPr>
        <w:t>5.343 du RR</w:t>
      </w:r>
      <w:r w:rsidR="00E267A1">
        <w:rPr>
          <w:lang w:val="fr-CH"/>
        </w:rPr>
        <w:t xml:space="preserve">. </w:t>
      </w:r>
      <w:r w:rsidR="003E42A8">
        <w:rPr>
          <w:lang w:val="fr-CH"/>
        </w:rPr>
        <w:t>Le Rapport UIT</w:t>
      </w:r>
      <w:r w:rsidR="003E42A8">
        <w:rPr>
          <w:lang w:val="fr-CH"/>
        </w:rPr>
        <w:noBreakHyphen/>
        <w:t>R M.2324 indique que les distances de séparation nécessaires pour assurer la coexistence dans le même canal entre</w:t>
      </w:r>
      <w:r w:rsidR="002D0ACD">
        <w:rPr>
          <w:lang w:val="fr-CH"/>
        </w:rPr>
        <w:t xml:space="preserve"> les </w:t>
      </w:r>
      <w:r w:rsidR="003E42A8">
        <w:rPr>
          <w:lang w:val="fr-CH"/>
        </w:rPr>
        <w:t>IMT et les systèmes de télémesure aéronautique seraient généralement supérieures à</w:t>
      </w:r>
      <w:r w:rsidR="002C1F64">
        <w:rPr>
          <w:lang w:val="fr-CH"/>
        </w:rPr>
        <w:t> </w:t>
      </w:r>
      <w:r w:rsidR="003E42A8">
        <w:rPr>
          <w:lang w:val="fr-CH"/>
        </w:rPr>
        <w:t xml:space="preserve">100 km. </w:t>
      </w:r>
      <w:r w:rsidR="003E42A8" w:rsidRPr="00A924FD">
        <w:rPr>
          <w:lang w:val="fr-CH" w:eastAsia="zh-CN"/>
        </w:rPr>
        <w:t xml:space="preserve">En cas de brouillages cumulatifs causés par un réseau IMT doté </w:t>
      </w:r>
      <w:r w:rsidR="002D0ACD">
        <w:rPr>
          <w:lang w:val="fr-CH" w:eastAsia="zh-CN"/>
        </w:rPr>
        <w:t>de plusieurs stations de base, c</w:t>
      </w:r>
      <w:r w:rsidR="003E42A8" w:rsidRPr="00A924FD">
        <w:rPr>
          <w:lang w:val="fr-CH" w:eastAsia="zh-CN"/>
        </w:rPr>
        <w:t xml:space="preserve">es distances de séparation </w:t>
      </w:r>
      <w:r w:rsidR="003E42A8">
        <w:rPr>
          <w:lang w:val="fr-CH" w:eastAsia="zh-CN"/>
        </w:rPr>
        <w:t>peuvent atteindre</w:t>
      </w:r>
      <w:r w:rsidR="003E42A8" w:rsidRPr="00A924FD">
        <w:rPr>
          <w:lang w:val="fr-CH" w:eastAsia="zh-CN"/>
        </w:rPr>
        <w:t xml:space="preserve"> 450 km pour un trajet terrestre et 500 km p</w:t>
      </w:r>
      <w:r w:rsidR="006B76EA">
        <w:rPr>
          <w:lang w:val="fr-CH" w:eastAsia="zh-CN"/>
        </w:rPr>
        <w:t>our un trajet mixte.</w:t>
      </w:r>
    </w:p>
    <w:p w:rsidR="006B76EA" w:rsidRDefault="00D2727A" w:rsidP="002D0ACD">
      <w:pPr>
        <w:overflowPunct/>
        <w:autoSpaceDE/>
        <w:autoSpaceDN/>
        <w:adjustRightInd/>
        <w:textAlignment w:val="auto"/>
        <w:rPr>
          <w:lang w:val="fr-CH" w:eastAsia="zh-CN"/>
        </w:rPr>
      </w:pPr>
      <w:r w:rsidRPr="00D2727A">
        <w:rPr>
          <w:lang w:val="fr-CH"/>
        </w:rPr>
        <w:t xml:space="preserve">Dans la bande </w:t>
      </w:r>
      <w:r w:rsidRPr="00D2727A">
        <w:rPr>
          <w:lang w:val="fr-CH" w:eastAsia="zh-CN"/>
        </w:rPr>
        <w:t xml:space="preserve">1 452-1 492 MHz, le service de radiodiffusion par satellite </w:t>
      </w:r>
      <w:r>
        <w:rPr>
          <w:lang w:val="fr-CH" w:eastAsia="zh-CN"/>
        </w:rPr>
        <w:t xml:space="preserve">(SRS) </w:t>
      </w:r>
      <w:r w:rsidRPr="00D2727A">
        <w:rPr>
          <w:lang w:val="fr-CH" w:eastAsia="zh-CN"/>
        </w:rPr>
        <w:t>est assujetti</w:t>
      </w:r>
      <w:r>
        <w:rPr>
          <w:lang w:val="fr-CH" w:eastAsia="zh-CN"/>
        </w:rPr>
        <w:t xml:space="preserve"> aux disposit</w:t>
      </w:r>
      <w:r w:rsidR="007E1634">
        <w:rPr>
          <w:lang w:val="fr-CH" w:eastAsia="zh-CN"/>
        </w:rPr>
        <w:t>ions de la Résolution 528 (Rév.</w:t>
      </w:r>
      <w:r>
        <w:rPr>
          <w:lang w:val="fr-CH" w:eastAsia="zh-CN"/>
        </w:rPr>
        <w:t>CMR</w:t>
      </w:r>
      <w:r>
        <w:rPr>
          <w:lang w:val="fr-CH" w:eastAsia="zh-CN"/>
        </w:rPr>
        <w:noBreakHyphen/>
        <w:t xml:space="preserve">03), en vertu de laquelle des systèmes du SRS ne </w:t>
      </w:r>
      <w:r>
        <w:rPr>
          <w:lang w:val="fr-CH" w:eastAsia="zh-CN"/>
        </w:rPr>
        <w:lastRenderedPageBreak/>
        <w:t xml:space="preserve">peuvent être </w:t>
      </w:r>
      <w:r w:rsidR="00BB6F23">
        <w:rPr>
          <w:lang w:val="fr-CH" w:eastAsia="zh-CN"/>
        </w:rPr>
        <w:t>déployés</w:t>
      </w:r>
      <w:r>
        <w:rPr>
          <w:lang w:val="fr-CH" w:eastAsia="zh-CN"/>
        </w:rPr>
        <w:t xml:space="preserve"> que dans les 25 MHz supérieurs de cette bande, c'est-à-dire dans la bande de fréquences 1 467-1 492 MHz. De nombreuses administrations ont soumis </w:t>
      </w:r>
      <w:r w:rsidR="00B82696">
        <w:rPr>
          <w:lang w:val="fr-CH" w:eastAsia="zh-CN"/>
        </w:rPr>
        <w:t xml:space="preserve">au BR </w:t>
      </w:r>
      <w:r>
        <w:rPr>
          <w:lang w:val="fr-CH" w:eastAsia="zh-CN"/>
        </w:rPr>
        <w:t xml:space="preserve">des demandes de coordination </w:t>
      </w:r>
      <w:r w:rsidR="00BB6F23">
        <w:rPr>
          <w:lang w:val="fr-CH" w:eastAsia="zh-CN"/>
        </w:rPr>
        <w:t>concernant</w:t>
      </w:r>
      <w:r>
        <w:rPr>
          <w:lang w:val="fr-CH" w:eastAsia="zh-CN"/>
        </w:rPr>
        <w:t xml:space="preserve"> des réseaux à satellite </w:t>
      </w:r>
      <w:r w:rsidR="00BB6F23">
        <w:rPr>
          <w:lang w:val="fr-CH" w:eastAsia="zh-CN"/>
        </w:rPr>
        <w:t xml:space="preserve">du SRS </w:t>
      </w:r>
      <w:r w:rsidR="00F065A8">
        <w:rPr>
          <w:lang w:val="fr-CH" w:eastAsia="zh-CN"/>
        </w:rPr>
        <w:t>dans cette bande</w:t>
      </w:r>
      <w:r w:rsidR="00B82696">
        <w:rPr>
          <w:lang w:val="fr-CH" w:eastAsia="zh-CN"/>
        </w:rPr>
        <w:t>, et</w:t>
      </w:r>
      <w:r w:rsidR="00F065A8">
        <w:rPr>
          <w:lang w:val="fr-CH" w:eastAsia="zh-CN"/>
        </w:rPr>
        <w:t xml:space="preserve"> </w:t>
      </w:r>
      <w:r w:rsidR="00B82696">
        <w:rPr>
          <w:lang w:val="fr-CH" w:eastAsia="zh-CN"/>
        </w:rPr>
        <w:t>d</w:t>
      </w:r>
      <w:r w:rsidR="00F065A8">
        <w:rPr>
          <w:lang w:val="fr-CH" w:eastAsia="zh-CN"/>
        </w:rPr>
        <w:t xml:space="preserve">es réseaux à satellite du SRS ont été mis en service dans cette bande et inscrits dans le Fichier de référence international des fréquences. En outre, des systèmes à satellites en cours de fabrication assureront des services de radiodiffusion </w:t>
      </w:r>
      <w:r w:rsidR="00BB6F23">
        <w:rPr>
          <w:lang w:val="fr-CH" w:eastAsia="zh-CN"/>
        </w:rPr>
        <w:t>audio</w:t>
      </w:r>
      <w:r w:rsidR="00F065A8">
        <w:rPr>
          <w:lang w:val="fr-CH" w:eastAsia="zh-CN"/>
        </w:rPr>
        <w:t xml:space="preserve">numérique d'ici à quelques années. </w:t>
      </w:r>
      <w:r w:rsidR="00BB6F23">
        <w:rPr>
          <w:lang w:val="fr-CH" w:eastAsia="zh-CN"/>
        </w:rPr>
        <w:t xml:space="preserve">Comme cela est clairement </w:t>
      </w:r>
      <w:r w:rsidR="00B82696">
        <w:rPr>
          <w:lang w:val="fr-CH" w:eastAsia="zh-CN"/>
        </w:rPr>
        <w:t xml:space="preserve">indiqué </w:t>
      </w:r>
      <w:r w:rsidR="00BB6F23">
        <w:rPr>
          <w:lang w:val="fr-CH" w:eastAsia="zh-CN"/>
        </w:rPr>
        <w:t>dans l</w:t>
      </w:r>
      <w:r w:rsidR="00F065A8">
        <w:rPr>
          <w:lang w:val="fr-CH" w:eastAsia="zh-CN"/>
        </w:rPr>
        <w:t>e Rapport de la RPC</w:t>
      </w:r>
      <w:r w:rsidR="00BB6F23">
        <w:rPr>
          <w:lang w:val="fr-CH" w:eastAsia="zh-CN"/>
        </w:rPr>
        <w:t>,</w:t>
      </w:r>
      <w:r w:rsidR="00F065A8">
        <w:rPr>
          <w:lang w:val="fr-CH" w:eastAsia="zh-CN"/>
        </w:rPr>
        <w:t xml:space="preserve"> les études de l'UIT</w:t>
      </w:r>
      <w:r w:rsidR="00F065A8">
        <w:rPr>
          <w:lang w:val="fr-CH" w:eastAsia="zh-CN"/>
        </w:rPr>
        <w:noBreakHyphen/>
        <w:t>R ont montré que le partage cofréquence entre le SRS et les</w:t>
      </w:r>
      <w:r w:rsidR="002C1F64">
        <w:rPr>
          <w:lang w:val="fr-CH" w:eastAsia="zh-CN"/>
        </w:rPr>
        <w:t> </w:t>
      </w:r>
      <w:r w:rsidR="00F065A8">
        <w:rPr>
          <w:lang w:val="fr-CH" w:eastAsia="zh-CN"/>
        </w:rPr>
        <w:t xml:space="preserve">IMT n'est pas possible dans la même zone, et que la puissance surfacique </w:t>
      </w:r>
      <w:r w:rsidR="00B82696">
        <w:rPr>
          <w:lang w:val="fr-CH" w:eastAsia="zh-CN"/>
        </w:rPr>
        <w:t xml:space="preserve">produite à la limite de la zone de service du SRS par </w:t>
      </w:r>
      <w:r w:rsidR="002D0ACD">
        <w:rPr>
          <w:lang w:val="fr-CH" w:eastAsia="zh-CN"/>
        </w:rPr>
        <w:t>un</w:t>
      </w:r>
      <w:r w:rsidR="00DA671E">
        <w:rPr>
          <w:lang w:val="fr-CH" w:eastAsia="zh-CN"/>
        </w:rPr>
        <w:t>e</w:t>
      </w:r>
      <w:r w:rsidR="00B82696">
        <w:rPr>
          <w:lang w:val="fr-CH" w:eastAsia="zh-CN"/>
        </w:rPr>
        <w:t xml:space="preserve"> station de base IMT déployée dans une zone adjacente, d</w:t>
      </w:r>
      <w:r w:rsidR="002D0ACD">
        <w:rPr>
          <w:lang w:val="fr-CH" w:eastAsia="zh-CN"/>
        </w:rPr>
        <w:t>evra</w:t>
      </w:r>
      <w:r w:rsidR="00B82696">
        <w:rPr>
          <w:lang w:val="fr-CH" w:eastAsia="zh-CN"/>
        </w:rPr>
        <w:t xml:space="preserve">it être limitée afin de protéger les stations terriennes du SRS. </w:t>
      </w:r>
      <w:r w:rsidR="00692CF6">
        <w:rPr>
          <w:lang w:val="fr-CH" w:eastAsia="zh-CN"/>
        </w:rPr>
        <w:t xml:space="preserve">Pour ce qui est de la compatibilité entre les IMT et le SRS dans les bandes </w:t>
      </w:r>
      <w:r w:rsidR="00DA671E">
        <w:rPr>
          <w:lang w:val="fr-CH" w:eastAsia="zh-CN"/>
        </w:rPr>
        <w:t xml:space="preserve">de fréquences </w:t>
      </w:r>
      <w:r w:rsidR="00692CF6">
        <w:rPr>
          <w:lang w:val="fr-CH" w:eastAsia="zh-CN"/>
        </w:rPr>
        <w:t xml:space="preserve">adjacentes, des études préliminaires </w:t>
      </w:r>
      <w:r w:rsidR="00CE4AA7">
        <w:rPr>
          <w:lang w:val="fr-CH" w:eastAsia="zh-CN"/>
        </w:rPr>
        <w:t xml:space="preserve">tendent à démontrer une </w:t>
      </w:r>
      <w:r w:rsidR="00692CF6">
        <w:rPr>
          <w:lang w:val="fr-CH" w:eastAsia="zh-CN"/>
        </w:rPr>
        <w:t xml:space="preserve">incompatibilité. </w:t>
      </w:r>
      <w:r w:rsidR="00CE4AA7">
        <w:rPr>
          <w:lang w:val="fr-CH" w:eastAsia="zh-CN"/>
        </w:rPr>
        <w:t xml:space="preserve">Les études sur le partage et la compatibilité entre les systèmes IMT et les systèmes du SRS dans cette bande de fréquences, </w:t>
      </w:r>
      <w:r w:rsidR="00DA671E">
        <w:rPr>
          <w:lang w:val="fr-CH" w:eastAsia="zh-CN"/>
        </w:rPr>
        <w:t xml:space="preserve">que ce soit </w:t>
      </w:r>
      <w:r w:rsidR="00CE4AA7">
        <w:rPr>
          <w:lang w:val="fr-CH" w:eastAsia="zh-CN"/>
        </w:rPr>
        <w:t>sur l</w:t>
      </w:r>
      <w:r w:rsidR="00522A72">
        <w:rPr>
          <w:lang w:val="fr-CH" w:eastAsia="zh-CN"/>
        </w:rPr>
        <w:t>es</w:t>
      </w:r>
      <w:r w:rsidR="00CE4AA7">
        <w:rPr>
          <w:lang w:val="fr-CH" w:eastAsia="zh-CN"/>
        </w:rPr>
        <w:t xml:space="preserve"> même</w:t>
      </w:r>
      <w:r w:rsidR="00522A72">
        <w:rPr>
          <w:lang w:val="fr-CH" w:eastAsia="zh-CN"/>
        </w:rPr>
        <w:t>s</w:t>
      </w:r>
      <w:r w:rsidR="00CE4AA7">
        <w:rPr>
          <w:lang w:val="fr-CH" w:eastAsia="zh-CN"/>
        </w:rPr>
        <w:t xml:space="preserve"> fréquence</w:t>
      </w:r>
      <w:r w:rsidR="00522A72">
        <w:rPr>
          <w:lang w:val="fr-CH" w:eastAsia="zh-CN"/>
        </w:rPr>
        <w:t>s</w:t>
      </w:r>
      <w:r w:rsidR="00CE4AA7">
        <w:rPr>
          <w:lang w:val="fr-CH" w:eastAsia="zh-CN"/>
        </w:rPr>
        <w:t xml:space="preserve"> </w:t>
      </w:r>
      <w:r w:rsidR="00DA671E">
        <w:rPr>
          <w:lang w:val="fr-CH" w:eastAsia="zh-CN"/>
        </w:rPr>
        <w:t>ou dans</w:t>
      </w:r>
      <w:r w:rsidR="00CE4AA7">
        <w:rPr>
          <w:lang w:val="fr-CH" w:eastAsia="zh-CN"/>
        </w:rPr>
        <w:t xml:space="preserve"> </w:t>
      </w:r>
      <w:r w:rsidR="002C1F64">
        <w:rPr>
          <w:lang w:val="fr-CH" w:eastAsia="zh-CN"/>
        </w:rPr>
        <w:t>d</w:t>
      </w:r>
      <w:r w:rsidR="00522A72">
        <w:rPr>
          <w:lang w:val="fr-CH" w:eastAsia="zh-CN"/>
        </w:rPr>
        <w:t>es</w:t>
      </w:r>
      <w:r w:rsidR="00CE4AA7">
        <w:rPr>
          <w:lang w:val="fr-CH" w:eastAsia="zh-CN"/>
        </w:rPr>
        <w:t xml:space="preserve"> bande</w:t>
      </w:r>
      <w:r w:rsidR="00522A72">
        <w:rPr>
          <w:lang w:val="fr-CH" w:eastAsia="zh-CN"/>
        </w:rPr>
        <w:t>s</w:t>
      </w:r>
      <w:r w:rsidR="00CE4AA7">
        <w:rPr>
          <w:lang w:val="fr-CH" w:eastAsia="zh-CN"/>
        </w:rPr>
        <w:t xml:space="preserve"> adjacente</w:t>
      </w:r>
      <w:r w:rsidR="00522A72">
        <w:rPr>
          <w:lang w:val="fr-CH" w:eastAsia="zh-CN"/>
        </w:rPr>
        <w:t>s</w:t>
      </w:r>
      <w:r w:rsidR="00CE4AA7">
        <w:rPr>
          <w:lang w:val="fr-CH" w:eastAsia="zh-CN"/>
        </w:rPr>
        <w:t xml:space="preserve">, n'ont pas été achevées par le GAM 4-5-6-7, </w:t>
      </w:r>
      <w:r w:rsidR="00DA671E">
        <w:rPr>
          <w:lang w:val="fr-CH" w:eastAsia="zh-CN"/>
        </w:rPr>
        <w:t xml:space="preserve">faute d'un consensus </w:t>
      </w:r>
      <w:r w:rsidR="00522A72">
        <w:rPr>
          <w:lang w:val="fr-CH" w:eastAsia="zh-CN"/>
        </w:rPr>
        <w:t>sur un</w:t>
      </w:r>
      <w:r w:rsidR="00BB7F42">
        <w:rPr>
          <w:lang w:val="fr-CH" w:eastAsia="zh-CN"/>
        </w:rPr>
        <w:t xml:space="preserve"> avant-projet de nouveau R</w:t>
      </w:r>
      <w:r w:rsidR="00CE4AA7">
        <w:rPr>
          <w:lang w:val="fr-CH" w:eastAsia="zh-CN"/>
        </w:rPr>
        <w:t xml:space="preserve">apport. </w:t>
      </w:r>
      <w:r w:rsidR="00BB7F42">
        <w:rPr>
          <w:lang w:val="fr-CH" w:eastAsia="zh-CN"/>
        </w:rPr>
        <w:t xml:space="preserve">Dans ces circonstances, une identification de la bande </w:t>
      </w:r>
      <w:r w:rsidR="00BB7F42" w:rsidRPr="00BB7F42">
        <w:rPr>
          <w:lang w:val="fr-CH" w:eastAsia="zh-CN"/>
        </w:rPr>
        <w:t xml:space="preserve">1 467-1 492 MHz </w:t>
      </w:r>
      <w:r w:rsidR="002D0ACD">
        <w:rPr>
          <w:lang w:val="fr-CH" w:eastAsia="zh-CN"/>
        </w:rPr>
        <w:t>et</w:t>
      </w:r>
      <w:r w:rsidR="0062246E">
        <w:rPr>
          <w:lang w:val="fr-CH" w:eastAsia="zh-CN"/>
        </w:rPr>
        <w:t xml:space="preserve"> de</w:t>
      </w:r>
      <w:r w:rsidR="006D7009">
        <w:rPr>
          <w:lang w:val="fr-CH" w:eastAsia="zh-CN"/>
        </w:rPr>
        <w:t>s</w:t>
      </w:r>
      <w:r w:rsidR="0062246E">
        <w:rPr>
          <w:lang w:val="fr-CH" w:eastAsia="zh-CN"/>
        </w:rPr>
        <w:t xml:space="preserve"> bandes de fréquences adjacentes </w:t>
      </w:r>
      <w:r w:rsidR="00BB7F42" w:rsidRPr="00BB7F42">
        <w:rPr>
          <w:lang w:val="fr-CH" w:eastAsia="zh-CN"/>
        </w:rPr>
        <w:t xml:space="preserve">pour les IMT viendrait non seulement </w:t>
      </w:r>
      <w:r w:rsidR="002C1F64">
        <w:rPr>
          <w:lang w:val="fr-CH" w:eastAsia="zh-CN"/>
        </w:rPr>
        <w:t>compromettre</w:t>
      </w:r>
      <w:r w:rsidR="00BB7F42">
        <w:rPr>
          <w:lang w:val="fr-CH" w:eastAsia="zh-CN"/>
        </w:rPr>
        <w:t xml:space="preserve"> l'attribution existante au SRS, mais aussi enfreindre le principe </w:t>
      </w:r>
      <w:r w:rsidR="002C1F64">
        <w:rPr>
          <w:lang w:val="fr-CH" w:eastAsia="zh-CN"/>
        </w:rPr>
        <w:t>inscrit</w:t>
      </w:r>
      <w:r w:rsidR="0062246E">
        <w:rPr>
          <w:lang w:val="fr-CH" w:eastAsia="zh-CN"/>
        </w:rPr>
        <w:t xml:space="preserve"> dans</w:t>
      </w:r>
      <w:r w:rsidR="00BB7F42">
        <w:rPr>
          <w:lang w:val="fr-CH" w:eastAsia="zh-CN"/>
        </w:rPr>
        <w:t xml:space="preserve"> la</w:t>
      </w:r>
      <w:r w:rsidR="0062246E">
        <w:rPr>
          <w:lang w:val="fr-CH" w:eastAsia="zh-CN"/>
        </w:rPr>
        <w:t> </w:t>
      </w:r>
      <w:r w:rsidR="00BB7F42">
        <w:rPr>
          <w:lang w:val="fr-CH" w:eastAsia="zh-CN"/>
        </w:rPr>
        <w:t>Résolution</w:t>
      </w:r>
      <w:r w:rsidR="0062246E">
        <w:rPr>
          <w:lang w:val="fr-CH" w:eastAsia="zh-CN"/>
        </w:rPr>
        <w:t> </w:t>
      </w:r>
      <w:r w:rsidR="00BB7F42">
        <w:rPr>
          <w:lang w:val="fr-CH" w:eastAsia="zh-CN"/>
        </w:rPr>
        <w:t>233 (CMR</w:t>
      </w:r>
      <w:r w:rsidR="00BB7F42">
        <w:rPr>
          <w:lang w:val="fr-CH" w:eastAsia="zh-CN"/>
        </w:rPr>
        <w:noBreakHyphen/>
        <w:t>12).</w:t>
      </w:r>
    </w:p>
    <w:p w:rsidR="00BB7F42" w:rsidRPr="00D2727A" w:rsidRDefault="00BB7F42" w:rsidP="001C514C">
      <w:pPr>
        <w:overflowPunct/>
        <w:autoSpaceDE/>
        <w:autoSpaceDN/>
        <w:adjustRightInd/>
        <w:textAlignment w:val="auto"/>
        <w:rPr>
          <w:lang w:val="fr-CH"/>
        </w:rPr>
      </w:pPr>
      <w:r>
        <w:rPr>
          <w:lang w:val="fr-CH" w:eastAsia="zh-CN"/>
        </w:rPr>
        <w:t xml:space="preserve">Compte tenu de ce qui précède, l'Administration de la Chine est défavorable à l'identification de la bande de fréquences </w:t>
      </w:r>
      <w:r w:rsidRPr="00BB7F42">
        <w:rPr>
          <w:rFonts w:hint="eastAsia"/>
          <w:lang w:val="fr-CH"/>
        </w:rPr>
        <w:t>1 427-1 518 MHz</w:t>
      </w:r>
      <w:r w:rsidR="00DA671E">
        <w:rPr>
          <w:lang w:val="fr-CH"/>
        </w:rPr>
        <w:t xml:space="preserve"> pour les IMT</w:t>
      </w:r>
      <w:r w:rsidR="0062246E">
        <w:rPr>
          <w:lang w:val="fr-CH"/>
        </w:rPr>
        <w:t xml:space="preserve"> lors de la CMR</w:t>
      </w:r>
      <w:r w:rsidR="0062246E">
        <w:rPr>
          <w:lang w:val="fr-CH"/>
        </w:rPr>
        <w:noBreakHyphen/>
        <w:t>15.</w:t>
      </w:r>
    </w:p>
    <w:p w:rsidR="00441F53" w:rsidRPr="00DA671E" w:rsidRDefault="00441F53" w:rsidP="001C514C">
      <w:pPr>
        <w:overflowPunct/>
        <w:autoSpaceDE/>
        <w:autoSpaceDN/>
        <w:adjustRightInd/>
        <w:textAlignment w:val="auto"/>
        <w:rPr>
          <w:lang w:val="fr-CH"/>
        </w:rPr>
      </w:pPr>
      <w:r w:rsidRPr="00DA671E">
        <w:rPr>
          <w:lang w:val="fr-CH"/>
        </w:rPr>
        <w:br w:type="page"/>
      </w:r>
    </w:p>
    <w:p w:rsidR="004A6A8C" w:rsidRDefault="00A45C42" w:rsidP="00D94B99">
      <w:pPr>
        <w:pStyle w:val="ArtNo"/>
      </w:pPr>
      <w:r>
        <w:lastRenderedPageBreak/>
        <w:t xml:space="preserve">ARTICLE </w:t>
      </w:r>
      <w:r>
        <w:rPr>
          <w:rStyle w:val="href"/>
          <w:color w:val="000000"/>
        </w:rPr>
        <w:t>5</w:t>
      </w:r>
    </w:p>
    <w:p w:rsidR="004A6A8C" w:rsidRDefault="00A45C42" w:rsidP="00D94B99">
      <w:pPr>
        <w:pStyle w:val="Arttitle"/>
        <w:rPr>
          <w:lang w:val="fr-CH"/>
        </w:rPr>
      </w:pPr>
      <w:r>
        <w:rPr>
          <w:lang w:val="fr-CH"/>
        </w:rPr>
        <w:t>Attribution des bandes de fréquences</w:t>
      </w:r>
    </w:p>
    <w:p w:rsidR="004A6A8C" w:rsidRPr="00375EEA" w:rsidRDefault="00A45C42" w:rsidP="00D94B99">
      <w:pPr>
        <w:pStyle w:val="Section1"/>
        <w:keepNext/>
      </w:pPr>
      <w:r>
        <w:t>Section IV –</w:t>
      </w:r>
      <w:r w:rsidRPr="00375EEA">
        <w:t xml:space="preserve"> Tableau d'attribution des bandes de fréquences</w:t>
      </w:r>
      <w:r w:rsidRPr="00375EEA">
        <w:br/>
      </w:r>
      <w:r w:rsidRPr="00A45C42">
        <w:rPr>
          <w:b w:val="0"/>
          <w:bCs/>
        </w:rPr>
        <w:t>(Voir le numéro</w:t>
      </w:r>
      <w:r w:rsidRPr="00260AE5">
        <w:t xml:space="preserve"> 2.1</w:t>
      </w:r>
      <w:r w:rsidRPr="00A45C42">
        <w:rPr>
          <w:b w:val="0"/>
          <w:bCs/>
        </w:rPr>
        <w:t>)</w:t>
      </w:r>
      <w:r>
        <w:rPr>
          <w:b w:val="0"/>
          <w:color w:val="000000"/>
        </w:rPr>
        <w:br/>
      </w:r>
      <w:r>
        <w:rPr>
          <w:b w:val="0"/>
          <w:color w:val="000000"/>
        </w:rPr>
        <w:br/>
      </w:r>
    </w:p>
    <w:p w:rsidR="008472BE" w:rsidRDefault="00A45C42">
      <w:pPr>
        <w:pStyle w:val="Proposal"/>
      </w:pPr>
      <w:r>
        <w:rPr>
          <w:u w:val="single"/>
        </w:rPr>
        <w:t>NOC</w:t>
      </w:r>
      <w:r>
        <w:tab/>
        <w:t>CHN/62A1/1</w:t>
      </w:r>
    </w:p>
    <w:p w:rsidR="004A6A8C" w:rsidRDefault="00A45C42" w:rsidP="00D94B99">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19"/>
      </w:tblGrid>
      <w:tr w:rsidR="004A6A8C" w:rsidRPr="0079631D" w:rsidTr="00D94B99">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4A6A8C" w:rsidRPr="0079631D" w:rsidRDefault="00A45C42" w:rsidP="00D94B99">
            <w:pPr>
              <w:pStyle w:val="Tablehead"/>
            </w:pPr>
            <w:r w:rsidRPr="0079631D">
              <w:t>Attribution aux services</w:t>
            </w:r>
          </w:p>
        </w:tc>
      </w:tr>
      <w:tr w:rsidR="004A6A8C" w:rsidTr="00D94B99">
        <w:trPr>
          <w:cantSplit/>
          <w:jc w:val="center"/>
        </w:trPr>
        <w:tc>
          <w:tcPr>
            <w:tcW w:w="3119" w:type="dxa"/>
            <w:tcBorders>
              <w:top w:val="single" w:sz="6" w:space="0" w:color="auto"/>
              <w:left w:val="single" w:sz="6" w:space="0" w:color="auto"/>
              <w:bottom w:val="single" w:sz="6" w:space="0" w:color="auto"/>
              <w:right w:val="single" w:sz="6" w:space="0" w:color="auto"/>
            </w:tcBorders>
          </w:tcPr>
          <w:p w:rsidR="004A6A8C" w:rsidRDefault="00A45C42" w:rsidP="00D94B99">
            <w:pPr>
              <w:pStyle w:val="Tablehead"/>
              <w:rPr>
                <w:color w:val="000000"/>
              </w:rPr>
            </w:pPr>
            <w:r>
              <w:rPr>
                <w:color w:val="000000"/>
              </w:rPr>
              <w:t>Région 1</w:t>
            </w:r>
          </w:p>
        </w:tc>
        <w:tc>
          <w:tcPr>
            <w:tcW w:w="3118" w:type="dxa"/>
            <w:tcBorders>
              <w:top w:val="single" w:sz="6" w:space="0" w:color="auto"/>
              <w:left w:val="single" w:sz="6" w:space="0" w:color="auto"/>
              <w:bottom w:val="single" w:sz="6" w:space="0" w:color="auto"/>
              <w:right w:val="single" w:sz="6" w:space="0" w:color="auto"/>
            </w:tcBorders>
          </w:tcPr>
          <w:p w:rsidR="004A6A8C" w:rsidRDefault="00A45C42" w:rsidP="00D94B99">
            <w:pPr>
              <w:pStyle w:val="Tablehead"/>
              <w:rPr>
                <w:color w:val="000000"/>
              </w:rPr>
            </w:pPr>
            <w:r>
              <w:rPr>
                <w:color w:val="000000"/>
              </w:rPr>
              <w:t>Région 2</w:t>
            </w:r>
          </w:p>
        </w:tc>
        <w:tc>
          <w:tcPr>
            <w:tcW w:w="3119" w:type="dxa"/>
            <w:tcBorders>
              <w:top w:val="single" w:sz="6" w:space="0" w:color="auto"/>
              <w:left w:val="single" w:sz="6" w:space="0" w:color="auto"/>
              <w:bottom w:val="single" w:sz="6" w:space="0" w:color="auto"/>
              <w:right w:val="single" w:sz="6" w:space="0" w:color="auto"/>
            </w:tcBorders>
          </w:tcPr>
          <w:p w:rsidR="004A6A8C" w:rsidRDefault="00A45C42" w:rsidP="00D94B99">
            <w:pPr>
              <w:pStyle w:val="Tablehead"/>
              <w:rPr>
                <w:color w:val="000000"/>
              </w:rPr>
            </w:pPr>
            <w:r>
              <w:rPr>
                <w:color w:val="000000"/>
              </w:rPr>
              <w:t>Région 3</w:t>
            </w:r>
          </w:p>
        </w:tc>
      </w:tr>
      <w:tr w:rsidR="004A6A8C" w:rsidTr="00D94B99">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4A6A8C" w:rsidRDefault="00A45C42" w:rsidP="00D94B99">
            <w:pPr>
              <w:pStyle w:val="TableTextS5"/>
              <w:rPr>
                <w:color w:val="000000"/>
              </w:rPr>
            </w:pPr>
            <w:r w:rsidRPr="00282A99">
              <w:rPr>
                <w:rStyle w:val="Tablefreq"/>
              </w:rPr>
              <w:t>1 427-1 429</w:t>
            </w:r>
            <w:r>
              <w:rPr>
                <w:color w:val="000000"/>
              </w:rPr>
              <w:tab/>
              <w:t>EXPLOITATION SPATIALE (Terre vers espace)</w:t>
            </w:r>
          </w:p>
          <w:p w:rsidR="004A6A8C" w:rsidRDefault="00A45C42" w:rsidP="00D94B99">
            <w:pPr>
              <w:pStyle w:val="TableTextS5"/>
              <w:rPr>
                <w:color w:val="000000"/>
              </w:rPr>
            </w:pPr>
            <w:r>
              <w:rPr>
                <w:color w:val="000000"/>
              </w:rPr>
              <w:tab/>
            </w:r>
            <w:r>
              <w:rPr>
                <w:color w:val="000000"/>
              </w:rPr>
              <w:tab/>
            </w:r>
            <w:r>
              <w:rPr>
                <w:color w:val="000000"/>
              </w:rPr>
              <w:tab/>
            </w:r>
            <w:r>
              <w:rPr>
                <w:color w:val="000000"/>
              </w:rPr>
              <w:tab/>
              <w:t>FIXE</w:t>
            </w:r>
          </w:p>
          <w:p w:rsidR="004A6A8C" w:rsidRDefault="00A45C42" w:rsidP="00D94B99">
            <w:pPr>
              <w:pStyle w:val="TableTextS5"/>
              <w:rPr>
                <w:color w:val="000000"/>
              </w:rPr>
            </w:pPr>
            <w:r>
              <w:rPr>
                <w:color w:val="000000"/>
              </w:rPr>
              <w:tab/>
            </w:r>
            <w:r>
              <w:rPr>
                <w:color w:val="000000"/>
              </w:rPr>
              <w:tab/>
            </w:r>
            <w:r>
              <w:rPr>
                <w:color w:val="000000"/>
              </w:rPr>
              <w:tab/>
            </w:r>
            <w:r>
              <w:rPr>
                <w:color w:val="000000"/>
              </w:rPr>
              <w:tab/>
              <w:t>MOBILE sauf mobile aéronautique</w:t>
            </w:r>
          </w:p>
          <w:p w:rsidR="004A6A8C" w:rsidRDefault="00A45C42" w:rsidP="00D94B99">
            <w:pPr>
              <w:pStyle w:val="TableTextS5"/>
              <w:tabs>
                <w:tab w:val="clear" w:pos="170"/>
                <w:tab w:val="clear" w:pos="567"/>
                <w:tab w:val="clear" w:pos="737"/>
                <w:tab w:val="clear" w:pos="3266"/>
              </w:tabs>
              <w:rPr>
                <w:color w:val="000000"/>
              </w:rPr>
            </w:pPr>
            <w:r>
              <w:rPr>
                <w:color w:val="000000"/>
              </w:rPr>
              <w:tab/>
              <w:t xml:space="preserve">5.338A  </w:t>
            </w:r>
            <w:r w:rsidRPr="00880E98">
              <w:t>5.341</w:t>
            </w:r>
          </w:p>
        </w:tc>
      </w:tr>
      <w:tr w:rsidR="004A6A8C" w:rsidTr="00D94B99">
        <w:trPr>
          <w:cantSplit/>
          <w:jc w:val="center"/>
        </w:trPr>
        <w:tc>
          <w:tcPr>
            <w:tcW w:w="3119" w:type="dxa"/>
            <w:tcBorders>
              <w:top w:val="single" w:sz="6" w:space="0" w:color="auto"/>
              <w:left w:val="single" w:sz="6" w:space="0" w:color="auto"/>
              <w:right w:val="single" w:sz="6" w:space="0" w:color="auto"/>
            </w:tcBorders>
          </w:tcPr>
          <w:p w:rsidR="004A6A8C" w:rsidRDefault="00A45C42" w:rsidP="00D94B99">
            <w:pPr>
              <w:pStyle w:val="TableTextS5"/>
              <w:rPr>
                <w:color w:val="000000"/>
              </w:rPr>
            </w:pPr>
            <w:r w:rsidRPr="0046453D">
              <w:rPr>
                <w:rStyle w:val="Tablefreq"/>
              </w:rPr>
              <w:t>1</w:t>
            </w:r>
            <w:r>
              <w:rPr>
                <w:rStyle w:val="Tablefreq"/>
              </w:rPr>
              <w:t> </w:t>
            </w:r>
            <w:r w:rsidRPr="0046453D">
              <w:rPr>
                <w:rStyle w:val="Tablefreq"/>
              </w:rPr>
              <w:t>429-1</w:t>
            </w:r>
            <w:r>
              <w:rPr>
                <w:rStyle w:val="Tablefreq"/>
              </w:rPr>
              <w:t> </w:t>
            </w:r>
            <w:r w:rsidRPr="0046453D">
              <w:rPr>
                <w:rStyle w:val="Tablefreq"/>
              </w:rPr>
              <w:t>452</w:t>
            </w:r>
          </w:p>
          <w:p w:rsidR="004A6A8C" w:rsidRDefault="00A45C42" w:rsidP="00D94B99">
            <w:pPr>
              <w:pStyle w:val="TableTextS5"/>
              <w:rPr>
                <w:color w:val="000000"/>
                <w:lang w:val="fr-CH"/>
              </w:rPr>
            </w:pPr>
            <w:r>
              <w:rPr>
                <w:color w:val="000000"/>
                <w:lang w:val="fr-CH"/>
              </w:rPr>
              <w:t>FIXE</w:t>
            </w:r>
          </w:p>
          <w:p w:rsidR="004A6A8C" w:rsidRDefault="00A45C42" w:rsidP="00D94B99">
            <w:pPr>
              <w:pStyle w:val="TableTextS5"/>
              <w:rPr>
                <w:color w:val="000000"/>
                <w:lang w:val="fr-CH"/>
              </w:rPr>
            </w:pPr>
            <w:r>
              <w:rPr>
                <w:color w:val="000000"/>
                <w:lang w:val="fr-CH"/>
              </w:rPr>
              <w:t>MOBILE sauf mobile aéronautique</w:t>
            </w:r>
          </w:p>
        </w:tc>
        <w:tc>
          <w:tcPr>
            <w:tcW w:w="6237" w:type="dxa"/>
            <w:gridSpan w:val="2"/>
            <w:tcBorders>
              <w:top w:val="single" w:sz="6" w:space="0" w:color="auto"/>
              <w:left w:val="single" w:sz="6" w:space="0" w:color="auto"/>
              <w:right w:val="single" w:sz="6" w:space="0" w:color="auto"/>
            </w:tcBorders>
          </w:tcPr>
          <w:p w:rsidR="004A6A8C" w:rsidRDefault="00A45C42" w:rsidP="00D94B99">
            <w:pPr>
              <w:pStyle w:val="TableTextS5"/>
              <w:rPr>
                <w:color w:val="000000"/>
              </w:rPr>
            </w:pPr>
            <w:r w:rsidRPr="0046453D">
              <w:rPr>
                <w:rStyle w:val="Tablefreq"/>
              </w:rPr>
              <w:t>1</w:t>
            </w:r>
            <w:r>
              <w:rPr>
                <w:rStyle w:val="Tablefreq"/>
              </w:rPr>
              <w:t> </w:t>
            </w:r>
            <w:r w:rsidRPr="0046453D">
              <w:rPr>
                <w:rStyle w:val="Tablefreq"/>
              </w:rPr>
              <w:t>429-1</w:t>
            </w:r>
            <w:r>
              <w:rPr>
                <w:rStyle w:val="Tablefreq"/>
              </w:rPr>
              <w:t> </w:t>
            </w:r>
            <w:r w:rsidRPr="0046453D">
              <w:rPr>
                <w:rStyle w:val="Tablefreq"/>
              </w:rPr>
              <w:t>452</w:t>
            </w:r>
          </w:p>
          <w:p w:rsidR="004A6A8C" w:rsidRDefault="00A45C42" w:rsidP="00D94B99">
            <w:pPr>
              <w:pStyle w:val="TableTextS5"/>
              <w:tabs>
                <w:tab w:val="clear" w:pos="170"/>
                <w:tab w:val="clear" w:pos="737"/>
                <w:tab w:val="clear" w:pos="2977"/>
                <w:tab w:val="clear" w:pos="3266"/>
              </w:tabs>
              <w:rPr>
                <w:color w:val="000000"/>
                <w:lang w:val="fr-CH"/>
              </w:rPr>
            </w:pPr>
            <w:r>
              <w:rPr>
                <w:color w:val="000000"/>
                <w:lang w:val="fr-CH"/>
              </w:rPr>
              <w:tab/>
              <w:t>FIXE</w:t>
            </w:r>
          </w:p>
          <w:p w:rsidR="004A6A8C" w:rsidRDefault="00A45C42" w:rsidP="00D94B99">
            <w:pPr>
              <w:pStyle w:val="TableTextS5"/>
              <w:tabs>
                <w:tab w:val="clear" w:pos="170"/>
                <w:tab w:val="clear" w:pos="737"/>
                <w:tab w:val="clear" w:pos="2977"/>
                <w:tab w:val="clear" w:pos="3266"/>
              </w:tabs>
              <w:rPr>
                <w:color w:val="000000"/>
                <w:lang w:val="fr-CH"/>
              </w:rPr>
            </w:pPr>
            <w:r>
              <w:rPr>
                <w:color w:val="000000"/>
                <w:lang w:val="fr-CH"/>
              </w:rPr>
              <w:tab/>
              <w:t xml:space="preserve">MOBILE  </w:t>
            </w:r>
            <w:r w:rsidRPr="00880E98">
              <w:t>5.343</w:t>
            </w:r>
          </w:p>
        </w:tc>
      </w:tr>
      <w:tr w:rsidR="004A6A8C" w:rsidTr="00D94B99">
        <w:trPr>
          <w:cantSplit/>
          <w:jc w:val="center"/>
        </w:trPr>
        <w:tc>
          <w:tcPr>
            <w:tcW w:w="3119" w:type="dxa"/>
            <w:tcBorders>
              <w:left w:val="single" w:sz="6" w:space="0" w:color="auto"/>
              <w:bottom w:val="single" w:sz="6" w:space="0" w:color="auto"/>
              <w:right w:val="single" w:sz="6" w:space="0" w:color="auto"/>
            </w:tcBorders>
          </w:tcPr>
          <w:p w:rsidR="004A6A8C" w:rsidRDefault="00A45C42" w:rsidP="00D94B99">
            <w:pPr>
              <w:pStyle w:val="TableTextS5"/>
              <w:rPr>
                <w:rStyle w:val="Tablefreq"/>
                <w:color w:val="000000"/>
                <w:lang w:val="fr-CH"/>
              </w:rPr>
            </w:pPr>
            <w:r w:rsidRPr="00880E98">
              <w:t>5.33</w:t>
            </w:r>
            <w:r>
              <w:t>8</w:t>
            </w:r>
            <w:r w:rsidRPr="00880E98">
              <w:t>A</w:t>
            </w:r>
            <w:r>
              <w:rPr>
                <w:color w:val="000000"/>
              </w:rPr>
              <w:t xml:space="preserve">  </w:t>
            </w:r>
            <w:r w:rsidRPr="00880E98">
              <w:t>5.341</w:t>
            </w:r>
            <w:r>
              <w:rPr>
                <w:color w:val="000000"/>
                <w:lang w:val="fr-CH"/>
              </w:rPr>
              <w:t xml:space="preserve">  </w:t>
            </w:r>
            <w:r w:rsidRPr="00880E98">
              <w:t>5.342</w:t>
            </w:r>
          </w:p>
        </w:tc>
        <w:tc>
          <w:tcPr>
            <w:tcW w:w="6237" w:type="dxa"/>
            <w:gridSpan w:val="2"/>
            <w:tcBorders>
              <w:left w:val="single" w:sz="6" w:space="0" w:color="auto"/>
              <w:bottom w:val="single" w:sz="6" w:space="0" w:color="auto"/>
              <w:right w:val="single" w:sz="6" w:space="0" w:color="auto"/>
            </w:tcBorders>
          </w:tcPr>
          <w:p w:rsidR="004A6A8C" w:rsidRDefault="00A45C42" w:rsidP="00D94B99">
            <w:pPr>
              <w:pStyle w:val="TableTextS5"/>
              <w:tabs>
                <w:tab w:val="clear" w:pos="170"/>
                <w:tab w:val="clear" w:pos="737"/>
                <w:tab w:val="clear" w:pos="2977"/>
                <w:tab w:val="clear" w:pos="3266"/>
              </w:tabs>
              <w:rPr>
                <w:rStyle w:val="Tablefreq"/>
                <w:color w:val="000000"/>
                <w:lang w:val="fr-CH"/>
              </w:rPr>
            </w:pPr>
            <w:r>
              <w:rPr>
                <w:color w:val="000000"/>
                <w:lang w:val="fr-CH"/>
              </w:rPr>
              <w:tab/>
            </w:r>
            <w:r w:rsidRPr="00880E98">
              <w:t>5.338A</w:t>
            </w:r>
            <w:r>
              <w:rPr>
                <w:color w:val="000000"/>
                <w:lang w:val="fr-CH"/>
              </w:rPr>
              <w:t xml:space="preserve">  </w:t>
            </w:r>
            <w:r w:rsidRPr="00880E98">
              <w:t>5.341</w:t>
            </w:r>
          </w:p>
        </w:tc>
      </w:tr>
    </w:tbl>
    <w:p w:rsidR="008472BE" w:rsidRDefault="00A45C42" w:rsidP="002D0ACD">
      <w:pPr>
        <w:pStyle w:val="Reasons"/>
      </w:pPr>
      <w:r>
        <w:rPr>
          <w:b/>
        </w:rPr>
        <w:t>Motifs:</w:t>
      </w:r>
      <w:r>
        <w:tab/>
      </w:r>
      <w:r>
        <w:rPr>
          <w:lang w:val="fr-CH"/>
        </w:rPr>
        <w:t>Il est proposé de n'apporter aucune modification (</w:t>
      </w:r>
      <w:r w:rsidRPr="000F32E7">
        <w:rPr>
          <w:u w:val="single"/>
          <w:lang w:val="fr-CH"/>
        </w:rPr>
        <w:t>NOC</w:t>
      </w:r>
      <w:r>
        <w:rPr>
          <w:lang w:val="fr-CH"/>
        </w:rPr>
        <w:t>) en ce qui concerne la bande de fréquences</w:t>
      </w:r>
      <w:r w:rsidRPr="00E73E8F">
        <w:rPr>
          <w:lang w:val="fr-CH"/>
        </w:rPr>
        <w:t xml:space="preserve"> </w:t>
      </w:r>
      <w:r w:rsidR="00522A72" w:rsidRPr="00BB7F42">
        <w:rPr>
          <w:rFonts w:hint="eastAsia"/>
          <w:lang w:val="fr-CH"/>
        </w:rPr>
        <w:t>1</w:t>
      </w:r>
      <w:r w:rsidR="00DA671E">
        <w:rPr>
          <w:lang w:val="fr-CH"/>
        </w:rPr>
        <w:t> </w:t>
      </w:r>
      <w:r w:rsidR="00522A72" w:rsidRPr="00BB7F42">
        <w:rPr>
          <w:rFonts w:hint="eastAsia"/>
          <w:lang w:val="fr-CH"/>
        </w:rPr>
        <w:t>427-1</w:t>
      </w:r>
      <w:r w:rsidR="00DA671E">
        <w:rPr>
          <w:lang w:val="fr-CH"/>
        </w:rPr>
        <w:t> 452 </w:t>
      </w:r>
      <w:r w:rsidR="00522A72" w:rsidRPr="00BB7F42">
        <w:rPr>
          <w:rFonts w:hint="eastAsia"/>
          <w:lang w:val="fr-CH"/>
        </w:rPr>
        <w:t>MHz</w:t>
      </w:r>
      <w:r w:rsidRPr="00E73E8F">
        <w:rPr>
          <w:lang w:val="fr-CH"/>
        </w:rPr>
        <w:t>.</w:t>
      </w:r>
      <w:r w:rsidRPr="00E73E8F">
        <w:rPr>
          <w:rFonts w:hint="eastAsia"/>
          <w:lang w:val="fr-CH" w:eastAsia="ja-JP"/>
        </w:rPr>
        <w:t xml:space="preserve"> </w:t>
      </w:r>
      <w:r w:rsidRPr="00E73E8F">
        <w:rPr>
          <w:lang w:val="fr-CH" w:eastAsia="ja-JP"/>
        </w:rPr>
        <w:t xml:space="preserve">Comme indiqué dans la section 1/1.1/4.1.2 du Rapport de la RPC, cette bande de fréquences est actuellement utilisée </w:t>
      </w:r>
      <w:r w:rsidR="00522A72">
        <w:rPr>
          <w:lang w:val="fr-CH" w:eastAsia="ja-JP"/>
        </w:rPr>
        <w:t xml:space="preserve">par le SF et </w:t>
      </w:r>
      <w:r w:rsidR="001C514C">
        <w:rPr>
          <w:lang w:val="fr-CH" w:eastAsia="ja-JP"/>
        </w:rPr>
        <w:t>par</w:t>
      </w:r>
      <w:r w:rsidR="00522A72">
        <w:rPr>
          <w:lang w:val="fr-CH" w:eastAsia="ja-JP"/>
        </w:rPr>
        <w:t xml:space="preserve"> des systèmes de télémesure </w:t>
      </w:r>
      <w:r w:rsidR="00A665D7">
        <w:rPr>
          <w:lang w:val="fr-CH" w:eastAsia="ja-JP"/>
        </w:rPr>
        <w:t xml:space="preserve">mobile </w:t>
      </w:r>
      <w:r w:rsidR="00522A72">
        <w:rPr>
          <w:lang w:val="fr-CH" w:eastAsia="ja-JP"/>
        </w:rPr>
        <w:t>aéronautique (AMT)</w:t>
      </w:r>
      <w:r>
        <w:rPr>
          <w:lang w:val="fr-CH" w:eastAsia="ja-JP"/>
        </w:rPr>
        <w:t xml:space="preserve">. En cas de partage cocanal, </w:t>
      </w:r>
      <w:r w:rsidR="002C1F64">
        <w:rPr>
          <w:lang w:val="fr-CH" w:eastAsia="ja-JP"/>
        </w:rPr>
        <w:t>les distances de</w:t>
      </w:r>
      <w:r w:rsidR="00522A72">
        <w:rPr>
          <w:lang w:val="fr-CH" w:eastAsia="ja-JP"/>
        </w:rPr>
        <w:t xml:space="preserve"> séparation nécessaire</w:t>
      </w:r>
      <w:r w:rsidR="002C1F64">
        <w:rPr>
          <w:lang w:val="fr-CH" w:eastAsia="ja-JP"/>
        </w:rPr>
        <w:t>s</w:t>
      </w:r>
      <w:r w:rsidR="00522A72">
        <w:rPr>
          <w:lang w:val="fr-CH" w:eastAsia="ja-JP"/>
        </w:rPr>
        <w:t xml:space="preserve"> entre les stations IMT évoluées et les stations du SF ou les stations AMT serai</w:t>
      </w:r>
      <w:r w:rsidR="002C1F64">
        <w:rPr>
          <w:lang w:val="fr-CH" w:eastAsia="ja-JP"/>
        </w:rPr>
        <w:t>en</w:t>
      </w:r>
      <w:r w:rsidR="00522A72">
        <w:rPr>
          <w:lang w:val="fr-CH" w:eastAsia="ja-JP"/>
        </w:rPr>
        <w:t>t dans certain</w:t>
      </w:r>
      <w:r w:rsidR="002D0ACD">
        <w:rPr>
          <w:lang w:val="fr-CH" w:eastAsia="ja-JP"/>
        </w:rPr>
        <w:t>e</w:t>
      </w:r>
      <w:r w:rsidR="00522A72">
        <w:rPr>
          <w:lang w:val="fr-CH" w:eastAsia="ja-JP"/>
        </w:rPr>
        <w:t xml:space="preserve">s </w:t>
      </w:r>
      <w:r w:rsidR="002D0ACD">
        <w:rPr>
          <w:lang w:val="fr-CH" w:eastAsia="ja-JP"/>
        </w:rPr>
        <w:t>circonstances</w:t>
      </w:r>
      <w:r w:rsidR="00522A72">
        <w:rPr>
          <w:lang w:val="fr-CH" w:eastAsia="ja-JP"/>
        </w:rPr>
        <w:t xml:space="preserve"> supérieure</w:t>
      </w:r>
      <w:r w:rsidR="002C1F64">
        <w:rPr>
          <w:lang w:val="fr-CH" w:eastAsia="ja-JP"/>
        </w:rPr>
        <w:t>s</w:t>
      </w:r>
      <w:r w:rsidR="00522A72">
        <w:rPr>
          <w:lang w:val="fr-CH" w:eastAsia="ja-JP"/>
        </w:rPr>
        <w:t xml:space="preserve"> à 100 kilomètres.</w:t>
      </w:r>
    </w:p>
    <w:p w:rsidR="008472BE" w:rsidRDefault="00A45C42">
      <w:pPr>
        <w:pStyle w:val="Proposal"/>
      </w:pPr>
      <w:r>
        <w:rPr>
          <w:u w:val="single"/>
        </w:rPr>
        <w:t>NOC</w:t>
      </w:r>
      <w:r>
        <w:tab/>
        <w:t>CHN/62A1/2</w:t>
      </w:r>
    </w:p>
    <w:p w:rsidR="004A6A8C" w:rsidRDefault="00A45C42" w:rsidP="00D94B99">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19"/>
        <w:gridCol w:w="3118"/>
        <w:gridCol w:w="3119"/>
      </w:tblGrid>
      <w:tr w:rsidR="004A6A8C" w:rsidRPr="0079631D" w:rsidTr="001C514C">
        <w:trPr>
          <w:cantSplit/>
          <w:jc w:val="center"/>
        </w:trPr>
        <w:tc>
          <w:tcPr>
            <w:tcW w:w="9356" w:type="dxa"/>
            <w:gridSpan w:val="3"/>
          </w:tcPr>
          <w:p w:rsidR="004A6A8C" w:rsidRPr="0079631D" w:rsidRDefault="00A45C42" w:rsidP="00D94B99">
            <w:pPr>
              <w:pStyle w:val="Tablehead"/>
            </w:pPr>
            <w:r w:rsidRPr="0079631D">
              <w:t>Attribution aux services</w:t>
            </w:r>
          </w:p>
        </w:tc>
      </w:tr>
      <w:tr w:rsidR="004A6A8C" w:rsidTr="001C514C">
        <w:trPr>
          <w:cantSplit/>
          <w:jc w:val="center"/>
        </w:trPr>
        <w:tc>
          <w:tcPr>
            <w:tcW w:w="3119" w:type="dxa"/>
          </w:tcPr>
          <w:p w:rsidR="004A6A8C" w:rsidRDefault="00A45C42" w:rsidP="00D94B99">
            <w:pPr>
              <w:pStyle w:val="Tablehead"/>
              <w:rPr>
                <w:color w:val="000000"/>
              </w:rPr>
            </w:pPr>
            <w:r>
              <w:rPr>
                <w:color w:val="000000"/>
              </w:rPr>
              <w:t>Région 1</w:t>
            </w:r>
          </w:p>
        </w:tc>
        <w:tc>
          <w:tcPr>
            <w:tcW w:w="3118" w:type="dxa"/>
          </w:tcPr>
          <w:p w:rsidR="004A6A8C" w:rsidRDefault="00A45C42" w:rsidP="00D94B99">
            <w:pPr>
              <w:pStyle w:val="Tablehead"/>
              <w:rPr>
                <w:color w:val="000000"/>
              </w:rPr>
            </w:pPr>
            <w:r>
              <w:rPr>
                <w:color w:val="000000"/>
              </w:rPr>
              <w:t>Région 2</w:t>
            </w:r>
          </w:p>
        </w:tc>
        <w:tc>
          <w:tcPr>
            <w:tcW w:w="3119" w:type="dxa"/>
          </w:tcPr>
          <w:p w:rsidR="004A6A8C" w:rsidRDefault="00A45C42" w:rsidP="00D94B99">
            <w:pPr>
              <w:pStyle w:val="Tablehead"/>
              <w:rPr>
                <w:color w:val="000000"/>
              </w:rPr>
            </w:pPr>
            <w:r>
              <w:rPr>
                <w:color w:val="000000"/>
              </w:rPr>
              <w:t>Région 3</w:t>
            </w:r>
          </w:p>
        </w:tc>
      </w:tr>
      <w:tr w:rsidR="004A6A8C" w:rsidTr="001C514C">
        <w:trPr>
          <w:cantSplit/>
          <w:jc w:val="center"/>
        </w:trPr>
        <w:tc>
          <w:tcPr>
            <w:tcW w:w="3119" w:type="dxa"/>
          </w:tcPr>
          <w:p w:rsidR="004A6A8C" w:rsidRDefault="00A45C42" w:rsidP="00D94B99">
            <w:pPr>
              <w:pStyle w:val="TableTextS5"/>
              <w:rPr>
                <w:color w:val="000000"/>
              </w:rPr>
            </w:pPr>
            <w:r w:rsidRPr="0046453D">
              <w:rPr>
                <w:rStyle w:val="Tablefreq"/>
              </w:rPr>
              <w:t>1</w:t>
            </w:r>
            <w:r>
              <w:rPr>
                <w:rStyle w:val="Tablefreq"/>
              </w:rPr>
              <w:t> </w:t>
            </w:r>
            <w:r w:rsidRPr="0046453D">
              <w:rPr>
                <w:rStyle w:val="Tablefreq"/>
              </w:rPr>
              <w:t>452-1</w:t>
            </w:r>
            <w:r>
              <w:rPr>
                <w:rStyle w:val="Tablefreq"/>
              </w:rPr>
              <w:t> </w:t>
            </w:r>
            <w:r w:rsidRPr="0046453D">
              <w:rPr>
                <w:rStyle w:val="Tablefreq"/>
              </w:rPr>
              <w:t>492</w:t>
            </w:r>
          </w:p>
          <w:p w:rsidR="004A6A8C" w:rsidRDefault="00A45C42" w:rsidP="00D94B99">
            <w:pPr>
              <w:pStyle w:val="TableTextS5"/>
              <w:rPr>
                <w:color w:val="000000"/>
                <w:lang w:val="fr-CH"/>
              </w:rPr>
            </w:pPr>
            <w:r>
              <w:rPr>
                <w:color w:val="000000"/>
                <w:lang w:val="fr-CH"/>
              </w:rPr>
              <w:t>FIXE</w:t>
            </w:r>
          </w:p>
          <w:p w:rsidR="004A6A8C" w:rsidRDefault="00A45C42" w:rsidP="00D94B99">
            <w:pPr>
              <w:pStyle w:val="TableTextS5"/>
              <w:rPr>
                <w:color w:val="000000"/>
                <w:lang w:val="fr-CH"/>
              </w:rPr>
            </w:pPr>
            <w:r>
              <w:rPr>
                <w:color w:val="000000"/>
                <w:lang w:val="fr-CH"/>
              </w:rPr>
              <w:t>MOBILE sauf mobile aéronautique</w:t>
            </w:r>
          </w:p>
          <w:p w:rsidR="004A6A8C" w:rsidRDefault="00A45C42" w:rsidP="00D94B99">
            <w:pPr>
              <w:pStyle w:val="TableTextS5"/>
              <w:rPr>
                <w:color w:val="000000"/>
                <w:lang w:val="fr-CH"/>
              </w:rPr>
            </w:pPr>
            <w:r>
              <w:rPr>
                <w:color w:val="000000"/>
                <w:lang w:val="fr-CH"/>
              </w:rPr>
              <w:t>RADIODIFFUSION</w:t>
            </w:r>
          </w:p>
          <w:p w:rsidR="004A6A8C" w:rsidRDefault="00A45C42" w:rsidP="00D94B99">
            <w:pPr>
              <w:pStyle w:val="TableTextS5"/>
              <w:tabs>
                <w:tab w:val="clear" w:pos="567"/>
                <w:tab w:val="clear" w:pos="737"/>
                <w:tab w:val="clear" w:pos="2977"/>
                <w:tab w:val="clear" w:pos="3266"/>
                <w:tab w:val="left" w:pos="227"/>
              </w:tabs>
              <w:ind w:left="170" w:right="-113" w:hanging="170"/>
              <w:rPr>
                <w:color w:val="000000"/>
                <w:spacing w:val="-2"/>
                <w:lang w:val="fr-CH"/>
              </w:rPr>
            </w:pPr>
            <w:r>
              <w:rPr>
                <w:color w:val="000000"/>
                <w:spacing w:val="-2"/>
                <w:lang w:val="fr-CH"/>
              </w:rPr>
              <w:t xml:space="preserve">RADIODIFFUSION PAR SATELLITE  5.208B  </w:t>
            </w:r>
            <w:r w:rsidRPr="00880E98">
              <w:br/>
            </w:r>
            <w:r w:rsidRPr="00880E98">
              <w:br/>
              <w:t>5.341</w:t>
            </w:r>
            <w:r>
              <w:rPr>
                <w:color w:val="000000"/>
              </w:rPr>
              <w:t xml:space="preserve">  </w:t>
            </w:r>
            <w:r w:rsidRPr="00880E98">
              <w:t>5.342</w:t>
            </w:r>
            <w:r>
              <w:t xml:space="preserve">  </w:t>
            </w:r>
            <w:r w:rsidRPr="00880E98">
              <w:t>5.345</w:t>
            </w:r>
          </w:p>
        </w:tc>
        <w:tc>
          <w:tcPr>
            <w:tcW w:w="6237" w:type="dxa"/>
            <w:gridSpan w:val="2"/>
          </w:tcPr>
          <w:p w:rsidR="004A6A8C" w:rsidRDefault="00A45C42" w:rsidP="00D94B99">
            <w:pPr>
              <w:pStyle w:val="TableTextS5"/>
              <w:rPr>
                <w:color w:val="000000"/>
              </w:rPr>
            </w:pPr>
            <w:r w:rsidRPr="0046453D">
              <w:rPr>
                <w:rStyle w:val="Tablefreq"/>
              </w:rPr>
              <w:t>1</w:t>
            </w:r>
            <w:r>
              <w:rPr>
                <w:rStyle w:val="Tablefreq"/>
              </w:rPr>
              <w:t> </w:t>
            </w:r>
            <w:r w:rsidRPr="0046453D">
              <w:rPr>
                <w:rStyle w:val="Tablefreq"/>
              </w:rPr>
              <w:t>452-1</w:t>
            </w:r>
            <w:r>
              <w:rPr>
                <w:rStyle w:val="Tablefreq"/>
              </w:rPr>
              <w:t> </w:t>
            </w:r>
            <w:r w:rsidRPr="0046453D">
              <w:rPr>
                <w:rStyle w:val="Tablefreq"/>
              </w:rPr>
              <w:t>492</w:t>
            </w:r>
          </w:p>
          <w:p w:rsidR="004A6A8C" w:rsidRDefault="00A45C42" w:rsidP="00D94B99">
            <w:pPr>
              <w:pStyle w:val="TableTextS5"/>
              <w:tabs>
                <w:tab w:val="clear" w:pos="170"/>
                <w:tab w:val="clear" w:pos="737"/>
                <w:tab w:val="clear" w:pos="2977"/>
                <w:tab w:val="clear" w:pos="3266"/>
              </w:tabs>
              <w:rPr>
                <w:color w:val="000000"/>
                <w:lang w:val="fr-CH"/>
              </w:rPr>
            </w:pPr>
            <w:r>
              <w:rPr>
                <w:color w:val="000000"/>
                <w:lang w:val="fr-CH"/>
              </w:rPr>
              <w:tab/>
              <w:t>FIXE</w:t>
            </w:r>
          </w:p>
          <w:p w:rsidR="004A6A8C" w:rsidRPr="00880E98" w:rsidRDefault="00A45C42" w:rsidP="00D94B99">
            <w:pPr>
              <w:pStyle w:val="TableTextS5"/>
              <w:tabs>
                <w:tab w:val="clear" w:pos="170"/>
                <w:tab w:val="clear" w:pos="737"/>
                <w:tab w:val="clear" w:pos="2977"/>
                <w:tab w:val="clear" w:pos="3266"/>
              </w:tabs>
            </w:pPr>
            <w:r>
              <w:rPr>
                <w:color w:val="000000"/>
                <w:lang w:val="fr-CH"/>
              </w:rPr>
              <w:tab/>
              <w:t xml:space="preserve">MOBILE  </w:t>
            </w:r>
            <w:r w:rsidRPr="00880E98">
              <w:t>5.343</w:t>
            </w:r>
          </w:p>
          <w:p w:rsidR="004A6A8C" w:rsidRDefault="00A45C42" w:rsidP="00D94B99">
            <w:pPr>
              <w:pStyle w:val="TableTextS5"/>
              <w:tabs>
                <w:tab w:val="clear" w:pos="170"/>
                <w:tab w:val="clear" w:pos="737"/>
                <w:tab w:val="clear" w:pos="2977"/>
                <w:tab w:val="clear" w:pos="3266"/>
              </w:tabs>
              <w:ind w:left="567" w:hanging="567"/>
              <w:rPr>
                <w:color w:val="000000"/>
                <w:lang w:val="fr-CH"/>
              </w:rPr>
            </w:pPr>
            <w:r>
              <w:rPr>
                <w:color w:val="000000"/>
                <w:lang w:val="fr-CH"/>
              </w:rPr>
              <w:tab/>
              <w:t xml:space="preserve">RADIODIFFUSION  </w:t>
            </w:r>
          </w:p>
          <w:p w:rsidR="004A6A8C" w:rsidRDefault="00A45C42" w:rsidP="00D94B99">
            <w:pPr>
              <w:pStyle w:val="TableTextS5"/>
              <w:tabs>
                <w:tab w:val="clear" w:pos="170"/>
                <w:tab w:val="clear" w:pos="737"/>
                <w:tab w:val="clear" w:pos="2977"/>
                <w:tab w:val="clear" w:pos="3266"/>
              </w:tabs>
              <w:ind w:left="567" w:hanging="567"/>
              <w:rPr>
                <w:color w:val="000000"/>
              </w:rPr>
            </w:pPr>
            <w:r>
              <w:rPr>
                <w:color w:val="000000"/>
                <w:lang w:val="fr-CH"/>
              </w:rPr>
              <w:tab/>
              <w:t xml:space="preserve">RADIODIFFUSION PAR SATELLITE  5.208B  </w:t>
            </w:r>
          </w:p>
          <w:p w:rsidR="004A6A8C" w:rsidRDefault="00A45C42" w:rsidP="00D94B99">
            <w:pPr>
              <w:pStyle w:val="TableTextS5"/>
              <w:tabs>
                <w:tab w:val="clear" w:pos="170"/>
                <w:tab w:val="clear" w:pos="737"/>
                <w:tab w:val="clear" w:pos="2977"/>
                <w:tab w:val="clear" w:pos="3266"/>
              </w:tabs>
              <w:ind w:left="567" w:hanging="567"/>
              <w:rPr>
                <w:color w:val="000000"/>
                <w:lang w:val="fr-CH"/>
              </w:rPr>
            </w:pPr>
            <w:r>
              <w:rPr>
                <w:color w:val="000000"/>
                <w:lang w:val="fr-CH"/>
              </w:rPr>
              <w:br/>
            </w:r>
            <w:r>
              <w:rPr>
                <w:color w:val="000000"/>
                <w:lang w:val="fr-CH"/>
              </w:rPr>
              <w:br/>
            </w:r>
            <w:r w:rsidRPr="00E65847">
              <w:t>5.341</w:t>
            </w:r>
            <w:r>
              <w:rPr>
                <w:color w:val="000000"/>
              </w:rPr>
              <w:t xml:space="preserve">  </w:t>
            </w:r>
            <w:r w:rsidRPr="00E65847">
              <w:t xml:space="preserve">5.344  </w:t>
            </w:r>
            <w:r w:rsidRPr="00880E98">
              <w:t>5.345</w:t>
            </w:r>
          </w:p>
        </w:tc>
      </w:tr>
    </w:tbl>
    <w:p w:rsidR="008472BE" w:rsidRPr="001C514C" w:rsidRDefault="00A45C42" w:rsidP="002D0ACD">
      <w:pPr>
        <w:pStyle w:val="Reasons"/>
        <w:rPr>
          <w:lang w:val="fr-CH" w:eastAsia="ja-JP"/>
        </w:rPr>
      </w:pPr>
      <w:r>
        <w:rPr>
          <w:b/>
        </w:rPr>
        <w:t>Motifs:</w:t>
      </w:r>
      <w:r>
        <w:tab/>
      </w:r>
      <w:r>
        <w:rPr>
          <w:lang w:val="fr-CH"/>
        </w:rPr>
        <w:t>Il est proposé de n'apporter aucune modification (</w:t>
      </w:r>
      <w:r w:rsidRPr="000F32E7">
        <w:rPr>
          <w:u w:val="single"/>
          <w:lang w:val="fr-CH"/>
        </w:rPr>
        <w:t>NOC</w:t>
      </w:r>
      <w:r>
        <w:rPr>
          <w:lang w:val="fr-CH"/>
        </w:rPr>
        <w:t>) en ce qui concerne la bande de fréquences</w:t>
      </w:r>
      <w:r w:rsidRPr="00E73E8F">
        <w:rPr>
          <w:lang w:val="fr-CH"/>
        </w:rPr>
        <w:t xml:space="preserve"> </w:t>
      </w:r>
      <w:r w:rsidR="00522A72">
        <w:rPr>
          <w:lang w:val="fr-CH" w:eastAsia="ja-JP"/>
        </w:rPr>
        <w:t>1 452-1 492 </w:t>
      </w:r>
      <w:r w:rsidRPr="00E73E8F">
        <w:rPr>
          <w:lang w:val="fr-CH"/>
        </w:rPr>
        <w:t>MHz.</w:t>
      </w:r>
      <w:r w:rsidRPr="00E73E8F">
        <w:rPr>
          <w:rFonts w:hint="eastAsia"/>
          <w:lang w:val="fr-CH" w:eastAsia="ja-JP"/>
        </w:rPr>
        <w:t xml:space="preserve"> </w:t>
      </w:r>
      <w:r w:rsidRPr="00E73E8F">
        <w:rPr>
          <w:lang w:val="fr-CH" w:eastAsia="ja-JP"/>
        </w:rPr>
        <w:t xml:space="preserve">Comme indiqué dans la section 1/1.1/4.1.2 du Rapport de la RPC, cette bande de fréquences est actuellement utilisée </w:t>
      </w:r>
      <w:r w:rsidR="00522A72">
        <w:rPr>
          <w:lang w:val="fr-CH" w:eastAsia="ja-JP"/>
        </w:rPr>
        <w:t>par le SF, le SR et le SRS</w:t>
      </w:r>
      <w:r w:rsidR="001C514C">
        <w:rPr>
          <w:lang w:val="fr-CH" w:eastAsia="ja-JP"/>
        </w:rPr>
        <w:t xml:space="preserve">, </w:t>
      </w:r>
      <w:r w:rsidR="00A665D7">
        <w:rPr>
          <w:lang w:val="fr-CH" w:eastAsia="ja-JP"/>
        </w:rPr>
        <w:t xml:space="preserve">ainsi que </w:t>
      </w:r>
      <w:r w:rsidRPr="00E73E8F">
        <w:rPr>
          <w:lang w:val="fr-CH" w:eastAsia="ja-JP"/>
        </w:rPr>
        <w:t xml:space="preserve">par </w:t>
      </w:r>
      <w:r w:rsidR="001C514C">
        <w:rPr>
          <w:lang w:val="fr-CH" w:eastAsia="ja-JP"/>
        </w:rPr>
        <w:t xml:space="preserve">des systèmes de télémesure </w:t>
      </w:r>
      <w:r w:rsidR="00A665D7">
        <w:rPr>
          <w:lang w:val="fr-CH" w:eastAsia="ja-JP"/>
        </w:rPr>
        <w:t xml:space="preserve">mobile </w:t>
      </w:r>
      <w:r w:rsidR="001C514C">
        <w:rPr>
          <w:lang w:val="fr-CH" w:eastAsia="ja-JP"/>
        </w:rPr>
        <w:t xml:space="preserve">aéronautique (AMT). En cas de partage cocanal, </w:t>
      </w:r>
      <w:r w:rsidR="002C1F64">
        <w:rPr>
          <w:lang w:val="fr-CH" w:eastAsia="ja-JP"/>
        </w:rPr>
        <w:t>les distances de séparation</w:t>
      </w:r>
      <w:r w:rsidR="001C514C">
        <w:rPr>
          <w:lang w:val="fr-CH" w:eastAsia="ja-JP"/>
        </w:rPr>
        <w:t xml:space="preserve"> nécessaire</w:t>
      </w:r>
      <w:r w:rsidR="002C1F64">
        <w:rPr>
          <w:lang w:val="fr-CH" w:eastAsia="ja-JP"/>
        </w:rPr>
        <w:t>s</w:t>
      </w:r>
      <w:r w:rsidR="001C514C">
        <w:rPr>
          <w:lang w:val="fr-CH" w:eastAsia="ja-JP"/>
        </w:rPr>
        <w:t xml:space="preserve"> entre les stations IMT évoluées et les</w:t>
      </w:r>
      <w:r w:rsidR="007E1634">
        <w:rPr>
          <w:lang w:val="fr-CH" w:eastAsia="ja-JP"/>
        </w:rPr>
        <w:t xml:space="preserve"> stations du SF ou les stations </w:t>
      </w:r>
      <w:r w:rsidR="001C514C">
        <w:rPr>
          <w:lang w:val="fr-CH" w:eastAsia="ja-JP"/>
        </w:rPr>
        <w:t>AMT serai</w:t>
      </w:r>
      <w:r w:rsidR="002C1F64">
        <w:rPr>
          <w:lang w:val="fr-CH" w:eastAsia="ja-JP"/>
        </w:rPr>
        <w:t>en</w:t>
      </w:r>
      <w:r w:rsidR="001C514C">
        <w:rPr>
          <w:lang w:val="fr-CH" w:eastAsia="ja-JP"/>
        </w:rPr>
        <w:t>t dans certain</w:t>
      </w:r>
      <w:r w:rsidR="002D0ACD">
        <w:rPr>
          <w:lang w:val="fr-CH" w:eastAsia="ja-JP"/>
        </w:rPr>
        <w:t>es circonstances</w:t>
      </w:r>
      <w:r w:rsidR="001C514C">
        <w:rPr>
          <w:lang w:val="fr-CH" w:eastAsia="ja-JP"/>
        </w:rPr>
        <w:t xml:space="preserve"> supérieure</w:t>
      </w:r>
      <w:r w:rsidR="002C1F64">
        <w:rPr>
          <w:lang w:val="fr-CH" w:eastAsia="ja-JP"/>
        </w:rPr>
        <w:t>s</w:t>
      </w:r>
      <w:r w:rsidR="001C514C">
        <w:rPr>
          <w:lang w:val="fr-CH" w:eastAsia="ja-JP"/>
        </w:rPr>
        <w:t xml:space="preserve"> à 100 kilomètres, et le partage</w:t>
      </w:r>
      <w:r w:rsidR="007E1634">
        <w:rPr>
          <w:lang w:val="fr-CH" w:eastAsia="ja-JP"/>
        </w:rPr>
        <w:t xml:space="preserve"> entre les stations </w:t>
      </w:r>
      <w:r w:rsidR="001C514C">
        <w:rPr>
          <w:lang w:val="fr-CH" w:eastAsia="ja-JP"/>
        </w:rPr>
        <w:t>IMT évoluées et les stations du SR ou d</w:t>
      </w:r>
      <w:r w:rsidR="00A665D7">
        <w:rPr>
          <w:lang w:val="fr-CH" w:eastAsia="ja-JP"/>
        </w:rPr>
        <w:t>u</w:t>
      </w:r>
      <w:r w:rsidR="001C514C">
        <w:rPr>
          <w:lang w:val="fr-CH" w:eastAsia="ja-JP"/>
        </w:rPr>
        <w:t xml:space="preserve"> SRS n'est pas possible dans la même zone.</w:t>
      </w:r>
    </w:p>
    <w:p w:rsidR="008472BE" w:rsidRDefault="00A45C42">
      <w:pPr>
        <w:pStyle w:val="Proposal"/>
      </w:pPr>
      <w:r>
        <w:rPr>
          <w:u w:val="single"/>
        </w:rPr>
        <w:lastRenderedPageBreak/>
        <w:t>NOC</w:t>
      </w:r>
      <w:r>
        <w:tab/>
        <w:t>CHN/62A1/3</w:t>
      </w:r>
    </w:p>
    <w:p w:rsidR="004A6A8C" w:rsidRDefault="00A45C42" w:rsidP="00D94B99">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0"/>
        <w:gridCol w:w="3127"/>
      </w:tblGrid>
      <w:tr w:rsidR="004A6A8C" w:rsidRPr="0079631D" w:rsidTr="00D94B99">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4A6A8C" w:rsidRPr="0079631D" w:rsidRDefault="00A45C42" w:rsidP="00D94B99">
            <w:pPr>
              <w:pStyle w:val="Tablehead"/>
            </w:pPr>
            <w:r w:rsidRPr="0079631D">
              <w:t>Attribution aux services</w:t>
            </w:r>
          </w:p>
        </w:tc>
      </w:tr>
      <w:tr w:rsidR="004A6A8C" w:rsidTr="00B1788F">
        <w:trPr>
          <w:cantSplit/>
          <w:jc w:val="center"/>
        </w:trPr>
        <w:tc>
          <w:tcPr>
            <w:tcW w:w="3119" w:type="dxa"/>
            <w:tcBorders>
              <w:top w:val="single" w:sz="6" w:space="0" w:color="auto"/>
              <w:left w:val="single" w:sz="6" w:space="0" w:color="auto"/>
              <w:bottom w:val="single" w:sz="6" w:space="0" w:color="auto"/>
              <w:right w:val="single" w:sz="6" w:space="0" w:color="auto"/>
            </w:tcBorders>
          </w:tcPr>
          <w:p w:rsidR="004A6A8C" w:rsidRDefault="00A45C42" w:rsidP="00D94B99">
            <w:pPr>
              <w:pStyle w:val="Tablehead"/>
              <w:rPr>
                <w:color w:val="000000"/>
              </w:rPr>
            </w:pPr>
            <w:r>
              <w:rPr>
                <w:color w:val="000000"/>
              </w:rPr>
              <w:t>Région 1</w:t>
            </w:r>
          </w:p>
        </w:tc>
        <w:tc>
          <w:tcPr>
            <w:tcW w:w="3110" w:type="dxa"/>
            <w:tcBorders>
              <w:top w:val="single" w:sz="6" w:space="0" w:color="auto"/>
              <w:left w:val="single" w:sz="6" w:space="0" w:color="auto"/>
              <w:bottom w:val="single" w:sz="6" w:space="0" w:color="auto"/>
              <w:right w:val="single" w:sz="6" w:space="0" w:color="auto"/>
            </w:tcBorders>
          </w:tcPr>
          <w:p w:rsidR="004A6A8C" w:rsidRDefault="00A45C42" w:rsidP="00D94B99">
            <w:pPr>
              <w:pStyle w:val="Tablehead"/>
              <w:rPr>
                <w:color w:val="000000"/>
              </w:rPr>
            </w:pPr>
            <w:r>
              <w:rPr>
                <w:color w:val="000000"/>
              </w:rPr>
              <w:t>Région 2</w:t>
            </w:r>
          </w:p>
        </w:tc>
        <w:tc>
          <w:tcPr>
            <w:tcW w:w="3127" w:type="dxa"/>
            <w:tcBorders>
              <w:top w:val="single" w:sz="6" w:space="0" w:color="auto"/>
              <w:left w:val="single" w:sz="6" w:space="0" w:color="auto"/>
              <w:bottom w:val="single" w:sz="6" w:space="0" w:color="auto"/>
              <w:right w:val="single" w:sz="6" w:space="0" w:color="auto"/>
            </w:tcBorders>
          </w:tcPr>
          <w:p w:rsidR="004A6A8C" w:rsidRDefault="00A45C42" w:rsidP="00D94B99">
            <w:pPr>
              <w:pStyle w:val="Tablehead"/>
              <w:rPr>
                <w:color w:val="000000"/>
              </w:rPr>
            </w:pPr>
            <w:r>
              <w:rPr>
                <w:color w:val="000000"/>
              </w:rPr>
              <w:t>Région 3</w:t>
            </w:r>
          </w:p>
        </w:tc>
      </w:tr>
      <w:tr w:rsidR="004A6A8C" w:rsidTr="00B1788F">
        <w:trPr>
          <w:cantSplit/>
          <w:jc w:val="center"/>
        </w:trPr>
        <w:tc>
          <w:tcPr>
            <w:tcW w:w="3119" w:type="dxa"/>
            <w:tcBorders>
              <w:top w:val="single" w:sz="6" w:space="0" w:color="auto"/>
              <w:left w:val="single" w:sz="6" w:space="0" w:color="auto"/>
              <w:right w:val="single" w:sz="6" w:space="0" w:color="auto"/>
            </w:tcBorders>
          </w:tcPr>
          <w:p w:rsidR="004A6A8C" w:rsidRDefault="00A45C42" w:rsidP="00D94B99">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4A6A8C" w:rsidRDefault="00A45C42" w:rsidP="00D94B99">
            <w:pPr>
              <w:pStyle w:val="TableTextS5"/>
              <w:rPr>
                <w:color w:val="000000"/>
                <w:lang w:val="fr-CH"/>
              </w:rPr>
            </w:pPr>
            <w:r>
              <w:rPr>
                <w:color w:val="000000"/>
                <w:lang w:val="fr-CH"/>
              </w:rPr>
              <w:t>FIXE</w:t>
            </w:r>
          </w:p>
          <w:p w:rsidR="004A6A8C" w:rsidRDefault="00A45C42" w:rsidP="00D94B99">
            <w:pPr>
              <w:pStyle w:val="TableTextS5"/>
              <w:rPr>
                <w:color w:val="000000"/>
                <w:lang w:val="fr-CH"/>
              </w:rPr>
            </w:pPr>
            <w:r>
              <w:rPr>
                <w:color w:val="000000"/>
                <w:lang w:val="fr-CH"/>
              </w:rPr>
              <w:t>MOBILE sauf mobile aéronautique</w:t>
            </w:r>
          </w:p>
        </w:tc>
        <w:tc>
          <w:tcPr>
            <w:tcW w:w="3110" w:type="dxa"/>
            <w:tcBorders>
              <w:top w:val="single" w:sz="6" w:space="0" w:color="auto"/>
              <w:left w:val="single" w:sz="6" w:space="0" w:color="auto"/>
              <w:right w:val="single" w:sz="6" w:space="0" w:color="auto"/>
            </w:tcBorders>
          </w:tcPr>
          <w:p w:rsidR="004A6A8C" w:rsidRDefault="00A45C42" w:rsidP="00D94B99">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4A6A8C" w:rsidRDefault="00A45C42" w:rsidP="00D94B99">
            <w:pPr>
              <w:pStyle w:val="TableTextS5"/>
              <w:rPr>
                <w:color w:val="000000"/>
                <w:lang w:val="fr-CH"/>
              </w:rPr>
            </w:pPr>
            <w:r>
              <w:rPr>
                <w:color w:val="000000"/>
                <w:lang w:val="fr-CH"/>
              </w:rPr>
              <w:t>FIXE</w:t>
            </w:r>
          </w:p>
          <w:p w:rsidR="004A6A8C" w:rsidRDefault="00A45C42" w:rsidP="00D94B99">
            <w:pPr>
              <w:pStyle w:val="TableTextS5"/>
              <w:ind w:left="170" w:hanging="170"/>
              <w:rPr>
                <w:color w:val="000000"/>
                <w:lang w:val="fr-CH"/>
              </w:rPr>
            </w:pPr>
            <w:r>
              <w:rPr>
                <w:color w:val="000000"/>
                <w:lang w:val="fr-CH"/>
              </w:rPr>
              <w:t xml:space="preserve">MOBILE  </w:t>
            </w:r>
            <w:r>
              <w:rPr>
                <w:rStyle w:val="Artref"/>
                <w:color w:val="000000"/>
                <w:lang w:val="fr-CH"/>
              </w:rPr>
              <w:t>5.343</w:t>
            </w:r>
          </w:p>
        </w:tc>
        <w:tc>
          <w:tcPr>
            <w:tcW w:w="3127" w:type="dxa"/>
            <w:tcBorders>
              <w:top w:val="single" w:sz="6" w:space="0" w:color="auto"/>
              <w:left w:val="single" w:sz="6" w:space="0" w:color="auto"/>
              <w:right w:val="single" w:sz="6" w:space="0" w:color="auto"/>
            </w:tcBorders>
          </w:tcPr>
          <w:p w:rsidR="004A6A8C" w:rsidRDefault="00A45C42" w:rsidP="00D94B99">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4A6A8C" w:rsidRDefault="00A45C42" w:rsidP="00D94B99">
            <w:pPr>
              <w:pStyle w:val="TableTextS5"/>
              <w:rPr>
                <w:color w:val="000000"/>
                <w:lang w:val="fr-CH"/>
              </w:rPr>
            </w:pPr>
            <w:r>
              <w:rPr>
                <w:color w:val="000000"/>
                <w:lang w:val="fr-CH"/>
              </w:rPr>
              <w:t>FIXE</w:t>
            </w:r>
          </w:p>
          <w:p w:rsidR="004A6A8C" w:rsidRDefault="00A45C42" w:rsidP="00D94B99">
            <w:pPr>
              <w:pStyle w:val="TableTextS5"/>
              <w:rPr>
                <w:color w:val="000000"/>
                <w:lang w:val="fr-CH"/>
              </w:rPr>
            </w:pPr>
            <w:r>
              <w:rPr>
                <w:color w:val="000000"/>
                <w:lang w:val="fr-CH"/>
              </w:rPr>
              <w:t>MOBILE</w:t>
            </w:r>
          </w:p>
        </w:tc>
      </w:tr>
      <w:tr w:rsidR="004A6A8C" w:rsidTr="00B1788F">
        <w:trPr>
          <w:cantSplit/>
          <w:jc w:val="center"/>
        </w:trPr>
        <w:tc>
          <w:tcPr>
            <w:tcW w:w="3119" w:type="dxa"/>
            <w:tcBorders>
              <w:left w:val="single" w:sz="6" w:space="0" w:color="auto"/>
              <w:bottom w:val="single" w:sz="6" w:space="0" w:color="auto"/>
              <w:right w:val="single" w:sz="6" w:space="0" w:color="auto"/>
            </w:tcBorders>
          </w:tcPr>
          <w:p w:rsidR="004A6A8C" w:rsidRDefault="00A45C42" w:rsidP="00D94B99">
            <w:pPr>
              <w:pStyle w:val="TableTextS5"/>
              <w:rPr>
                <w:color w:val="000000"/>
                <w:lang w:val="fr-CH"/>
              </w:rPr>
            </w:pPr>
            <w:r w:rsidRPr="00880E98">
              <w:t>5.341</w:t>
            </w:r>
            <w:r>
              <w:rPr>
                <w:color w:val="000000"/>
                <w:lang w:val="fr-CH"/>
              </w:rPr>
              <w:t xml:space="preserve">  </w:t>
            </w:r>
            <w:r w:rsidRPr="00880E98">
              <w:t>5.342</w:t>
            </w:r>
          </w:p>
        </w:tc>
        <w:tc>
          <w:tcPr>
            <w:tcW w:w="3110" w:type="dxa"/>
            <w:tcBorders>
              <w:left w:val="single" w:sz="6" w:space="0" w:color="auto"/>
              <w:bottom w:val="single" w:sz="6" w:space="0" w:color="auto"/>
              <w:right w:val="single" w:sz="6" w:space="0" w:color="auto"/>
            </w:tcBorders>
          </w:tcPr>
          <w:p w:rsidR="004A6A8C" w:rsidRDefault="00A45C42" w:rsidP="00D94B99">
            <w:pPr>
              <w:pStyle w:val="TableTextS5"/>
              <w:rPr>
                <w:color w:val="000000"/>
                <w:lang w:val="fr-CH"/>
              </w:rPr>
            </w:pPr>
            <w:r w:rsidRPr="00880E98">
              <w:t>5.341</w:t>
            </w:r>
            <w:r>
              <w:rPr>
                <w:color w:val="000000"/>
                <w:lang w:val="fr-CH"/>
              </w:rPr>
              <w:t xml:space="preserve">  </w:t>
            </w:r>
            <w:r w:rsidRPr="00880E98">
              <w:t>5.344</w:t>
            </w:r>
          </w:p>
        </w:tc>
        <w:tc>
          <w:tcPr>
            <w:tcW w:w="3127" w:type="dxa"/>
            <w:tcBorders>
              <w:left w:val="single" w:sz="6" w:space="0" w:color="auto"/>
              <w:bottom w:val="single" w:sz="6" w:space="0" w:color="auto"/>
              <w:right w:val="single" w:sz="6" w:space="0" w:color="auto"/>
            </w:tcBorders>
          </w:tcPr>
          <w:p w:rsidR="004A6A8C" w:rsidRPr="00880E98" w:rsidRDefault="00A45C42" w:rsidP="00D94B99">
            <w:pPr>
              <w:pStyle w:val="TableTextS5"/>
            </w:pPr>
            <w:r w:rsidRPr="00880E98">
              <w:t>5.341</w:t>
            </w:r>
          </w:p>
        </w:tc>
      </w:tr>
    </w:tbl>
    <w:p w:rsidR="001C514C" w:rsidRPr="001C514C" w:rsidRDefault="00A45C42" w:rsidP="002D0ACD">
      <w:pPr>
        <w:pStyle w:val="Reasons"/>
        <w:rPr>
          <w:lang w:val="fr-CH"/>
        </w:rPr>
      </w:pPr>
      <w:r w:rsidRPr="001C514C">
        <w:rPr>
          <w:b/>
          <w:lang w:val="fr-CH"/>
        </w:rPr>
        <w:t>Motifs:</w:t>
      </w:r>
      <w:r w:rsidRPr="001C514C">
        <w:rPr>
          <w:lang w:val="fr-CH"/>
        </w:rPr>
        <w:tab/>
      </w:r>
      <w:r w:rsidR="001C514C">
        <w:rPr>
          <w:lang w:val="fr-CH"/>
        </w:rPr>
        <w:t>Il est proposé de n'apporte</w:t>
      </w:r>
      <w:r w:rsidR="001C514C" w:rsidRPr="001C514C">
        <w:rPr>
          <w:lang w:val="fr-CH"/>
        </w:rPr>
        <w:t>r</w:t>
      </w:r>
      <w:r w:rsidR="001C514C">
        <w:rPr>
          <w:lang w:val="fr-CH"/>
        </w:rPr>
        <w:t xml:space="preserve"> </w:t>
      </w:r>
      <w:r w:rsidR="001C514C" w:rsidRPr="001C514C">
        <w:rPr>
          <w:lang w:val="fr-CH"/>
        </w:rPr>
        <w:t>aucune modification (</w:t>
      </w:r>
      <w:r w:rsidR="001C514C" w:rsidRPr="001C514C">
        <w:rPr>
          <w:u w:val="single"/>
          <w:lang w:val="fr-CH"/>
        </w:rPr>
        <w:t>NOC</w:t>
      </w:r>
      <w:r w:rsidR="001C514C" w:rsidRPr="001C514C">
        <w:rPr>
          <w:lang w:val="fr-CH"/>
        </w:rPr>
        <w:t>)</w:t>
      </w:r>
      <w:r w:rsidR="001C514C">
        <w:rPr>
          <w:lang w:val="fr-CH"/>
        </w:rPr>
        <w:t xml:space="preserve"> en ce qui concerne la bande de fréquences </w:t>
      </w:r>
      <w:r w:rsidR="001C514C" w:rsidRPr="001C514C">
        <w:rPr>
          <w:rFonts w:hint="eastAsia"/>
          <w:lang w:val="fr-CH" w:eastAsia="ja-JP"/>
        </w:rPr>
        <w:t>1</w:t>
      </w:r>
      <w:r w:rsidR="001C514C">
        <w:rPr>
          <w:lang w:val="fr-CH" w:eastAsia="ja-JP"/>
        </w:rPr>
        <w:t> </w:t>
      </w:r>
      <w:r w:rsidR="001C514C" w:rsidRPr="001C514C">
        <w:rPr>
          <w:rFonts w:hint="eastAsia"/>
          <w:lang w:val="fr-CH" w:eastAsia="zh-CN"/>
        </w:rPr>
        <w:t>492</w:t>
      </w:r>
      <w:r w:rsidR="001C514C" w:rsidRPr="001C514C">
        <w:rPr>
          <w:lang w:val="fr-CH"/>
        </w:rPr>
        <w:t>-</w:t>
      </w:r>
      <w:r w:rsidR="001C514C" w:rsidRPr="001C514C">
        <w:rPr>
          <w:rFonts w:hint="eastAsia"/>
          <w:lang w:val="fr-CH" w:eastAsia="ja-JP"/>
        </w:rPr>
        <w:t>1</w:t>
      </w:r>
      <w:r w:rsidR="001C514C">
        <w:rPr>
          <w:lang w:val="fr-CH" w:eastAsia="ja-JP"/>
        </w:rPr>
        <w:t> </w:t>
      </w:r>
      <w:r w:rsidR="001C514C" w:rsidRPr="001C514C">
        <w:rPr>
          <w:rFonts w:hint="eastAsia"/>
          <w:lang w:val="fr-CH" w:eastAsia="zh-CN"/>
        </w:rPr>
        <w:t>518</w:t>
      </w:r>
      <w:r w:rsidR="001C514C">
        <w:rPr>
          <w:lang w:val="fr-CH" w:eastAsia="zh-CN"/>
        </w:rPr>
        <w:t> </w:t>
      </w:r>
      <w:r w:rsidR="001C514C" w:rsidRPr="001C514C">
        <w:rPr>
          <w:lang w:val="fr-CH"/>
        </w:rPr>
        <w:t>MHz.</w:t>
      </w:r>
      <w:r w:rsidR="001C514C">
        <w:rPr>
          <w:lang w:val="fr-CH"/>
        </w:rPr>
        <w:t xml:space="preserve"> </w:t>
      </w:r>
      <w:r w:rsidR="001C514C" w:rsidRPr="001C514C">
        <w:rPr>
          <w:lang w:val="fr-CH"/>
        </w:rPr>
        <w:t xml:space="preserve">Comme indiqué dans la section </w:t>
      </w:r>
      <w:r w:rsidR="001C514C" w:rsidRPr="001C514C">
        <w:rPr>
          <w:lang w:val="fr-CH" w:eastAsia="ja-JP"/>
        </w:rPr>
        <w:t xml:space="preserve">1/1.1/4.1.2 du Rapport de la RPC, </w:t>
      </w:r>
      <w:r w:rsidR="001C514C">
        <w:rPr>
          <w:lang w:val="fr-CH" w:eastAsia="ja-JP"/>
        </w:rPr>
        <w:t xml:space="preserve">cette bande de fréquences est actuellement utilisée par le SF et par des systèmes de télémesure </w:t>
      </w:r>
      <w:r w:rsidR="00A665D7">
        <w:rPr>
          <w:lang w:val="fr-CH" w:eastAsia="ja-JP"/>
        </w:rPr>
        <w:t xml:space="preserve">mobile </w:t>
      </w:r>
      <w:r w:rsidR="001C514C">
        <w:rPr>
          <w:lang w:val="fr-CH" w:eastAsia="ja-JP"/>
        </w:rPr>
        <w:t>aéronautique (ATM). En cas de partage cocanal, les distances de séparation nécessaires entre les stations IMT évoluées et les stations du SF ou les stations AMT serai</w:t>
      </w:r>
      <w:r w:rsidR="002C1F64">
        <w:rPr>
          <w:lang w:val="fr-CH" w:eastAsia="ja-JP"/>
        </w:rPr>
        <w:t>en</w:t>
      </w:r>
      <w:r w:rsidR="001C514C">
        <w:rPr>
          <w:lang w:val="fr-CH" w:eastAsia="ja-JP"/>
        </w:rPr>
        <w:t>t dans certain</w:t>
      </w:r>
      <w:r w:rsidR="002D0ACD">
        <w:rPr>
          <w:lang w:val="fr-CH" w:eastAsia="ja-JP"/>
        </w:rPr>
        <w:t>e</w:t>
      </w:r>
      <w:r w:rsidR="001C514C">
        <w:rPr>
          <w:lang w:val="fr-CH" w:eastAsia="ja-JP"/>
        </w:rPr>
        <w:t>s c</w:t>
      </w:r>
      <w:r w:rsidR="002D0ACD">
        <w:rPr>
          <w:lang w:val="fr-CH" w:eastAsia="ja-JP"/>
        </w:rPr>
        <w:t>irconstances</w:t>
      </w:r>
      <w:r w:rsidR="001C514C">
        <w:rPr>
          <w:lang w:val="fr-CH" w:eastAsia="ja-JP"/>
        </w:rPr>
        <w:t xml:space="preserve"> supérieure</w:t>
      </w:r>
      <w:r w:rsidR="002C1F64">
        <w:rPr>
          <w:lang w:val="fr-CH" w:eastAsia="ja-JP"/>
        </w:rPr>
        <w:t>s</w:t>
      </w:r>
      <w:r w:rsidR="001C514C">
        <w:rPr>
          <w:lang w:val="fr-CH" w:eastAsia="ja-JP"/>
        </w:rPr>
        <w:t xml:space="preserve"> à 100 kilomètres. En outre, les rayonnements non désirés des stations de base ou des terminaux d'utilisateurs IMT évoluées fonctionnant dans cette bande pourraient causer des brouillages aux récepteurs du SMS exploités dans la bande de fréquences adjacente </w:t>
      </w:r>
      <w:r w:rsidR="001C514C" w:rsidRPr="001C514C">
        <w:rPr>
          <w:lang w:val="fr-CH" w:eastAsia="zh-CN"/>
        </w:rPr>
        <w:t>1</w:t>
      </w:r>
      <w:r w:rsidR="00A665D7">
        <w:rPr>
          <w:lang w:val="fr-CH" w:eastAsia="zh-CN"/>
        </w:rPr>
        <w:t> </w:t>
      </w:r>
      <w:r w:rsidR="001C514C" w:rsidRPr="001C514C">
        <w:rPr>
          <w:lang w:val="fr-CH" w:eastAsia="zh-CN"/>
        </w:rPr>
        <w:t>518</w:t>
      </w:r>
      <w:r w:rsidR="001C514C" w:rsidRPr="001C514C">
        <w:rPr>
          <w:rFonts w:hint="eastAsia"/>
          <w:lang w:val="fr-CH" w:eastAsia="zh-CN"/>
        </w:rPr>
        <w:t>-</w:t>
      </w:r>
      <w:r w:rsidR="001C514C" w:rsidRPr="001C514C">
        <w:rPr>
          <w:lang w:val="fr-CH" w:eastAsia="zh-CN"/>
        </w:rPr>
        <w:t>1</w:t>
      </w:r>
      <w:r w:rsidR="00A665D7">
        <w:rPr>
          <w:lang w:val="fr-CH" w:eastAsia="zh-CN"/>
        </w:rPr>
        <w:t> </w:t>
      </w:r>
      <w:r w:rsidR="001C514C" w:rsidRPr="001C514C">
        <w:rPr>
          <w:lang w:val="fr-CH" w:eastAsia="zh-CN"/>
        </w:rPr>
        <w:t>559</w:t>
      </w:r>
      <w:r w:rsidR="00A665D7">
        <w:rPr>
          <w:lang w:val="fr-CH" w:eastAsia="zh-CN"/>
        </w:rPr>
        <w:t> </w:t>
      </w:r>
      <w:r w:rsidR="001C514C" w:rsidRPr="001C514C">
        <w:rPr>
          <w:lang w:val="fr-CH" w:eastAsia="zh-CN"/>
        </w:rPr>
        <w:t>MHz.</w:t>
      </w:r>
      <w:r w:rsidR="001C514C">
        <w:rPr>
          <w:lang w:val="fr-CH" w:eastAsia="zh-CN"/>
        </w:rPr>
        <w:t xml:space="preserve"> </w:t>
      </w:r>
    </w:p>
    <w:p w:rsidR="00A45C42" w:rsidRPr="00A665D7" w:rsidRDefault="00A45C42" w:rsidP="001C514C">
      <w:pPr>
        <w:pStyle w:val="Reasons"/>
        <w:rPr>
          <w:lang w:val="fr-CH"/>
        </w:rPr>
      </w:pPr>
    </w:p>
    <w:p w:rsidR="00A45C42" w:rsidRDefault="00A45C42" w:rsidP="001C514C">
      <w:pPr>
        <w:jc w:val="center"/>
      </w:pPr>
      <w:r>
        <w:t>______________</w:t>
      </w:r>
    </w:p>
    <w:p w:rsidR="008472BE" w:rsidRDefault="008472BE" w:rsidP="001C514C">
      <w:pPr>
        <w:pStyle w:val="Reasons"/>
      </w:pPr>
    </w:p>
    <w:sectPr w:rsidR="008472BE">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363F98">
      <w:rPr>
        <w:noProof/>
        <w:lang w:val="en-US"/>
      </w:rPr>
      <w:t>P:\FRA\ITU-R\CONF-R\CMR15\000\062ADD01F.docx</w:t>
    </w:r>
    <w:r>
      <w:fldChar w:fldCharType="end"/>
    </w:r>
    <w:r>
      <w:rPr>
        <w:lang w:val="en-US"/>
      </w:rPr>
      <w:tab/>
    </w:r>
    <w:r>
      <w:fldChar w:fldCharType="begin"/>
    </w:r>
    <w:r>
      <w:instrText xml:space="preserve"> SAVEDATE \@ DD.MM.YY </w:instrText>
    </w:r>
    <w:r>
      <w:fldChar w:fldCharType="separate"/>
    </w:r>
    <w:r w:rsidR="00363F98">
      <w:rPr>
        <w:noProof/>
      </w:rPr>
      <w:t>29.10.15</w:t>
    </w:r>
    <w:r>
      <w:fldChar w:fldCharType="end"/>
    </w:r>
    <w:r>
      <w:rPr>
        <w:lang w:val="en-US"/>
      </w:rPr>
      <w:tab/>
    </w:r>
    <w:r>
      <w:fldChar w:fldCharType="begin"/>
    </w:r>
    <w:r>
      <w:instrText xml:space="preserve"> PRINTDATE \@ DD.MM.YY </w:instrText>
    </w:r>
    <w:r>
      <w:fldChar w:fldCharType="separate"/>
    </w:r>
    <w:r w:rsidR="00363F98">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2346C0">
    <w:pPr>
      <w:pStyle w:val="Footer"/>
      <w:rPr>
        <w:lang w:val="en-US"/>
      </w:rPr>
    </w:pPr>
    <w:r>
      <w:fldChar w:fldCharType="begin"/>
    </w:r>
    <w:r>
      <w:rPr>
        <w:lang w:val="en-US"/>
      </w:rPr>
      <w:instrText xml:space="preserve"> FILENAME \p  \* MERGEFORMAT </w:instrText>
    </w:r>
    <w:r>
      <w:fldChar w:fldCharType="separate"/>
    </w:r>
    <w:r w:rsidR="00363F98">
      <w:rPr>
        <w:lang w:val="en-US"/>
      </w:rPr>
      <w:t>P:\FRA\ITU-R\CONF-R\CMR15\000\062ADD01F.docx</w:t>
    </w:r>
    <w:r>
      <w:fldChar w:fldCharType="end"/>
    </w:r>
    <w:r w:rsidR="002346C0">
      <w:t xml:space="preserve"> (388479)</w:t>
    </w:r>
    <w:r>
      <w:rPr>
        <w:lang w:val="en-US"/>
      </w:rPr>
      <w:tab/>
    </w:r>
    <w:r>
      <w:fldChar w:fldCharType="begin"/>
    </w:r>
    <w:r>
      <w:instrText xml:space="preserve"> SAVEDATE \@ DD.MM.YY </w:instrText>
    </w:r>
    <w:r>
      <w:fldChar w:fldCharType="separate"/>
    </w:r>
    <w:r w:rsidR="00363F98">
      <w:t>29.10.15</w:t>
    </w:r>
    <w:r>
      <w:fldChar w:fldCharType="end"/>
    </w:r>
    <w:r>
      <w:rPr>
        <w:lang w:val="en-US"/>
      </w:rPr>
      <w:tab/>
    </w:r>
    <w:r w:rsidR="002346C0">
      <w:t>26.10.15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2346C0">
    <w:pPr>
      <w:pStyle w:val="Footer"/>
      <w:rPr>
        <w:lang w:val="en-US"/>
      </w:rPr>
    </w:pPr>
    <w:r>
      <w:fldChar w:fldCharType="begin"/>
    </w:r>
    <w:r>
      <w:rPr>
        <w:lang w:val="en-US"/>
      </w:rPr>
      <w:instrText xml:space="preserve"> FILENAME \p  \* MERGEFORMAT </w:instrText>
    </w:r>
    <w:r>
      <w:fldChar w:fldCharType="separate"/>
    </w:r>
    <w:r w:rsidR="00363F98">
      <w:rPr>
        <w:lang w:val="en-US"/>
      </w:rPr>
      <w:t>P:\FRA\ITU-R\CONF-R\CMR15\000\062ADD01F.docx</w:t>
    </w:r>
    <w:r>
      <w:fldChar w:fldCharType="end"/>
    </w:r>
    <w:r w:rsidR="002346C0">
      <w:t xml:space="preserve"> (388479)</w:t>
    </w:r>
    <w:r>
      <w:rPr>
        <w:lang w:val="en-US"/>
      </w:rPr>
      <w:tab/>
    </w:r>
    <w:r>
      <w:fldChar w:fldCharType="begin"/>
    </w:r>
    <w:r>
      <w:instrText xml:space="preserve"> SAVEDATE \@ DD.MM.YY </w:instrText>
    </w:r>
    <w:r>
      <w:fldChar w:fldCharType="separate"/>
    </w:r>
    <w:r w:rsidR="00363F98">
      <w:t>29.10.15</w:t>
    </w:r>
    <w:r>
      <w:fldChar w:fldCharType="end"/>
    </w:r>
    <w:r>
      <w:rPr>
        <w:lang w:val="en-US"/>
      </w:rPr>
      <w:tab/>
    </w:r>
    <w:r w:rsidR="002346C0">
      <w:t>26.10.15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363F98">
      <w:rPr>
        <w:noProof/>
      </w:rPr>
      <w:t>4</w:t>
    </w:r>
    <w:r>
      <w:fldChar w:fldCharType="end"/>
    </w:r>
  </w:p>
  <w:p w:rsidR="004F1F8E" w:rsidRDefault="004F1F8E" w:rsidP="002C28A4">
    <w:pPr>
      <w:pStyle w:val="Header"/>
    </w:pPr>
    <w:r>
      <w:t>CMR1</w:t>
    </w:r>
    <w:r w:rsidR="002C28A4">
      <w:t>5</w:t>
    </w:r>
    <w:r>
      <w:t>/</w:t>
    </w:r>
    <w:r w:rsidR="006A4B45">
      <w:t>62(Add.1)-</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17B53"/>
    <w:rsid w:val="0003522F"/>
    <w:rsid w:val="00080E2C"/>
    <w:rsid w:val="000A4755"/>
    <w:rsid w:val="000B2E0C"/>
    <w:rsid w:val="000B3D0C"/>
    <w:rsid w:val="001167B9"/>
    <w:rsid w:val="001267A0"/>
    <w:rsid w:val="0015203F"/>
    <w:rsid w:val="00160C64"/>
    <w:rsid w:val="0018169B"/>
    <w:rsid w:val="0019352B"/>
    <w:rsid w:val="001960D0"/>
    <w:rsid w:val="001C514C"/>
    <w:rsid w:val="001F17E8"/>
    <w:rsid w:val="00204306"/>
    <w:rsid w:val="00232FD2"/>
    <w:rsid w:val="002346C0"/>
    <w:rsid w:val="0024405B"/>
    <w:rsid w:val="0026554E"/>
    <w:rsid w:val="002A4622"/>
    <w:rsid w:val="002A6F8F"/>
    <w:rsid w:val="002B17E5"/>
    <w:rsid w:val="002C0EBF"/>
    <w:rsid w:val="002C1F64"/>
    <w:rsid w:val="002C28A4"/>
    <w:rsid w:val="002D0ACD"/>
    <w:rsid w:val="00315AFE"/>
    <w:rsid w:val="003606A6"/>
    <w:rsid w:val="00363F98"/>
    <w:rsid w:val="0036650C"/>
    <w:rsid w:val="00393ACD"/>
    <w:rsid w:val="003A583E"/>
    <w:rsid w:val="003E112B"/>
    <w:rsid w:val="003E1D1C"/>
    <w:rsid w:val="003E42A8"/>
    <w:rsid w:val="003E7B05"/>
    <w:rsid w:val="00415520"/>
    <w:rsid w:val="0042755D"/>
    <w:rsid w:val="00441F53"/>
    <w:rsid w:val="00466211"/>
    <w:rsid w:val="004834A9"/>
    <w:rsid w:val="004D01FC"/>
    <w:rsid w:val="004E28C3"/>
    <w:rsid w:val="004F1F8E"/>
    <w:rsid w:val="00512A32"/>
    <w:rsid w:val="00522A72"/>
    <w:rsid w:val="00586CF2"/>
    <w:rsid w:val="00597E07"/>
    <w:rsid w:val="005C3768"/>
    <w:rsid w:val="005C6C3F"/>
    <w:rsid w:val="00613635"/>
    <w:rsid w:val="0062093D"/>
    <w:rsid w:val="0062246E"/>
    <w:rsid w:val="00637ECF"/>
    <w:rsid w:val="00647B59"/>
    <w:rsid w:val="00655F74"/>
    <w:rsid w:val="00664563"/>
    <w:rsid w:val="0067266F"/>
    <w:rsid w:val="00690C7B"/>
    <w:rsid w:val="00692CF6"/>
    <w:rsid w:val="006A4B45"/>
    <w:rsid w:val="006B76EA"/>
    <w:rsid w:val="006D4724"/>
    <w:rsid w:val="006D7009"/>
    <w:rsid w:val="00701BAE"/>
    <w:rsid w:val="00721F04"/>
    <w:rsid w:val="00730E95"/>
    <w:rsid w:val="007426B9"/>
    <w:rsid w:val="00764342"/>
    <w:rsid w:val="00774362"/>
    <w:rsid w:val="00786598"/>
    <w:rsid w:val="007A04E8"/>
    <w:rsid w:val="007C0DE1"/>
    <w:rsid w:val="007E1634"/>
    <w:rsid w:val="008472BE"/>
    <w:rsid w:val="00851625"/>
    <w:rsid w:val="00863C0A"/>
    <w:rsid w:val="008656D3"/>
    <w:rsid w:val="008A3120"/>
    <w:rsid w:val="008D41BE"/>
    <w:rsid w:val="008D58D3"/>
    <w:rsid w:val="00923064"/>
    <w:rsid w:val="00930FFD"/>
    <w:rsid w:val="00936D25"/>
    <w:rsid w:val="00941EA5"/>
    <w:rsid w:val="00964700"/>
    <w:rsid w:val="0096662B"/>
    <w:rsid w:val="00966C16"/>
    <w:rsid w:val="0098732F"/>
    <w:rsid w:val="009A045F"/>
    <w:rsid w:val="009A5B6E"/>
    <w:rsid w:val="009C7E7C"/>
    <w:rsid w:val="009E4401"/>
    <w:rsid w:val="00A00473"/>
    <w:rsid w:val="00A03C9B"/>
    <w:rsid w:val="00A37105"/>
    <w:rsid w:val="00A45C42"/>
    <w:rsid w:val="00A606C3"/>
    <w:rsid w:val="00A665D7"/>
    <w:rsid w:val="00A83B09"/>
    <w:rsid w:val="00A84541"/>
    <w:rsid w:val="00A924FD"/>
    <w:rsid w:val="00AE36A0"/>
    <w:rsid w:val="00AF5DFF"/>
    <w:rsid w:val="00B00294"/>
    <w:rsid w:val="00B1788F"/>
    <w:rsid w:val="00B64FD0"/>
    <w:rsid w:val="00B82696"/>
    <w:rsid w:val="00BA5BD0"/>
    <w:rsid w:val="00BB1D82"/>
    <w:rsid w:val="00BB6F23"/>
    <w:rsid w:val="00BB7F42"/>
    <w:rsid w:val="00BF26E7"/>
    <w:rsid w:val="00C53FCA"/>
    <w:rsid w:val="00C57794"/>
    <w:rsid w:val="00C67A7B"/>
    <w:rsid w:val="00C76BAF"/>
    <w:rsid w:val="00C814B9"/>
    <w:rsid w:val="00CD516F"/>
    <w:rsid w:val="00CE4AA7"/>
    <w:rsid w:val="00D119A7"/>
    <w:rsid w:val="00D25FBA"/>
    <w:rsid w:val="00D2727A"/>
    <w:rsid w:val="00D32B28"/>
    <w:rsid w:val="00D42954"/>
    <w:rsid w:val="00D66EAC"/>
    <w:rsid w:val="00D730DF"/>
    <w:rsid w:val="00D772F0"/>
    <w:rsid w:val="00D77BDC"/>
    <w:rsid w:val="00DA26FA"/>
    <w:rsid w:val="00DA671E"/>
    <w:rsid w:val="00DC3481"/>
    <w:rsid w:val="00DC402B"/>
    <w:rsid w:val="00DE0932"/>
    <w:rsid w:val="00E03A27"/>
    <w:rsid w:val="00E049F1"/>
    <w:rsid w:val="00E261DE"/>
    <w:rsid w:val="00E267A1"/>
    <w:rsid w:val="00E37A25"/>
    <w:rsid w:val="00E537FF"/>
    <w:rsid w:val="00E6539B"/>
    <w:rsid w:val="00E70A31"/>
    <w:rsid w:val="00EA3F38"/>
    <w:rsid w:val="00EA5AB6"/>
    <w:rsid w:val="00EC7615"/>
    <w:rsid w:val="00ED16AA"/>
    <w:rsid w:val="00EF662E"/>
    <w:rsid w:val="00F065A8"/>
    <w:rsid w:val="00F148F1"/>
    <w:rsid w:val="00FA3BBF"/>
    <w:rsid w:val="00FC41F8"/>
    <w:rsid w:val="00FE49F7"/>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7E1CB2E-2E8D-4F1B-AD80-5F7875B9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customStyle="1" w:styleId="headingb0">
    <w:name w:val="heading_b"/>
    <w:basedOn w:val="Heading3"/>
    <w:next w:val="Normal"/>
    <w:rsid w:val="002346C0"/>
    <w:pPr>
      <w:tabs>
        <w:tab w:val="left" w:pos="567"/>
        <w:tab w:val="left" w:pos="1701"/>
        <w:tab w:val="left" w:pos="2835"/>
      </w:tabs>
      <w:spacing w:before="160"/>
      <w:ind w:left="0" w:firstLine="0"/>
      <w:textAlignment w:val="auto"/>
      <w:outlineLvl w:val="9"/>
    </w:pPr>
    <w:rPr>
      <w:rFonts w:eastAsiaTheme="minorEastAsia"/>
      <w:bCs/>
    </w:rPr>
  </w:style>
  <w:style w:type="character" w:customStyle="1" w:styleId="enumlev1Char">
    <w:name w:val="enumlev1 Char"/>
    <w:basedOn w:val="DefaultParagraphFont"/>
    <w:link w:val="enumlev1"/>
    <w:locked/>
    <w:rsid w:val="00441F53"/>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R15-WRC15-C-0062!A1!MSW-F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68A578A1-46BE-4C62-B52A-5CB368FA4147}">
  <ds:schemaRefs>
    <ds:schemaRef ds:uri="http://www.w3.org/XML/1998/namespace"/>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1145</Words>
  <Characters>5996</Characters>
  <Application>Microsoft Office Word</Application>
  <DocSecurity>0</DocSecurity>
  <Lines>154</Lines>
  <Paragraphs>76</Paragraphs>
  <ScaleCrop>false</ScaleCrop>
  <HeadingPairs>
    <vt:vector size="2" baseType="variant">
      <vt:variant>
        <vt:lpstr>Title</vt:lpstr>
      </vt:variant>
      <vt:variant>
        <vt:i4>1</vt:i4>
      </vt:variant>
    </vt:vector>
  </HeadingPairs>
  <TitlesOfParts>
    <vt:vector size="1" baseType="lpstr">
      <vt:lpstr>R15-WRC15-C-0062!A1!MSW-F</vt:lpstr>
    </vt:vector>
  </TitlesOfParts>
  <Manager>Secrétariat général - Pool</Manager>
  <Company>Union internationale des télécommunications (UIT)</Company>
  <LinksUpToDate>false</LinksUpToDate>
  <CharactersWithSpaces>7109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R15-WRC15-C-0062!A1!MSW-F</dc:title>
  <dc:subject>Conférence mondiale des radiocommunications - 2015</dc:subject>
  <dc:creator>Documents Proposals Manager (DPM)</dc:creator>
  <cp:keywords>DPM_v5.2015.10.230_prod</cp:keywords>
  <dc:description/>
  <cp:lastModifiedBy>Germain, Catherine</cp:lastModifiedBy>
  <cp:revision>12</cp:revision>
  <cp:lastPrinted>2015-10-29T17:38:00Z</cp:lastPrinted>
  <dcterms:created xsi:type="dcterms:W3CDTF">2015-10-29T13:46:00Z</dcterms:created>
  <dcterms:modified xsi:type="dcterms:W3CDTF">2015-10-29T17:39:00Z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