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74DB0">
        <w:trPr>
          <w:cantSplit/>
        </w:trPr>
        <w:tc>
          <w:tcPr>
            <w:tcW w:w="6911" w:type="dxa"/>
          </w:tcPr>
          <w:p w:rsidR="0090121B" w:rsidRPr="00B90691" w:rsidRDefault="005D46FB" w:rsidP="00070047">
            <w:pPr>
              <w:spacing w:before="400" w:after="48"/>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070047">
            <w:pPr>
              <w:spacing w:before="0"/>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74DB0">
        <w:trPr>
          <w:cantSplit/>
        </w:trPr>
        <w:tc>
          <w:tcPr>
            <w:tcW w:w="6911" w:type="dxa"/>
            <w:tcBorders>
              <w:bottom w:val="single" w:sz="12" w:space="0" w:color="auto"/>
            </w:tcBorders>
          </w:tcPr>
          <w:p w:rsidR="0090121B" w:rsidRPr="0002785D" w:rsidRDefault="00CE7431" w:rsidP="00070047">
            <w:pPr>
              <w:spacing w:before="0" w:after="48"/>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070047">
            <w:pPr>
              <w:spacing w:before="0"/>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070047">
            <w:pPr>
              <w:spacing w:before="0" w:after="48"/>
              <w:rPr>
                <w:rFonts w:ascii="Verdana" w:hAnsi="Verdana"/>
                <w:b/>
                <w:smallCaps/>
                <w:sz w:val="20"/>
                <w:lang w:val="en-US"/>
              </w:rPr>
            </w:pPr>
          </w:p>
        </w:tc>
        <w:tc>
          <w:tcPr>
            <w:tcW w:w="3120" w:type="dxa"/>
            <w:tcBorders>
              <w:top w:val="single" w:sz="12" w:space="0" w:color="auto"/>
            </w:tcBorders>
          </w:tcPr>
          <w:p w:rsidR="0090121B" w:rsidRPr="0002785D" w:rsidRDefault="0090121B" w:rsidP="00070047">
            <w:pPr>
              <w:spacing w:before="0"/>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070047">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070047">
            <w:pPr>
              <w:spacing w:before="0"/>
              <w:rPr>
                <w:rFonts w:ascii="Verdana" w:hAnsi="Verdana"/>
                <w:sz w:val="20"/>
                <w:lang w:val="en-US"/>
              </w:rPr>
            </w:pPr>
            <w:r>
              <w:rPr>
                <w:rFonts w:ascii="Verdana" w:eastAsia="SimSun" w:hAnsi="Verdana" w:cs="Traditional Arabic"/>
                <w:b/>
                <w:sz w:val="20"/>
                <w:lang w:val="en-US"/>
              </w:rPr>
              <w:t>Addéndum 6 al</w:t>
            </w:r>
            <w:r>
              <w:rPr>
                <w:rFonts w:ascii="Verdana" w:eastAsia="SimSun" w:hAnsi="Verdana" w:cs="Traditional Arabic"/>
                <w:b/>
                <w:sz w:val="20"/>
                <w:lang w:val="en-US"/>
              </w:rPr>
              <w:br/>
              <w:t>Documento 61</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070047">
            <w:pPr>
              <w:spacing w:before="0" w:after="48"/>
              <w:rPr>
                <w:rFonts w:ascii="Verdana" w:hAnsi="Verdana"/>
                <w:b/>
                <w:smallCaps/>
                <w:sz w:val="20"/>
                <w:lang w:val="en-US"/>
              </w:rPr>
            </w:pPr>
          </w:p>
        </w:tc>
        <w:tc>
          <w:tcPr>
            <w:tcW w:w="3120" w:type="dxa"/>
            <w:shd w:val="clear" w:color="auto" w:fill="auto"/>
          </w:tcPr>
          <w:p w:rsidR="000A5B9A" w:rsidRPr="0002785D" w:rsidRDefault="000A5B9A" w:rsidP="00070047">
            <w:pPr>
              <w:spacing w:before="0"/>
              <w:rPr>
                <w:rFonts w:ascii="Verdana" w:hAnsi="Verdana"/>
                <w:b/>
                <w:sz w:val="20"/>
                <w:lang w:val="en-US"/>
              </w:rPr>
            </w:pPr>
            <w:r w:rsidRPr="0002785D">
              <w:rPr>
                <w:rFonts w:ascii="Verdana" w:hAnsi="Verdana"/>
                <w:b/>
                <w:sz w:val="20"/>
                <w:lang w:val="en-US"/>
              </w:rPr>
              <w:t>14 de octubre de 2015</w:t>
            </w:r>
          </w:p>
        </w:tc>
      </w:tr>
      <w:tr w:rsidR="000A5B9A" w:rsidRPr="0002785D" w:rsidTr="0090121B">
        <w:trPr>
          <w:cantSplit/>
        </w:trPr>
        <w:tc>
          <w:tcPr>
            <w:tcW w:w="6911" w:type="dxa"/>
          </w:tcPr>
          <w:p w:rsidR="000A5B9A" w:rsidRPr="0002785D" w:rsidRDefault="000A5B9A" w:rsidP="00070047">
            <w:pPr>
              <w:spacing w:before="0" w:after="48"/>
              <w:rPr>
                <w:rFonts w:ascii="Verdana" w:hAnsi="Verdana"/>
                <w:b/>
                <w:smallCaps/>
                <w:sz w:val="20"/>
                <w:lang w:val="en-US"/>
              </w:rPr>
            </w:pPr>
          </w:p>
        </w:tc>
        <w:tc>
          <w:tcPr>
            <w:tcW w:w="3120" w:type="dxa"/>
          </w:tcPr>
          <w:p w:rsidR="000A5B9A" w:rsidRPr="0002785D" w:rsidRDefault="000A5B9A" w:rsidP="00070047">
            <w:pPr>
              <w:spacing w:before="0"/>
              <w:rPr>
                <w:rFonts w:ascii="Verdana" w:hAnsi="Verdana"/>
                <w:b/>
                <w:sz w:val="20"/>
                <w:lang w:val="en-US"/>
              </w:rPr>
            </w:pPr>
            <w:r w:rsidRPr="0002785D">
              <w:rPr>
                <w:rFonts w:ascii="Verdana" w:hAnsi="Verdana"/>
                <w:b/>
                <w:sz w:val="20"/>
                <w:lang w:val="en-US"/>
              </w:rPr>
              <w:t>Original: inglés</w:t>
            </w:r>
          </w:p>
        </w:tc>
      </w:tr>
      <w:tr w:rsidR="000A5B9A" w:rsidRPr="0002785D" w:rsidTr="00574DB0">
        <w:trPr>
          <w:cantSplit/>
        </w:trPr>
        <w:tc>
          <w:tcPr>
            <w:tcW w:w="10031" w:type="dxa"/>
            <w:gridSpan w:val="2"/>
          </w:tcPr>
          <w:p w:rsidR="000A5B9A" w:rsidRPr="0002785D" w:rsidRDefault="000A5B9A" w:rsidP="00070047">
            <w:pPr>
              <w:spacing w:before="0"/>
              <w:rPr>
                <w:rFonts w:ascii="Verdana" w:hAnsi="Verdana"/>
                <w:b/>
                <w:sz w:val="20"/>
                <w:lang w:val="en-US"/>
              </w:rPr>
            </w:pPr>
          </w:p>
        </w:tc>
      </w:tr>
      <w:tr w:rsidR="000A5B9A" w:rsidRPr="0002785D" w:rsidTr="00574DB0">
        <w:trPr>
          <w:cantSplit/>
        </w:trPr>
        <w:tc>
          <w:tcPr>
            <w:tcW w:w="10031" w:type="dxa"/>
            <w:gridSpan w:val="2"/>
          </w:tcPr>
          <w:p w:rsidR="000A5B9A" w:rsidRPr="0002785D" w:rsidRDefault="000A5B9A" w:rsidP="00070047">
            <w:pPr>
              <w:pStyle w:val="Source"/>
              <w:rPr>
                <w:lang w:val="en-US"/>
              </w:rPr>
            </w:pPr>
            <w:bookmarkStart w:id="2" w:name="dsource" w:colFirst="0" w:colLast="0"/>
            <w:r w:rsidRPr="0002785D">
              <w:rPr>
                <w:lang w:val="en-US"/>
              </w:rPr>
              <w:t>Irán (República Islámica del)</w:t>
            </w:r>
          </w:p>
        </w:tc>
      </w:tr>
      <w:tr w:rsidR="000A5B9A" w:rsidRPr="0002785D" w:rsidTr="00574DB0">
        <w:trPr>
          <w:cantSplit/>
        </w:trPr>
        <w:tc>
          <w:tcPr>
            <w:tcW w:w="10031" w:type="dxa"/>
            <w:gridSpan w:val="2"/>
          </w:tcPr>
          <w:p w:rsidR="000A5B9A" w:rsidRPr="00B90691" w:rsidRDefault="00716EC6" w:rsidP="00070047">
            <w:pPr>
              <w:pStyle w:val="Title1"/>
            </w:pPr>
            <w:bookmarkStart w:id="3" w:name="dtitle1" w:colFirst="0" w:colLast="0"/>
            <w:bookmarkEnd w:id="2"/>
            <w:r w:rsidRPr="00571523">
              <w:t>Propuestas para los trabajos de la Conferencia</w:t>
            </w:r>
          </w:p>
        </w:tc>
      </w:tr>
      <w:tr w:rsidR="000A5B9A" w:rsidRPr="0002785D" w:rsidTr="00574DB0">
        <w:trPr>
          <w:cantSplit/>
        </w:trPr>
        <w:tc>
          <w:tcPr>
            <w:tcW w:w="10031" w:type="dxa"/>
            <w:gridSpan w:val="2"/>
          </w:tcPr>
          <w:p w:rsidR="000A5B9A" w:rsidRPr="00B90691" w:rsidRDefault="000A5B9A" w:rsidP="00070047">
            <w:pPr>
              <w:pStyle w:val="Title2"/>
            </w:pPr>
            <w:bookmarkStart w:id="4" w:name="dtitle2" w:colFirst="0" w:colLast="0"/>
            <w:bookmarkEnd w:id="3"/>
          </w:p>
        </w:tc>
      </w:tr>
      <w:tr w:rsidR="000A5B9A" w:rsidTr="00574DB0">
        <w:trPr>
          <w:cantSplit/>
        </w:trPr>
        <w:tc>
          <w:tcPr>
            <w:tcW w:w="10031" w:type="dxa"/>
            <w:gridSpan w:val="2"/>
          </w:tcPr>
          <w:p w:rsidR="000A5B9A" w:rsidRDefault="000A5B9A" w:rsidP="00070047">
            <w:pPr>
              <w:pStyle w:val="Agendaitem"/>
            </w:pPr>
            <w:bookmarkStart w:id="5" w:name="dtitle3" w:colFirst="0" w:colLast="0"/>
            <w:bookmarkEnd w:id="4"/>
            <w:r w:rsidRPr="00AE658F">
              <w:t>Punto 1.6 del orden del día</w:t>
            </w:r>
          </w:p>
        </w:tc>
      </w:tr>
    </w:tbl>
    <w:bookmarkEnd w:id="5"/>
    <w:p w:rsidR="00574DB0" w:rsidRDefault="00061760" w:rsidP="00070047">
      <w:r w:rsidRPr="00211854">
        <w:t>1.6</w:t>
      </w:r>
      <w:r w:rsidRPr="00211854">
        <w:tab/>
        <w:t>considerar posibles atribuciones adicionales a t</w:t>
      </w:r>
      <w:r>
        <w:t>í</w:t>
      </w:r>
      <w:r w:rsidRPr="00211854">
        <w:t>tulo primario:</w:t>
      </w:r>
    </w:p>
    <w:p w:rsidR="00165C50" w:rsidRPr="00C1069B" w:rsidRDefault="00165C50" w:rsidP="00070047">
      <w:r w:rsidRPr="00211854">
        <w:t>1.6.1</w:t>
      </w:r>
      <w:r w:rsidRPr="00211854">
        <w:tab/>
        <w:t>al servicio fijo por satélite (Tierra-espacio y espacio-Tierra) de 250 MHz en la gama entre 10 GHz y 17 GHz en la Región 1;</w:t>
      </w:r>
    </w:p>
    <w:p w:rsidR="00574DB0" w:rsidRPr="0021791F" w:rsidRDefault="00061760" w:rsidP="00070047">
      <w:r w:rsidRPr="00211854">
        <w:t>1.6.2</w:t>
      </w:r>
      <w:r w:rsidRPr="00211854">
        <w:tab/>
        <w:t>al servicio fijo por satélite (Tierra-espacio) de 250 MHz en la Región 2 y 300 MHz en la Región 3 en la gama 13-17 GHz;</w:t>
      </w:r>
    </w:p>
    <w:p w:rsidR="00574DB0" w:rsidRPr="00CF2F3A" w:rsidRDefault="00061760" w:rsidP="00070047">
      <w:pPr>
        <w:rPr>
          <w:szCs w:val="24"/>
        </w:rPr>
      </w:pPr>
      <w:r w:rsidRPr="00CF2F3A">
        <w:rPr>
          <w:bCs/>
          <w:szCs w:val="24"/>
        </w:rPr>
        <w:t xml:space="preserve">y revisar las disposiciones reglamentarias relativas a las atribuciones actuales al servicio fijo por satélite en cada gama, teniendo en cuenta los resultados de los estudios del UIT-R, conforme a las Resoluciones </w:t>
      </w:r>
      <w:r w:rsidRPr="00CF2F3A">
        <w:rPr>
          <w:b/>
          <w:szCs w:val="24"/>
        </w:rPr>
        <w:t>151 (CMR-12)</w:t>
      </w:r>
      <w:r w:rsidRPr="00CF2F3A">
        <w:rPr>
          <w:bCs/>
          <w:szCs w:val="24"/>
        </w:rPr>
        <w:t xml:space="preserve"> y </w:t>
      </w:r>
      <w:r w:rsidRPr="00CF2F3A">
        <w:rPr>
          <w:b/>
          <w:szCs w:val="24"/>
        </w:rPr>
        <w:t xml:space="preserve">152 (CMR-12) </w:t>
      </w:r>
      <w:r w:rsidRPr="00CF2F3A">
        <w:rPr>
          <w:bCs/>
          <w:szCs w:val="24"/>
        </w:rPr>
        <w:t>respectivamente;</w:t>
      </w:r>
    </w:p>
    <w:p w:rsidR="00B90691" w:rsidRPr="00037D03" w:rsidRDefault="0042421F" w:rsidP="00070047">
      <w:pPr>
        <w:pStyle w:val="Headingb"/>
      </w:pPr>
      <w:r w:rsidRPr="00037D03">
        <w:t>Antecedentes</w:t>
      </w:r>
    </w:p>
    <w:p w:rsidR="00E86B58" w:rsidRDefault="00ED6AA4" w:rsidP="00FC1832">
      <w:r w:rsidRPr="00ED6AA4">
        <w:rPr>
          <w:rFonts w:eastAsia="Calibri"/>
        </w:rPr>
        <w:t xml:space="preserve">Para </w:t>
      </w:r>
      <w:r w:rsidR="00E86B58">
        <w:rPr>
          <w:rFonts w:eastAsia="Calibri"/>
        </w:rPr>
        <w:t>dar respuesta</w:t>
      </w:r>
      <w:r w:rsidRPr="00ED6AA4">
        <w:rPr>
          <w:rFonts w:eastAsia="Calibri"/>
        </w:rPr>
        <w:t xml:space="preserve"> al punto 1.6</w:t>
      </w:r>
      <w:r w:rsidR="0042421F">
        <w:rPr>
          <w:rFonts w:eastAsia="Calibri"/>
        </w:rPr>
        <w:t>.1</w:t>
      </w:r>
      <w:r w:rsidRPr="00ED6AA4">
        <w:rPr>
          <w:rFonts w:eastAsia="Calibri"/>
        </w:rPr>
        <w:t xml:space="preserve"> del o</w:t>
      </w:r>
      <w:r>
        <w:rPr>
          <w:rFonts w:eastAsia="Calibri"/>
        </w:rPr>
        <w:t>rden del día, el</w:t>
      </w:r>
      <w:r w:rsidRPr="00BD6256">
        <w:t xml:space="preserve"> UIT-R ha realizado estudios sobre posibles bandas de frecuencias para nuevas atribuciones a título primario </w:t>
      </w:r>
      <w:r w:rsidR="00070047">
        <w:t>en la gama de frecuencias 10</w:t>
      </w:r>
      <w:r w:rsidR="00070047">
        <w:noBreakHyphen/>
        <w:t>17 </w:t>
      </w:r>
      <w:r w:rsidRPr="00BD6256">
        <w:t>GHz al servicio fijo por satélite (SFS) en los sentidos Tierra-espacio y espacio-Tierra en la Región 1 de la UIT. Se han realizado estudios en 11 subbandas distintas de la gama de frecuencias 10-17 GHz</w:t>
      </w:r>
      <w:r w:rsidR="00070047">
        <w:t>, y</w:t>
      </w:r>
      <w:r w:rsidR="00037D03">
        <w:t xml:space="preserve"> l</w:t>
      </w:r>
      <w:r w:rsidRPr="0042421F">
        <w:t>os resultados de dichos estudios y los métodos para dar respuesta a este punto del orden del día se recogen en las secciones 4.1/1.6.1/4 y 4.1/1.6.1/5</w:t>
      </w:r>
      <w:r w:rsidR="0042421F">
        <w:t>,</w:t>
      </w:r>
      <w:r w:rsidRPr="0042421F">
        <w:t xml:space="preserve"> respectivamente</w:t>
      </w:r>
      <w:r w:rsidR="0042421F">
        <w:t>,</w:t>
      </w:r>
      <w:r w:rsidR="0042421F" w:rsidRPr="0042421F">
        <w:t xml:space="preserve"> del Informe de la RPC</w:t>
      </w:r>
      <w:r w:rsidRPr="0042421F">
        <w:t>.</w:t>
      </w:r>
      <w:r w:rsidR="00037D03">
        <w:t xml:space="preserve"> </w:t>
      </w:r>
      <w:r w:rsidR="00E86B58" w:rsidRPr="00046D17">
        <w:t xml:space="preserve">El UIT-R </w:t>
      </w:r>
      <w:r w:rsidR="00037D03">
        <w:t xml:space="preserve">también </w:t>
      </w:r>
      <w:r w:rsidR="00E86B58" w:rsidRPr="00046D17">
        <w:t xml:space="preserve">ha realizado estudios sobre posibles bandas de frecuencias para nuevas atribuciones a título primario en la gama de frecuencias 13-17 GHz al servicio fijo por satélite (SFS) en </w:t>
      </w:r>
      <w:r w:rsidR="00E86B58">
        <w:t>el sentido</w:t>
      </w:r>
      <w:r w:rsidR="00E86B58" w:rsidRPr="00046D17">
        <w:t xml:space="preserve"> Tierra-espacio en las Regiones 2 y 3 de la UIT.</w:t>
      </w:r>
      <w:r w:rsidR="00E86B58">
        <w:t xml:space="preserve"> </w:t>
      </w:r>
      <w:r w:rsidR="00E86B58" w:rsidRPr="00046D17">
        <w:t>Se han realizado estudios en 8</w:t>
      </w:r>
      <w:r w:rsidR="00FC1832">
        <w:t> </w:t>
      </w:r>
      <w:r w:rsidR="00E86B58" w:rsidRPr="00046D17">
        <w:t>subbandas distintas de la gama de frecuencias 13-17 GHz</w:t>
      </w:r>
      <w:r w:rsidR="0042421F">
        <w:t>, y los</w:t>
      </w:r>
      <w:r w:rsidR="00E86B58" w:rsidRPr="00046D17">
        <w:t xml:space="preserve"> resultados de dichos estudios y los métodos para dar respuesta a este punto del orden del día se recogen en las secciones 4.1/1.6.2/4 y 4.1/1.6.2/5</w:t>
      </w:r>
      <w:r w:rsidR="0042421F">
        <w:t>,</w:t>
      </w:r>
      <w:r w:rsidR="00E86B58" w:rsidRPr="00046D17">
        <w:t xml:space="preserve"> respectivamente</w:t>
      </w:r>
      <w:r w:rsidR="0042421F">
        <w:t xml:space="preserve">, del Informe de la RPC </w:t>
      </w:r>
      <w:r w:rsidR="00FC1832">
        <w:t>.</w:t>
      </w:r>
    </w:p>
    <w:p w:rsidR="00E86B58" w:rsidRDefault="00E86B58" w:rsidP="00FC1832">
      <w:r>
        <w:t xml:space="preserve">Según este </w:t>
      </w:r>
      <w:r w:rsidR="00FC1832">
        <w:t>I</w:t>
      </w:r>
      <w:r>
        <w:t>nforme, l</w:t>
      </w:r>
      <w:r w:rsidRPr="00046D17">
        <w:t>as bandas de frecuencias no planificadas del SFS existentes en la gama 1</w:t>
      </w:r>
      <w:r>
        <w:t>3</w:t>
      </w:r>
      <w:r w:rsidR="00FC1832">
        <w:noBreakHyphen/>
      </w:r>
      <w:r w:rsidRPr="00046D17">
        <w:t>1</w:t>
      </w:r>
      <w:r>
        <w:t>7</w:t>
      </w:r>
      <w:r w:rsidR="00FC1832">
        <w:t> </w:t>
      </w:r>
      <w:r w:rsidRPr="00046D17">
        <w:t>GHz son ampliamente utilizadas por un gran número de aplicaciones</w:t>
      </w:r>
      <w:r>
        <w:t xml:space="preserve"> en todas las Regiones. </w:t>
      </w:r>
      <w:r w:rsidRPr="00046D17">
        <w:t xml:space="preserve">El crecimiento de la demanda de dichas aplicaciones ha generado un rápido aumento de la demanda de espectro radioeléctrico. Además, </w:t>
      </w:r>
      <w:r w:rsidR="0042421F">
        <w:t xml:space="preserve">como </w:t>
      </w:r>
      <w:r w:rsidRPr="00046D17">
        <w:t xml:space="preserve">el tráfico por satélite es típicamente simétrico </w:t>
      </w:r>
      <w:r w:rsidR="00037D03" w:rsidRPr="00046D17">
        <w:t>en una amplia variedad de aplicaciones</w:t>
      </w:r>
      <w:r w:rsidR="00037D03">
        <w:t>,</w:t>
      </w:r>
      <w:r w:rsidR="00037D03" w:rsidRPr="00046D17">
        <w:t xml:space="preserve"> </w:t>
      </w:r>
      <w:r w:rsidRPr="00046D17">
        <w:t>las transmisiones Tierra-espacio (ascendente) y espacio-Tierra (descendente) transportan un volumen de tráfico similar.</w:t>
      </w:r>
    </w:p>
    <w:p w:rsidR="0042421F" w:rsidRPr="00046D17" w:rsidRDefault="0042421F" w:rsidP="00FC1832">
      <w:r w:rsidRPr="00046D17">
        <w:lastRenderedPageBreak/>
        <w:t xml:space="preserve">La CMR-12 adoptó el punto 1.6 del orden del día de la CMR-15 a fin de analizar posibles atribuciones adicionales a título primario al SFS y </w:t>
      </w:r>
      <w:r w:rsidR="00037D03">
        <w:t>revisar</w:t>
      </w:r>
      <w:r w:rsidRPr="00046D17">
        <w:t xml:space="preserve"> las disposiciones reglamentarias relativas a las atribuciones existentes</w:t>
      </w:r>
      <w:r>
        <w:t xml:space="preserve"> </w:t>
      </w:r>
      <w:r w:rsidR="00FC5CB1">
        <w:t>al SFS</w:t>
      </w:r>
      <w:r w:rsidRPr="00046D17">
        <w:t xml:space="preserve">, teniendo en cuenta los estudios del UIT-R de conformidad con la Resolución </w:t>
      </w:r>
      <w:r w:rsidR="00FC1832">
        <w:t>1</w:t>
      </w:r>
      <w:r w:rsidRPr="00FC1832">
        <w:t>52 (CMR-12)</w:t>
      </w:r>
      <w:r>
        <w:t>.</w:t>
      </w:r>
    </w:p>
    <w:p w:rsidR="00B90691" w:rsidRPr="000A69CA" w:rsidRDefault="00037D03" w:rsidP="00070047">
      <w:pPr>
        <w:pStyle w:val="Headingb"/>
      </w:pPr>
      <w:r w:rsidRPr="000A69CA">
        <w:t>Exposición</w:t>
      </w:r>
    </w:p>
    <w:p w:rsidR="00FC5CB1" w:rsidRPr="00345E77" w:rsidRDefault="00FC5CB1" w:rsidP="00070047">
      <w:pPr>
        <w:rPr>
          <w:rFonts w:asciiTheme="majorBidi" w:eastAsia="MS Mincho" w:hAnsiTheme="majorBidi" w:cstheme="majorBidi"/>
          <w:lang w:bidi="th-TH"/>
        </w:rPr>
      </w:pPr>
      <w:r w:rsidRPr="00FC5CB1">
        <w:rPr>
          <w:rFonts w:eastAsia="MS Mincho"/>
          <w:lang w:bidi="th-TH"/>
        </w:rPr>
        <w:t xml:space="preserve">De acuerdo con el desglose de las posibles bandas de frecuencias </w:t>
      </w:r>
      <w:r w:rsidR="000A69CA">
        <w:rPr>
          <w:rFonts w:eastAsia="MS Mincho"/>
          <w:lang w:bidi="th-TH"/>
        </w:rPr>
        <w:t xml:space="preserve">realizado </w:t>
      </w:r>
      <w:r w:rsidRPr="00FC5CB1">
        <w:rPr>
          <w:rFonts w:eastAsia="MS Mincho"/>
          <w:lang w:bidi="th-TH"/>
        </w:rPr>
        <w:t>para nuevas atribuciones a título primario al servicio fijo por satélite (SFS)</w:t>
      </w:r>
      <w:r>
        <w:rPr>
          <w:rFonts w:eastAsia="MS Mincho"/>
          <w:lang w:bidi="th-TH"/>
        </w:rPr>
        <w:t xml:space="preserve">, se han propuesto algunas subbandas para cada punto del orden del </w:t>
      </w:r>
      <w:r w:rsidRPr="00FC5CB1">
        <w:rPr>
          <w:rFonts w:eastAsia="MS Mincho"/>
          <w:lang w:bidi="th-TH"/>
        </w:rPr>
        <w:t>día</w:t>
      </w:r>
      <w:r>
        <w:rPr>
          <w:rFonts w:eastAsia="MS Mincho"/>
          <w:lang w:bidi="th-TH"/>
        </w:rPr>
        <w:t xml:space="preserve"> </w:t>
      </w:r>
      <w:r w:rsidRPr="00FC5CB1">
        <w:rPr>
          <w:rFonts w:eastAsia="MS Mincho"/>
          <w:lang w:bidi="th-TH"/>
        </w:rPr>
        <w:t xml:space="preserve">(1.6.1 </w:t>
      </w:r>
      <w:r>
        <w:rPr>
          <w:rFonts w:eastAsia="MS Mincho"/>
          <w:lang w:bidi="th-TH"/>
        </w:rPr>
        <w:t>y</w:t>
      </w:r>
      <w:r w:rsidRPr="00FC5CB1">
        <w:rPr>
          <w:rFonts w:eastAsia="MS Mincho"/>
          <w:lang w:bidi="th-TH"/>
        </w:rPr>
        <w:t xml:space="preserve"> 1.6.2)</w:t>
      </w:r>
      <w:r>
        <w:rPr>
          <w:rFonts w:eastAsia="MS Mincho"/>
          <w:lang w:bidi="th-TH"/>
        </w:rPr>
        <w:t xml:space="preserve"> y se han realizado los estudios de compartición de cada subbanda considerando las peculiaridades de cada servicio. Diversos servicios, incluidos</w:t>
      </w:r>
      <w:r w:rsidR="0085557C">
        <w:rPr>
          <w:rFonts w:eastAsia="MS Mincho"/>
          <w:lang w:bidi="th-TH"/>
        </w:rPr>
        <w:t xml:space="preserve"> </w:t>
      </w:r>
      <w:r w:rsidR="0085557C">
        <w:rPr>
          <w:color w:val="000000"/>
        </w:rPr>
        <w:t xml:space="preserve">SRNA, </w:t>
      </w:r>
      <w:r w:rsidR="0085557C" w:rsidRPr="00345E77">
        <w:rPr>
          <w:rFonts w:asciiTheme="majorBidi" w:hAnsiTheme="majorBidi" w:cstheme="majorBidi"/>
          <w:color w:val="000000"/>
        </w:rPr>
        <w:t>SMA, SRS, SM, SETS, SF, SIE tiene</w:t>
      </w:r>
      <w:r w:rsidR="00FC1832">
        <w:rPr>
          <w:rFonts w:asciiTheme="majorBidi" w:hAnsiTheme="majorBidi" w:cstheme="majorBidi"/>
          <w:color w:val="000000"/>
        </w:rPr>
        <w:t>n</w:t>
      </w:r>
      <w:r w:rsidR="0085557C" w:rsidRPr="00345E77">
        <w:rPr>
          <w:rFonts w:asciiTheme="majorBidi" w:hAnsiTheme="majorBidi" w:cstheme="majorBidi"/>
          <w:color w:val="000000"/>
        </w:rPr>
        <w:t xml:space="preserve"> atribuciones en </w:t>
      </w:r>
      <w:r w:rsidR="00AC595E">
        <w:rPr>
          <w:rFonts w:asciiTheme="majorBidi" w:hAnsiTheme="majorBidi" w:cstheme="majorBidi"/>
          <w:color w:val="000000"/>
        </w:rPr>
        <w:t>las</w:t>
      </w:r>
      <w:r w:rsidR="0085557C" w:rsidRPr="00345E77">
        <w:rPr>
          <w:rFonts w:asciiTheme="majorBidi" w:hAnsiTheme="majorBidi" w:cstheme="majorBidi"/>
          <w:color w:val="000000"/>
        </w:rPr>
        <w:t xml:space="preserve"> subbanda</w:t>
      </w:r>
      <w:r w:rsidR="00AC595E">
        <w:rPr>
          <w:rFonts w:asciiTheme="majorBidi" w:hAnsiTheme="majorBidi" w:cstheme="majorBidi"/>
          <w:color w:val="000000"/>
        </w:rPr>
        <w:t>s</w:t>
      </w:r>
      <w:r w:rsidR="0085557C" w:rsidRPr="00345E77">
        <w:rPr>
          <w:rFonts w:asciiTheme="majorBidi" w:hAnsiTheme="majorBidi" w:cstheme="majorBidi"/>
          <w:color w:val="000000"/>
        </w:rPr>
        <w:t xml:space="preserve">. Algunos de estos servicios, como SRNA y SMA </w:t>
      </w:r>
      <w:r w:rsidR="00AC595E">
        <w:rPr>
          <w:rFonts w:asciiTheme="majorBidi" w:hAnsiTheme="majorBidi" w:cstheme="majorBidi"/>
          <w:color w:val="000000"/>
        </w:rPr>
        <w:t>desempeña</w:t>
      </w:r>
      <w:r w:rsidR="00CB4AC7">
        <w:rPr>
          <w:rFonts w:asciiTheme="majorBidi" w:hAnsiTheme="majorBidi" w:cstheme="majorBidi"/>
          <w:color w:val="000000"/>
        </w:rPr>
        <w:t>n</w:t>
      </w:r>
      <w:r w:rsidR="0085557C" w:rsidRPr="00345E77">
        <w:rPr>
          <w:rFonts w:asciiTheme="majorBidi" w:hAnsiTheme="majorBidi" w:cstheme="majorBidi"/>
          <w:color w:val="000000"/>
        </w:rPr>
        <w:t xml:space="preserve"> un papel fundamental en </w:t>
      </w:r>
      <w:r w:rsidR="00D21070" w:rsidRPr="00345E77">
        <w:rPr>
          <w:rFonts w:asciiTheme="majorBidi" w:hAnsiTheme="majorBidi" w:cstheme="majorBidi"/>
          <w:color w:val="000000"/>
        </w:rPr>
        <w:t xml:space="preserve">los aspectos de la vida humana. SRS es otro servicio importante que </w:t>
      </w:r>
      <w:r w:rsidR="00AC595E">
        <w:rPr>
          <w:rFonts w:asciiTheme="majorBidi" w:hAnsiTheme="majorBidi" w:cstheme="majorBidi"/>
          <w:color w:val="000000"/>
        </w:rPr>
        <w:t>goza</w:t>
      </w:r>
      <w:r w:rsidR="00D21070" w:rsidRPr="00345E77">
        <w:rPr>
          <w:rFonts w:asciiTheme="majorBidi" w:hAnsiTheme="majorBidi" w:cstheme="majorBidi"/>
          <w:color w:val="000000"/>
        </w:rPr>
        <w:t xml:space="preserve"> de prioridad debido a su importancia para el gran público.</w:t>
      </w:r>
    </w:p>
    <w:p w:rsidR="00D21070" w:rsidRPr="00345E77" w:rsidRDefault="00D21070" w:rsidP="00070047">
      <w:pPr>
        <w:rPr>
          <w:rFonts w:eastAsia="MS Mincho"/>
          <w:szCs w:val="24"/>
          <w:lang w:bidi="th-TH"/>
        </w:rPr>
      </w:pPr>
      <w:r w:rsidRPr="00345E77">
        <w:rPr>
          <w:rFonts w:eastAsia="MS Mincho"/>
          <w:lang w:bidi="th-TH"/>
        </w:rPr>
        <w:t xml:space="preserve">Una de las bandas posibles para ambos puntos 1.6.1 y 1.6.2 del orden del día es la banda </w:t>
      </w:r>
      <w:r w:rsidRPr="00345E77">
        <w:rPr>
          <w:rFonts w:eastAsia="MS Mincho"/>
          <w:cs/>
          <w:lang w:bidi="th-TH"/>
        </w:rPr>
        <w:t>‎</w:t>
      </w:r>
      <w:r w:rsidRPr="00345E77">
        <w:rPr>
          <w:rFonts w:eastAsia="MS Mincho"/>
          <w:lang w:bidi="th-TH"/>
        </w:rPr>
        <w:t>14</w:t>
      </w:r>
      <w:r w:rsidR="002C681A">
        <w:rPr>
          <w:rFonts w:eastAsia="MS Mincho"/>
          <w:lang w:bidi="th-TH"/>
        </w:rPr>
        <w:t>,</w:t>
      </w:r>
      <w:r w:rsidR="00070047">
        <w:rPr>
          <w:rFonts w:eastAsia="MS Mincho"/>
          <w:lang w:bidi="th-TH"/>
        </w:rPr>
        <w:t>5</w:t>
      </w:r>
      <w:r w:rsidR="00070047">
        <w:rPr>
          <w:rFonts w:eastAsia="MS Mincho"/>
          <w:lang w:bidi="th-TH"/>
        </w:rPr>
        <w:noBreakHyphen/>
      </w:r>
      <w:r w:rsidRPr="00345E77">
        <w:rPr>
          <w:rFonts w:eastAsia="MS Mincho"/>
          <w:lang w:bidi="th-TH"/>
        </w:rPr>
        <w:t>14</w:t>
      </w:r>
      <w:r w:rsidR="002C681A">
        <w:rPr>
          <w:rFonts w:eastAsia="MS Mincho"/>
          <w:lang w:bidi="th-TH"/>
        </w:rPr>
        <w:t>,</w:t>
      </w:r>
      <w:r w:rsidRPr="00345E77">
        <w:rPr>
          <w:rFonts w:eastAsia="MS Mincho"/>
          <w:lang w:bidi="th-TH"/>
        </w:rPr>
        <w:t>8</w:t>
      </w:r>
      <w:r w:rsidR="00070047">
        <w:rPr>
          <w:rFonts w:eastAsia="MS Mincho"/>
          <w:lang w:bidi="th-TH"/>
        </w:rPr>
        <w:t> </w:t>
      </w:r>
      <w:r w:rsidRPr="00345E77">
        <w:rPr>
          <w:rFonts w:eastAsia="MS Mincho"/>
          <w:szCs w:val="24"/>
          <w:lang w:bidi="th-TH"/>
        </w:rPr>
        <w:t xml:space="preserve">GHz </w:t>
      </w:r>
      <w:r w:rsidRPr="00345E77">
        <w:rPr>
          <w:rFonts w:eastAsia="MS Mincho"/>
          <w:szCs w:val="24"/>
          <w:cs/>
          <w:lang w:bidi="th-TH"/>
        </w:rPr>
        <w:t>‎</w:t>
      </w:r>
      <w:r w:rsidR="00345E77" w:rsidRPr="00345E77">
        <w:rPr>
          <w:rFonts w:eastAsia="MS Mincho"/>
          <w:szCs w:val="24"/>
          <w:cs/>
          <w:lang w:bidi="th-TH"/>
        </w:rPr>
        <w:t>ya atribuida a los servicio</w:t>
      </w:r>
      <w:r w:rsidR="00345E77">
        <w:rPr>
          <w:rFonts w:asciiTheme="majorBidi" w:eastAsia="MS Mincho" w:hAnsiTheme="majorBidi" w:cstheme="majorBidi"/>
          <w:szCs w:val="24"/>
          <w:lang w:bidi="th-TH"/>
        </w:rPr>
        <w:t xml:space="preserve">s SMA y SRS en algunas regiones. </w:t>
      </w:r>
      <w:r w:rsidR="00345E77" w:rsidRPr="00345E77">
        <w:rPr>
          <w:rFonts w:asciiTheme="majorBidi" w:eastAsia="MS Mincho" w:hAnsiTheme="majorBidi" w:cstheme="majorBidi"/>
          <w:szCs w:val="24"/>
          <w:lang w:bidi="th-TH"/>
        </w:rPr>
        <w:t>Aunque la Comisión de Estudio 4 (GT 4A) finaliz</w:t>
      </w:r>
      <w:r w:rsidR="00345E77">
        <w:rPr>
          <w:rFonts w:asciiTheme="majorBidi" w:eastAsia="MS Mincho" w:hAnsiTheme="majorBidi" w:cstheme="majorBidi"/>
          <w:szCs w:val="24"/>
          <w:lang w:bidi="th-TH"/>
        </w:rPr>
        <w:t>ó</w:t>
      </w:r>
      <w:r w:rsidR="00345E77" w:rsidRPr="00345E77">
        <w:rPr>
          <w:rFonts w:asciiTheme="majorBidi" w:eastAsia="MS Mincho" w:hAnsiTheme="majorBidi" w:cstheme="majorBidi"/>
          <w:szCs w:val="24"/>
          <w:lang w:bidi="th-TH"/>
        </w:rPr>
        <w:t xml:space="preserve"> sus estudios </w:t>
      </w:r>
      <w:r w:rsidR="00345E77">
        <w:rPr>
          <w:rFonts w:asciiTheme="majorBidi" w:eastAsia="MS Mincho" w:hAnsiTheme="majorBidi" w:cstheme="majorBidi"/>
          <w:szCs w:val="24"/>
          <w:lang w:bidi="th-TH"/>
        </w:rPr>
        <w:t>sobre posible</w:t>
      </w:r>
      <w:r w:rsidR="00FC1832">
        <w:rPr>
          <w:rFonts w:asciiTheme="majorBidi" w:eastAsia="MS Mincho" w:hAnsiTheme="majorBidi" w:cstheme="majorBidi"/>
          <w:szCs w:val="24"/>
          <w:lang w:bidi="th-TH"/>
        </w:rPr>
        <w:t>s</w:t>
      </w:r>
      <w:r w:rsidR="00345E77">
        <w:rPr>
          <w:rFonts w:asciiTheme="majorBidi" w:eastAsia="MS Mincho" w:hAnsiTheme="majorBidi" w:cstheme="majorBidi"/>
          <w:szCs w:val="24"/>
          <w:lang w:bidi="th-TH"/>
        </w:rPr>
        <w:t xml:space="preserve"> nuevas atribuciones a título primario al SFS y analizó todos los escenarios de compartición entre el nuevo SFS y </w:t>
      </w:r>
      <w:r w:rsidR="002C681A">
        <w:rPr>
          <w:rFonts w:asciiTheme="majorBidi" w:eastAsia="MS Mincho" w:hAnsiTheme="majorBidi" w:cstheme="majorBidi"/>
          <w:szCs w:val="24"/>
          <w:lang w:bidi="th-TH"/>
        </w:rPr>
        <w:t xml:space="preserve">los </w:t>
      </w:r>
      <w:r w:rsidR="00345E77">
        <w:rPr>
          <w:rFonts w:asciiTheme="majorBidi" w:eastAsia="MS Mincho" w:hAnsiTheme="majorBidi" w:cstheme="majorBidi"/>
          <w:szCs w:val="24"/>
          <w:lang w:bidi="th-TH"/>
        </w:rPr>
        <w:t xml:space="preserve">otros servicios existentes, existen algunas dudas sobre la banda </w:t>
      </w:r>
      <w:r w:rsidR="00345E77" w:rsidRPr="00345E77">
        <w:rPr>
          <w:rFonts w:asciiTheme="majorBidi" w:eastAsia="MS Mincho" w:hAnsiTheme="majorBidi" w:cstheme="majorBidi"/>
          <w:szCs w:val="24"/>
          <w:cs/>
          <w:lang w:bidi="th-TH"/>
        </w:rPr>
        <w:t>‎</w:t>
      </w:r>
      <w:r w:rsidR="00345E77" w:rsidRPr="00345E77">
        <w:rPr>
          <w:rFonts w:asciiTheme="majorBidi" w:eastAsia="MS Mincho" w:hAnsiTheme="majorBidi" w:cstheme="majorBidi"/>
          <w:szCs w:val="24"/>
          <w:lang w:bidi="th-TH"/>
        </w:rPr>
        <w:t>14</w:t>
      </w:r>
      <w:r w:rsidR="00574DB0">
        <w:rPr>
          <w:rFonts w:asciiTheme="majorBidi" w:eastAsia="MS Mincho" w:hAnsiTheme="majorBidi" w:cstheme="majorBidi"/>
          <w:szCs w:val="24"/>
          <w:lang w:bidi="th-TH"/>
        </w:rPr>
        <w:t>,</w:t>
      </w:r>
      <w:r w:rsidR="00345E77" w:rsidRPr="00345E77">
        <w:rPr>
          <w:rFonts w:asciiTheme="majorBidi" w:eastAsia="MS Mincho" w:hAnsiTheme="majorBidi" w:cstheme="majorBidi"/>
          <w:szCs w:val="24"/>
          <w:lang w:bidi="th-TH"/>
        </w:rPr>
        <w:t>5-14</w:t>
      </w:r>
      <w:r w:rsidR="00574DB0">
        <w:rPr>
          <w:rFonts w:asciiTheme="majorBidi" w:eastAsia="MS Mincho" w:hAnsiTheme="majorBidi" w:cstheme="majorBidi"/>
          <w:szCs w:val="24"/>
          <w:lang w:bidi="th-TH"/>
        </w:rPr>
        <w:t>,</w:t>
      </w:r>
      <w:r w:rsidR="00345E77" w:rsidRPr="00345E77">
        <w:rPr>
          <w:rFonts w:asciiTheme="majorBidi" w:eastAsia="MS Mincho" w:hAnsiTheme="majorBidi" w:cstheme="majorBidi"/>
          <w:szCs w:val="24"/>
          <w:lang w:bidi="th-TH"/>
        </w:rPr>
        <w:t>8 GHz</w:t>
      </w:r>
      <w:r w:rsidR="00345E77" w:rsidRPr="00345E77">
        <w:rPr>
          <w:rFonts w:asciiTheme="majorBidi" w:eastAsia="MS Mincho" w:hAnsiTheme="majorBidi" w:cstheme="majorBidi"/>
          <w:szCs w:val="24"/>
          <w:cs/>
          <w:lang w:bidi="th-TH"/>
        </w:rPr>
        <w:t>‎</w:t>
      </w:r>
      <w:r w:rsidR="00345E77" w:rsidRPr="00345E77">
        <w:rPr>
          <w:rFonts w:eastAsia="MS Mincho"/>
          <w:szCs w:val="24"/>
          <w:cs/>
          <w:lang w:bidi="th-TH"/>
        </w:rPr>
        <w:t xml:space="preserve"> </w:t>
      </w:r>
    </w:p>
    <w:p w:rsidR="00345E77" w:rsidRPr="00345E77" w:rsidRDefault="00345E77" w:rsidP="00FC1832">
      <w:pPr>
        <w:rPr>
          <w:rFonts w:asciiTheme="majorBidi" w:eastAsia="MS Mincho" w:hAnsiTheme="majorBidi" w:cstheme="majorBidi"/>
          <w:lang w:bidi="th-TH"/>
        </w:rPr>
      </w:pPr>
      <w:r w:rsidRPr="00345E77">
        <w:rPr>
          <w:rFonts w:asciiTheme="majorBidi" w:eastAsia="MS Mincho" w:hAnsiTheme="majorBidi" w:cstheme="majorBidi"/>
          <w:lang w:bidi="th-TH"/>
        </w:rPr>
        <w:t xml:space="preserve">Actualmente, con respecto al número </w:t>
      </w:r>
      <w:r w:rsidRPr="00FC1832">
        <w:rPr>
          <w:rFonts w:eastAsia="MS Mincho"/>
          <w:bCs/>
          <w:lang w:bidi="th-TH"/>
        </w:rPr>
        <w:t>5.510</w:t>
      </w:r>
      <w:r w:rsidRPr="00345E77">
        <w:rPr>
          <w:rFonts w:eastAsia="MS Mincho"/>
          <w:lang w:bidi="th-TH"/>
        </w:rPr>
        <w:t xml:space="preserve"> del RR, la utilizaci</w:t>
      </w:r>
      <w:r>
        <w:rPr>
          <w:rFonts w:eastAsia="MS Mincho"/>
          <w:lang w:bidi="th-TH"/>
        </w:rPr>
        <w:t>ón de la banda está limitada</w:t>
      </w:r>
      <w:r w:rsidR="00187BFC">
        <w:rPr>
          <w:rFonts w:eastAsia="MS Mincho"/>
          <w:lang w:bidi="th-TH"/>
        </w:rPr>
        <w:t>, fuera de Europa,</w:t>
      </w:r>
      <w:r>
        <w:rPr>
          <w:rFonts w:eastAsia="MS Mincho"/>
          <w:lang w:bidi="th-TH"/>
        </w:rPr>
        <w:t xml:space="preserve"> a</w:t>
      </w:r>
      <w:r w:rsidR="00187BFC">
        <w:rPr>
          <w:rFonts w:eastAsia="MS Mincho"/>
          <w:lang w:bidi="th-TH"/>
        </w:rPr>
        <w:t xml:space="preserve"> </w:t>
      </w:r>
      <w:r w:rsidR="00187BFC" w:rsidRPr="00187BFC">
        <w:rPr>
          <w:rFonts w:eastAsia="MS Mincho"/>
          <w:lang w:bidi="th-TH"/>
        </w:rPr>
        <w:t>los enlaces de conexión del SRS</w:t>
      </w:r>
      <w:r w:rsidR="00187BFC">
        <w:rPr>
          <w:rFonts w:eastAsia="MS Mincho"/>
          <w:lang w:bidi="th-TH"/>
        </w:rPr>
        <w:t>. La base de datos del UIT-R indica que existen 22</w:t>
      </w:r>
      <w:r w:rsidR="00FC1832">
        <w:rPr>
          <w:rFonts w:eastAsia="MS Mincho"/>
          <w:lang w:bidi="th-TH"/>
        </w:rPr>
        <w:t> </w:t>
      </w:r>
      <w:r w:rsidR="00187BFC">
        <w:rPr>
          <w:rFonts w:eastAsia="MS Mincho"/>
          <w:lang w:bidi="th-TH"/>
        </w:rPr>
        <w:t>asignaciones</w:t>
      </w:r>
      <w:r w:rsidR="00187BFC" w:rsidRPr="00187BFC">
        <w:rPr>
          <w:rFonts w:eastAsia="MS Mincho"/>
          <w:lang w:bidi="th-TH"/>
        </w:rPr>
        <w:t xml:space="preserve"> </w:t>
      </w:r>
      <w:r w:rsidR="00187BFC">
        <w:rPr>
          <w:rFonts w:eastAsia="MS Mincho"/>
          <w:lang w:bidi="th-TH"/>
        </w:rPr>
        <w:t xml:space="preserve">del Plan, 16 asignaciones de la Lista y 106 solicitudes pendientes de coordinación en esta banda. El Informe del Director (Documento </w:t>
      </w:r>
      <w:r w:rsidR="00187BFC" w:rsidRPr="00187BFC">
        <w:rPr>
          <w:rFonts w:eastAsia="MS Mincho"/>
          <w:lang w:bidi="th-TH"/>
        </w:rPr>
        <w:t>CPM15-2/41-</w:t>
      </w:r>
      <w:r w:rsidR="00187BFC">
        <w:rPr>
          <w:rFonts w:eastAsia="MS Mincho"/>
          <w:lang w:bidi="th-TH"/>
        </w:rPr>
        <w:t xml:space="preserve">S) sobre el </w:t>
      </w:r>
      <w:r w:rsidR="00FC1832">
        <w:rPr>
          <w:rFonts w:eastAsia="MS Mincho"/>
          <w:lang w:bidi="th-TH"/>
        </w:rPr>
        <w:t>cambio</w:t>
      </w:r>
      <w:r w:rsidR="00187BFC" w:rsidRPr="00187BFC">
        <w:rPr>
          <w:rFonts w:eastAsia="MS Mincho"/>
          <w:lang w:bidi="th-TH"/>
        </w:rPr>
        <w:t xml:space="preserve"> en la situación de referencia (MPE) entre la CMR-2000 y marzo de 2015 para los haces del Plan de las </w:t>
      </w:r>
      <w:r w:rsidR="00FC1832" w:rsidRPr="00187BFC">
        <w:rPr>
          <w:rFonts w:eastAsia="MS Mincho"/>
          <w:lang w:bidi="th-TH"/>
        </w:rPr>
        <w:t>R</w:t>
      </w:r>
      <w:r w:rsidR="00187BFC" w:rsidRPr="00187BFC">
        <w:rPr>
          <w:rFonts w:eastAsia="MS Mincho"/>
          <w:lang w:bidi="th-TH"/>
        </w:rPr>
        <w:t>egiones 1 y 3 en los</w:t>
      </w:r>
      <w:r w:rsidR="00187BFC">
        <w:rPr>
          <w:rFonts w:eastAsia="MS Mincho"/>
          <w:lang w:bidi="th-TH"/>
        </w:rPr>
        <w:t xml:space="preserve"> Apéndices 30 y 30A</w:t>
      </w:r>
      <w:r w:rsidR="002C681A">
        <w:rPr>
          <w:rFonts w:eastAsia="MS Mincho"/>
          <w:lang w:bidi="th-TH"/>
        </w:rPr>
        <w:t>,</w:t>
      </w:r>
      <w:r w:rsidR="00187BFC">
        <w:rPr>
          <w:rFonts w:eastAsia="MS Mincho"/>
          <w:lang w:bidi="th-TH"/>
        </w:rPr>
        <w:t xml:space="preserve"> también aborda la reducción importante de los valores de MPE de algunas redes </w:t>
      </w:r>
      <w:r w:rsidR="00FC6723">
        <w:rPr>
          <w:rFonts w:eastAsia="MS Mincho"/>
          <w:lang w:bidi="th-TH"/>
        </w:rPr>
        <w:t>de</w:t>
      </w:r>
      <w:r w:rsidR="00187BFC">
        <w:rPr>
          <w:rFonts w:eastAsia="MS Mincho"/>
          <w:lang w:bidi="th-TH"/>
        </w:rPr>
        <w:t xml:space="preserve"> algunos países en la banda de 14 GHz</w:t>
      </w:r>
      <w:r w:rsidR="00FC6723">
        <w:rPr>
          <w:rFonts w:eastAsia="MS Mincho"/>
          <w:lang w:bidi="th-TH"/>
        </w:rPr>
        <w:t xml:space="preserve">, con valores negativos de MPE para las </w:t>
      </w:r>
      <w:r w:rsidR="002C681A">
        <w:rPr>
          <w:rFonts w:eastAsia="MS Mincho"/>
          <w:lang w:bidi="th-TH"/>
        </w:rPr>
        <w:t>asignaciones del Plan de SRS en,</w:t>
      </w:r>
      <w:r w:rsidR="00FC6723">
        <w:rPr>
          <w:rFonts w:eastAsia="MS Mincho"/>
          <w:lang w:bidi="th-TH"/>
        </w:rPr>
        <w:t xml:space="preserve"> al menos, dos países. Valores reducidos de MPE producen </w:t>
      </w:r>
      <w:r w:rsidR="002C681A">
        <w:rPr>
          <w:rFonts w:eastAsia="MS Mincho"/>
          <w:lang w:bidi="th-TH"/>
        </w:rPr>
        <w:t xml:space="preserve">una </w:t>
      </w:r>
      <w:r w:rsidR="00FC6723">
        <w:rPr>
          <w:rFonts w:eastAsia="MS Mincho"/>
          <w:lang w:bidi="th-TH"/>
        </w:rPr>
        <w:t>repercusión desfavorable sobre las redes SRS. La situación actual, reflejada en el Informe del Director, se ha producido a pesar de la utilización limitada de esta banda</w:t>
      </w:r>
      <w:r w:rsidR="003D5ABE">
        <w:rPr>
          <w:rFonts w:eastAsia="MS Mincho"/>
          <w:lang w:bidi="th-TH"/>
        </w:rPr>
        <w:t>,</w:t>
      </w:r>
      <w:r w:rsidR="00FC6723">
        <w:rPr>
          <w:rFonts w:eastAsia="MS Mincho"/>
          <w:lang w:bidi="th-TH"/>
        </w:rPr>
        <w:t xml:space="preserve"> de acuerdo con la disposición del número </w:t>
      </w:r>
      <w:r w:rsidR="00FC6723" w:rsidRPr="00FC1832">
        <w:rPr>
          <w:rFonts w:eastAsia="MS Mincho"/>
          <w:bCs/>
          <w:lang w:bidi="th-TH"/>
        </w:rPr>
        <w:t>5.510</w:t>
      </w:r>
      <w:r w:rsidR="00FC1832">
        <w:rPr>
          <w:rFonts w:eastAsia="MS Mincho"/>
          <w:bCs/>
          <w:lang w:bidi="th-TH"/>
        </w:rPr>
        <w:t xml:space="preserve"> del RR</w:t>
      </w:r>
      <w:r w:rsidR="003D5ABE">
        <w:rPr>
          <w:rFonts w:eastAsia="MS Mincho"/>
          <w:lang w:bidi="th-TH"/>
        </w:rPr>
        <w:t xml:space="preserve">. Sin ninguna duda, el efecto negativo, incrementado por las nuevas estaciones terrenas del SFS, va a aumentar </w:t>
      </w:r>
      <w:r w:rsidR="002C681A">
        <w:rPr>
          <w:rFonts w:eastAsia="MS Mincho"/>
          <w:lang w:bidi="th-TH"/>
        </w:rPr>
        <w:t>si se suprimen</w:t>
      </w:r>
      <w:r w:rsidR="003D5ABE">
        <w:rPr>
          <w:rFonts w:eastAsia="MS Mincho"/>
          <w:lang w:bidi="th-TH"/>
        </w:rPr>
        <w:t xml:space="preserve"> estas limitaciones.</w:t>
      </w:r>
    </w:p>
    <w:p w:rsidR="003D5ABE" w:rsidRPr="003D5ABE" w:rsidRDefault="003D5ABE" w:rsidP="00070047">
      <w:pPr>
        <w:rPr>
          <w:bCs/>
        </w:rPr>
      </w:pPr>
      <w:r w:rsidRPr="003D5ABE">
        <w:rPr>
          <w:bCs/>
        </w:rPr>
        <w:t>En consecuencia, el problema de las administraciones responsables de</w:t>
      </w:r>
      <w:r>
        <w:rPr>
          <w:bCs/>
        </w:rPr>
        <w:t xml:space="preserve"> </w:t>
      </w:r>
      <w:r w:rsidRPr="003D5ABE">
        <w:rPr>
          <w:bCs/>
        </w:rPr>
        <w:t xml:space="preserve">las </w:t>
      </w:r>
      <w:r w:rsidR="007E122A">
        <w:rPr>
          <w:bCs/>
        </w:rPr>
        <w:t>aplicaciones</w:t>
      </w:r>
      <w:r w:rsidRPr="003D5ABE">
        <w:rPr>
          <w:bCs/>
        </w:rPr>
        <w:t xml:space="preserve"> de</w:t>
      </w:r>
      <w:r>
        <w:rPr>
          <w:bCs/>
        </w:rPr>
        <w:t>l</w:t>
      </w:r>
      <w:r w:rsidRPr="003D5ABE">
        <w:rPr>
          <w:bCs/>
        </w:rPr>
        <w:t xml:space="preserve"> </w:t>
      </w:r>
      <w:r>
        <w:rPr>
          <w:bCs/>
        </w:rPr>
        <w:t xml:space="preserve">SRS </w:t>
      </w:r>
      <w:r w:rsidR="007E122A">
        <w:rPr>
          <w:bCs/>
        </w:rPr>
        <w:t>se vuelve más complejo comparado con el pasado y el efecto acumulado de los casos de problemas sin resolver, individualmente insignificantes, va a volverse cada vez más significativo.</w:t>
      </w:r>
    </w:p>
    <w:p w:rsidR="007E122A" w:rsidRPr="007E122A" w:rsidRDefault="007E122A" w:rsidP="00070047">
      <w:pPr>
        <w:rPr>
          <w:bCs/>
        </w:rPr>
      </w:pPr>
      <w:r w:rsidRPr="007E122A">
        <w:rPr>
          <w:bCs/>
        </w:rPr>
        <w:t>Además, actualmente el caso de compartici</w:t>
      </w:r>
      <w:r>
        <w:rPr>
          <w:bCs/>
        </w:rPr>
        <w:t xml:space="preserve">ón entre el SRS y el SM, y en particular </w:t>
      </w:r>
      <w:r w:rsidR="002C681A">
        <w:rPr>
          <w:bCs/>
        </w:rPr>
        <w:t xml:space="preserve">el </w:t>
      </w:r>
      <w:r>
        <w:rPr>
          <w:bCs/>
        </w:rPr>
        <w:t xml:space="preserve">SMA, ya se ha abordado en el RR y ambos servicios ya están funcionando conjuntamente sin mayores problemas. Esta situación viene de la naturaleza del servicio SRS. El número de enlaces ascendentes de las estaciones terrenas en esta banda para las aplicaciones de SRS es muy inferior al </w:t>
      </w:r>
      <w:r w:rsidR="002C681A">
        <w:rPr>
          <w:bCs/>
        </w:rPr>
        <w:t xml:space="preserve">posible </w:t>
      </w:r>
      <w:r>
        <w:rPr>
          <w:bCs/>
        </w:rPr>
        <w:t>número de estacione</w:t>
      </w:r>
      <w:r w:rsidR="002C681A">
        <w:rPr>
          <w:bCs/>
        </w:rPr>
        <w:t xml:space="preserve">s terrenas del SFS que se utilizarán de llegar a </w:t>
      </w:r>
      <w:r>
        <w:rPr>
          <w:bCs/>
        </w:rPr>
        <w:t>suprim</w:t>
      </w:r>
      <w:r w:rsidR="002C681A">
        <w:rPr>
          <w:bCs/>
        </w:rPr>
        <w:t>irse</w:t>
      </w:r>
      <w:r>
        <w:rPr>
          <w:bCs/>
        </w:rPr>
        <w:t xml:space="preserve"> las limitaciones. En consecuencia , no es posible extender los estudios de compartición entre el SRS </w:t>
      </w:r>
      <w:r w:rsidR="00FC1832">
        <w:rPr>
          <w:bCs/>
        </w:rPr>
        <w:t>y un servicio</w:t>
      </w:r>
      <w:r w:rsidR="00574DB0">
        <w:rPr>
          <w:bCs/>
        </w:rPr>
        <w:t xml:space="preserve"> al caso entre este </w:t>
      </w:r>
      <w:r w:rsidR="005237E2">
        <w:rPr>
          <w:bCs/>
        </w:rPr>
        <w:t xml:space="preserve">mismo </w:t>
      </w:r>
      <w:r w:rsidR="00574DB0">
        <w:rPr>
          <w:bCs/>
        </w:rPr>
        <w:t>servicio</w:t>
      </w:r>
      <w:r w:rsidR="005237E2">
        <w:rPr>
          <w:bCs/>
        </w:rPr>
        <w:t xml:space="preserve"> y el SFS</w:t>
      </w:r>
      <w:r w:rsidR="00574DB0">
        <w:rPr>
          <w:bCs/>
        </w:rPr>
        <w:t>.</w:t>
      </w:r>
    </w:p>
    <w:p w:rsidR="00574DB0" w:rsidRPr="00574DB0" w:rsidRDefault="00574DB0" w:rsidP="00FC1832">
      <w:pPr>
        <w:rPr>
          <w:rFonts w:asciiTheme="majorBidi" w:eastAsia="MS Mincho" w:hAnsiTheme="majorBidi" w:cstheme="majorBidi"/>
          <w:lang w:bidi="th-TH"/>
        </w:rPr>
      </w:pPr>
      <w:r w:rsidRPr="00574DB0">
        <w:rPr>
          <w:rFonts w:eastAsia="MS Mincho"/>
          <w:lang w:bidi="th-TH"/>
        </w:rPr>
        <w:t xml:space="preserve">Como se </w:t>
      </w:r>
      <w:r w:rsidR="00FC1832">
        <w:rPr>
          <w:rFonts w:eastAsia="MS Mincho"/>
          <w:lang w:bidi="th-TH"/>
        </w:rPr>
        <w:t xml:space="preserve">ha </w:t>
      </w:r>
      <w:r w:rsidRPr="00574DB0">
        <w:rPr>
          <w:rFonts w:eastAsia="MS Mincho"/>
          <w:lang w:bidi="th-TH"/>
        </w:rPr>
        <w:t>mencionado anteriormente, el SRS es uno de los servicio</w:t>
      </w:r>
      <w:r w:rsidR="00FC1832">
        <w:rPr>
          <w:rFonts w:eastAsia="MS Mincho"/>
          <w:lang w:bidi="th-TH"/>
        </w:rPr>
        <w:t xml:space="preserve">s afectados en la banda </w:t>
      </w:r>
      <w:r w:rsidRPr="00574DB0">
        <w:rPr>
          <w:rFonts w:eastAsia="MS Mincho"/>
          <w:lang w:bidi="th-TH"/>
        </w:rPr>
        <w:t>14</w:t>
      </w:r>
      <w:r>
        <w:rPr>
          <w:rFonts w:eastAsia="MS Mincho"/>
          <w:lang w:bidi="th-TH"/>
        </w:rPr>
        <w:t>,</w:t>
      </w:r>
      <w:r w:rsidRPr="00574DB0">
        <w:rPr>
          <w:rFonts w:eastAsia="MS Mincho"/>
          <w:lang w:bidi="th-TH"/>
        </w:rPr>
        <w:t>5</w:t>
      </w:r>
      <w:r w:rsidR="00FC1832">
        <w:rPr>
          <w:rFonts w:eastAsia="MS Mincho"/>
          <w:lang w:bidi="th-TH"/>
        </w:rPr>
        <w:noBreakHyphen/>
      </w:r>
      <w:r w:rsidRPr="00574DB0">
        <w:rPr>
          <w:rFonts w:eastAsia="MS Mincho"/>
          <w:lang w:bidi="th-TH"/>
        </w:rPr>
        <w:t>14</w:t>
      </w:r>
      <w:r>
        <w:rPr>
          <w:rFonts w:eastAsia="MS Mincho"/>
          <w:lang w:bidi="th-TH"/>
        </w:rPr>
        <w:t>,</w:t>
      </w:r>
      <w:r w:rsidRPr="00574DB0">
        <w:rPr>
          <w:rFonts w:eastAsia="MS Mincho"/>
          <w:lang w:bidi="th-TH"/>
        </w:rPr>
        <w:t xml:space="preserve">8 GHz </w:t>
      </w:r>
      <w:r>
        <w:rPr>
          <w:rFonts w:eastAsia="MS Mincho"/>
          <w:lang w:bidi="th-TH"/>
        </w:rPr>
        <w:t xml:space="preserve">y existen otros servicios importantes afectados </w:t>
      </w:r>
      <w:r w:rsidR="005237E2">
        <w:rPr>
          <w:rFonts w:eastAsia="MS Mincho"/>
          <w:lang w:bidi="th-TH"/>
        </w:rPr>
        <w:t>cuando se</w:t>
      </w:r>
      <w:r>
        <w:rPr>
          <w:rFonts w:eastAsia="MS Mincho"/>
          <w:lang w:bidi="th-TH"/>
        </w:rPr>
        <w:t xml:space="preserve"> dedica esta banda a los objetivos de los puntos 1.6.1 y 1.6.2 del orden del día. </w:t>
      </w:r>
      <w:r w:rsidRPr="00574DB0">
        <w:rPr>
          <w:rFonts w:eastAsia="MS Mincho"/>
          <w:lang w:bidi="th-TH"/>
        </w:rPr>
        <w:t>Los estudios realizados por el GT 4A y transmitidos a</w:t>
      </w:r>
      <w:r>
        <w:rPr>
          <w:rFonts w:eastAsia="MS Mincho"/>
          <w:lang w:bidi="th-TH"/>
        </w:rPr>
        <w:t xml:space="preserve"> la RPC, confirman este problema. </w:t>
      </w:r>
      <w:r w:rsidRPr="00574DB0">
        <w:rPr>
          <w:rFonts w:eastAsia="MS Mincho"/>
          <w:lang w:bidi="th-TH"/>
        </w:rPr>
        <w:t xml:space="preserve">A modo de ejemplo, se indica en </w:t>
      </w:r>
      <w:r>
        <w:rPr>
          <w:rFonts w:eastAsia="MS Mincho"/>
          <w:lang w:bidi="th-TH"/>
        </w:rPr>
        <w:t xml:space="preserve">la </w:t>
      </w:r>
      <w:r w:rsidR="00FC1832">
        <w:rPr>
          <w:rFonts w:eastAsia="MS Mincho"/>
          <w:lang w:bidi="th-TH"/>
        </w:rPr>
        <w:t>s</w:t>
      </w:r>
      <w:r>
        <w:rPr>
          <w:rFonts w:eastAsia="MS Mincho"/>
          <w:lang w:bidi="th-TH"/>
        </w:rPr>
        <w:t xml:space="preserve">ección </w:t>
      </w:r>
      <w:r w:rsidRPr="00FC1832">
        <w:rPr>
          <w:rFonts w:eastAsia="Batang"/>
          <w:bCs/>
        </w:rPr>
        <w:t>4.1/1.6.1/4.6.3</w:t>
      </w:r>
      <w:r w:rsidRPr="00574DB0">
        <w:rPr>
          <w:rFonts w:eastAsia="Batang"/>
          <w:b/>
          <w:bCs/>
        </w:rPr>
        <w:t xml:space="preserve"> </w:t>
      </w:r>
      <w:r>
        <w:rPr>
          <w:rFonts w:eastAsia="Batang"/>
        </w:rPr>
        <w:t>d</w:t>
      </w:r>
      <w:r w:rsidRPr="00574DB0">
        <w:rPr>
          <w:rFonts w:eastAsia="MS Mincho"/>
          <w:lang w:bidi="th-TH"/>
        </w:rPr>
        <w:t xml:space="preserve">el Informe de </w:t>
      </w:r>
      <w:r>
        <w:rPr>
          <w:rFonts w:eastAsia="MS Mincho"/>
          <w:lang w:bidi="th-TH"/>
        </w:rPr>
        <w:t>la RPC</w:t>
      </w:r>
      <w:r w:rsidRPr="00574DB0">
        <w:rPr>
          <w:rFonts w:asciiTheme="majorBidi" w:eastAsia="MS Mincho" w:hAnsiTheme="majorBidi" w:cstheme="majorBidi"/>
          <w:cs/>
          <w:lang w:bidi="th-TH"/>
        </w:rPr>
        <w:t>‎:</w:t>
      </w:r>
    </w:p>
    <w:p w:rsidR="00FC1832" w:rsidRDefault="00FC1832" w:rsidP="00070047">
      <w:pPr>
        <w:spacing w:before="0"/>
        <w:jc w:val="both"/>
        <w:rPr>
          <w:rFonts w:eastAsia="Batang"/>
          <w:b/>
          <w:bCs/>
          <w:i/>
          <w:iCs/>
          <w:u w:val="single"/>
        </w:rPr>
      </w:pPr>
    </w:p>
    <w:p w:rsidR="00FC1832" w:rsidRDefault="00FC1832">
      <w:pPr>
        <w:tabs>
          <w:tab w:val="clear" w:pos="1134"/>
          <w:tab w:val="clear" w:pos="1871"/>
          <w:tab w:val="clear" w:pos="2268"/>
        </w:tabs>
        <w:overflowPunct/>
        <w:autoSpaceDE/>
        <w:autoSpaceDN/>
        <w:adjustRightInd/>
        <w:spacing w:before="0"/>
        <w:textAlignment w:val="auto"/>
        <w:rPr>
          <w:rFonts w:eastAsia="Batang"/>
          <w:b/>
          <w:bCs/>
          <w:i/>
          <w:iCs/>
          <w:u w:val="single"/>
        </w:rPr>
      </w:pPr>
      <w:r>
        <w:rPr>
          <w:rFonts w:eastAsia="Batang"/>
          <w:b/>
          <w:bCs/>
          <w:i/>
          <w:iCs/>
          <w:u w:val="single"/>
        </w:rPr>
        <w:br w:type="page"/>
      </w:r>
    </w:p>
    <w:p w:rsidR="00FC1832" w:rsidRDefault="00574DB0" w:rsidP="002E74D6">
      <w:pPr>
        <w:spacing w:before="0"/>
        <w:jc w:val="both"/>
        <w:rPr>
          <w:rFonts w:eastAsia="Batang"/>
          <w:b/>
          <w:bCs/>
          <w:i/>
          <w:iCs/>
          <w:u w:val="single"/>
        </w:rPr>
      </w:pPr>
      <w:r w:rsidRPr="00AC595E">
        <w:rPr>
          <w:rFonts w:eastAsia="Batang"/>
          <w:b/>
          <w:bCs/>
          <w:i/>
          <w:iCs/>
          <w:u w:val="single"/>
        </w:rPr>
        <w:lastRenderedPageBreak/>
        <w:t>Cita</w:t>
      </w:r>
    </w:p>
    <w:p w:rsidR="00B90691" w:rsidRDefault="00070047" w:rsidP="00CE39CA">
      <w:pPr>
        <w:rPr>
          <w:i/>
          <w:iCs/>
        </w:rPr>
      </w:pPr>
      <w:r>
        <w:rPr>
          <w:i/>
          <w:iCs/>
        </w:rPr>
        <w:t>«</w:t>
      </w:r>
      <w:r w:rsidR="00375ED2" w:rsidRPr="00AC595E">
        <w:rPr>
          <w:i/>
          <w:iCs/>
        </w:rPr>
        <w:t>El Estudio 1 (análisis estático) mostró que las estaciones terrenas VSAT del SFS superaban el criterio de protección de la estación de aeronave del SMA a distancias de hasta 575 km cuando la estación a bordo de aeronave se encuentra a 19 km de altitud.</w:t>
      </w:r>
      <w:r>
        <w:rPr>
          <w:i/>
          <w:iCs/>
        </w:rPr>
        <w:t>»</w:t>
      </w:r>
    </w:p>
    <w:p w:rsidR="00B90691" w:rsidRDefault="00574DB0" w:rsidP="00CE39CA">
      <w:pPr>
        <w:rPr>
          <w:rFonts w:eastAsia="Batang"/>
          <w:b/>
          <w:bCs/>
          <w:i/>
          <w:iCs/>
          <w:u w:val="single"/>
        </w:rPr>
      </w:pPr>
      <w:r w:rsidRPr="00AC595E">
        <w:rPr>
          <w:rFonts w:eastAsia="Batang"/>
          <w:b/>
          <w:bCs/>
          <w:i/>
          <w:iCs/>
          <w:u w:val="single"/>
        </w:rPr>
        <w:t>Fin de la cita</w:t>
      </w:r>
    </w:p>
    <w:p w:rsidR="00F7374B" w:rsidRDefault="00574DB0" w:rsidP="00CE39CA">
      <w:pPr>
        <w:rPr>
          <w:rFonts w:eastAsia="MS Mincho"/>
          <w:lang w:bidi="th-TH"/>
        </w:rPr>
      </w:pPr>
      <w:bookmarkStart w:id="6" w:name="_GoBack"/>
      <w:bookmarkEnd w:id="6"/>
      <w:r w:rsidRPr="00574DB0">
        <w:rPr>
          <w:rFonts w:eastAsia="MS Mincho"/>
          <w:lang w:bidi="th-TH"/>
        </w:rPr>
        <w:t xml:space="preserve">El mismo problema se </w:t>
      </w:r>
      <w:r w:rsidR="005237E2">
        <w:rPr>
          <w:rFonts w:eastAsia="MS Mincho"/>
          <w:lang w:bidi="th-TH"/>
        </w:rPr>
        <w:t xml:space="preserve">puede </w:t>
      </w:r>
      <w:r w:rsidRPr="00574DB0">
        <w:rPr>
          <w:rFonts w:eastAsia="MS Mincho"/>
          <w:lang w:bidi="th-TH"/>
        </w:rPr>
        <w:t>de</w:t>
      </w:r>
      <w:r>
        <w:rPr>
          <w:rFonts w:eastAsia="MS Mincho"/>
          <w:lang w:bidi="th-TH"/>
        </w:rPr>
        <w:t>du</w:t>
      </w:r>
      <w:r w:rsidRPr="00574DB0">
        <w:rPr>
          <w:rFonts w:eastAsia="MS Mincho"/>
          <w:lang w:bidi="th-TH"/>
        </w:rPr>
        <w:t>c</w:t>
      </w:r>
      <w:r w:rsidR="005237E2">
        <w:rPr>
          <w:rFonts w:eastAsia="MS Mincho"/>
          <w:lang w:bidi="th-TH"/>
        </w:rPr>
        <w:t>ir</w:t>
      </w:r>
      <w:r w:rsidRPr="00574DB0">
        <w:rPr>
          <w:rFonts w:eastAsia="MS Mincho"/>
          <w:lang w:bidi="th-TH"/>
        </w:rPr>
        <w:t xml:space="preserve"> </w:t>
      </w:r>
      <w:r w:rsidR="005237E2">
        <w:rPr>
          <w:rFonts w:eastAsia="MS Mincho"/>
          <w:lang w:bidi="th-TH"/>
        </w:rPr>
        <w:t xml:space="preserve">para el </w:t>
      </w:r>
      <w:r w:rsidRPr="00574DB0">
        <w:rPr>
          <w:rFonts w:eastAsia="MS Mincho"/>
          <w:lang w:bidi="th-TH"/>
        </w:rPr>
        <w:t>punto 1.6.2 del orden del d</w:t>
      </w:r>
      <w:r>
        <w:rPr>
          <w:rFonts w:eastAsia="MS Mincho"/>
          <w:lang w:bidi="th-TH"/>
        </w:rPr>
        <w:t>ía</w:t>
      </w:r>
      <w:r w:rsidR="00F7374B">
        <w:rPr>
          <w:rFonts w:eastAsia="MS Mincho"/>
          <w:lang w:bidi="th-TH"/>
        </w:rPr>
        <w:t xml:space="preserve">. </w:t>
      </w:r>
      <w:r w:rsidR="00F7374B" w:rsidRPr="00F7374B">
        <w:rPr>
          <w:rFonts w:eastAsia="MS Mincho"/>
          <w:lang w:bidi="th-TH"/>
        </w:rPr>
        <w:t xml:space="preserve">Como es evidente según el </w:t>
      </w:r>
      <w:r w:rsidR="005237E2">
        <w:rPr>
          <w:rFonts w:eastAsia="MS Mincho"/>
          <w:lang w:bidi="th-TH"/>
        </w:rPr>
        <w:t>e</w:t>
      </w:r>
      <w:r w:rsidR="00F7374B" w:rsidRPr="00F7374B">
        <w:rPr>
          <w:rFonts w:eastAsia="MS Mincho"/>
          <w:lang w:bidi="th-TH"/>
        </w:rPr>
        <w:t>studio mencionado, la atribuci</w:t>
      </w:r>
      <w:r w:rsidR="00F7374B">
        <w:rPr>
          <w:rFonts w:eastAsia="MS Mincho"/>
          <w:lang w:bidi="th-TH"/>
        </w:rPr>
        <w:t xml:space="preserve">ón de esta banda es difícil debido a las características particulares de las estaciones terrenas del SFS y su número. </w:t>
      </w:r>
    </w:p>
    <w:p w:rsidR="00F7374B" w:rsidRPr="00F7374B" w:rsidRDefault="00F7374B" w:rsidP="00FC1832">
      <w:pPr>
        <w:rPr>
          <w:rFonts w:eastAsia="MS Mincho"/>
          <w:lang w:bidi="th-TH"/>
        </w:rPr>
      </w:pPr>
      <w:r w:rsidRPr="00F7374B">
        <w:rPr>
          <w:rFonts w:eastAsia="MS Mincho"/>
          <w:lang w:bidi="th-TH"/>
        </w:rPr>
        <w:t xml:space="preserve">El Cuadro 1 </w:t>
      </w:r>
      <w:r w:rsidR="005237E2">
        <w:rPr>
          <w:rFonts w:eastAsia="MS Mincho"/>
          <w:lang w:bidi="th-TH"/>
        </w:rPr>
        <w:t xml:space="preserve">a continuación </w:t>
      </w:r>
      <w:r w:rsidRPr="00F7374B">
        <w:rPr>
          <w:rFonts w:eastAsia="MS Mincho"/>
          <w:lang w:bidi="th-TH"/>
        </w:rPr>
        <w:t xml:space="preserve">muestra todas las </w:t>
      </w:r>
      <w:r>
        <w:rPr>
          <w:rFonts w:eastAsia="MS Mincho"/>
          <w:lang w:bidi="th-TH"/>
        </w:rPr>
        <w:t xml:space="preserve">bandas posibles para los puntos 1.6.1 y 1.6.2 del orden del día. Como es evidente al analizar </w:t>
      </w:r>
      <w:r w:rsidR="00FC1832">
        <w:rPr>
          <w:rFonts w:eastAsia="MS Mincho"/>
          <w:lang w:bidi="th-TH"/>
        </w:rPr>
        <w:t>el cuadro</w:t>
      </w:r>
      <w:r>
        <w:rPr>
          <w:rFonts w:eastAsia="MS Mincho"/>
          <w:lang w:bidi="th-TH"/>
        </w:rPr>
        <w:t>, existen otras bandas posibles que pueden utilizarse para el objetivo de esto dos puntos del orden del día.</w:t>
      </w:r>
      <w:r w:rsidRPr="00F7374B">
        <w:rPr>
          <w:rFonts w:eastAsia="MS Mincho"/>
          <w:lang w:bidi="th-TH"/>
        </w:rPr>
        <w:t xml:space="preserve"> </w:t>
      </w:r>
    </w:p>
    <w:p w:rsidR="00B90691" w:rsidRPr="00F2005B" w:rsidRDefault="00F7374B" w:rsidP="00070047">
      <w:pPr>
        <w:pStyle w:val="TableNo"/>
        <w:rPr>
          <w:rFonts w:eastAsia="MS Mincho"/>
          <w:lang w:bidi="th-TH"/>
        </w:rPr>
      </w:pPr>
      <w:r>
        <w:rPr>
          <w:rFonts w:eastAsia="MS Mincho"/>
          <w:lang w:bidi="th-TH"/>
        </w:rPr>
        <w:t>CUADRO</w:t>
      </w:r>
      <w:r w:rsidR="00B90691" w:rsidRPr="00E47940">
        <w:rPr>
          <w:rFonts w:eastAsia="MS Mincho"/>
          <w:lang w:bidi="th-TH"/>
        </w:rPr>
        <w:t>-1</w:t>
      </w:r>
    </w:p>
    <w:tbl>
      <w:tblPr>
        <w:bidiVisual/>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191"/>
        <w:gridCol w:w="995"/>
        <w:gridCol w:w="1603"/>
        <w:gridCol w:w="590"/>
      </w:tblGrid>
      <w:tr w:rsidR="00B90691" w:rsidRPr="001F46B3" w:rsidTr="00B865D5">
        <w:trPr>
          <w:jc w:val="center"/>
        </w:trPr>
        <w:tc>
          <w:tcPr>
            <w:tcW w:w="2449" w:type="dxa"/>
            <w:vAlign w:val="center"/>
          </w:tcPr>
          <w:p w:rsidR="00B90691" w:rsidRPr="00654EDE" w:rsidRDefault="00F7374B" w:rsidP="00077CCE">
            <w:pPr>
              <w:pStyle w:val="Tablehead"/>
              <w:rPr>
                <w:rFonts w:eastAsia="MS Mincho"/>
                <w:lang w:eastAsia="zh-CN" w:bidi="th-TH"/>
              </w:rPr>
            </w:pPr>
            <w:r>
              <w:rPr>
                <w:rFonts w:eastAsia="MS Mincho"/>
                <w:lang w:eastAsia="zh-CN" w:bidi="th-TH"/>
              </w:rPr>
              <w:t xml:space="preserve">Utilización </w:t>
            </w:r>
            <w:r w:rsidR="00B90691" w:rsidRPr="00654EDE">
              <w:rPr>
                <w:rFonts w:eastAsia="MS Mincho"/>
                <w:lang w:eastAsia="zh-CN" w:bidi="th-TH"/>
              </w:rPr>
              <w:t>(</w:t>
            </w:r>
            <w:r>
              <w:rPr>
                <w:rFonts w:eastAsia="MS Mincho"/>
                <w:lang w:eastAsia="zh-CN" w:bidi="th-TH"/>
              </w:rPr>
              <w:t>Ascendente/Descendente</w:t>
            </w:r>
            <w:r w:rsidR="00B90691" w:rsidRPr="00654EDE">
              <w:rPr>
                <w:rFonts w:eastAsia="MS Mincho"/>
                <w:lang w:eastAsia="zh-CN" w:bidi="th-TH"/>
              </w:rPr>
              <w:t>)</w:t>
            </w:r>
          </w:p>
        </w:tc>
        <w:tc>
          <w:tcPr>
            <w:tcW w:w="4191" w:type="dxa"/>
            <w:vAlign w:val="center"/>
          </w:tcPr>
          <w:p w:rsidR="00B90691" w:rsidRPr="00654EDE" w:rsidRDefault="00F7374B" w:rsidP="00077CCE">
            <w:pPr>
              <w:pStyle w:val="Tablehead"/>
            </w:pPr>
            <w:r>
              <w:t>Significado de los acrónimos</w:t>
            </w:r>
          </w:p>
        </w:tc>
        <w:tc>
          <w:tcPr>
            <w:tcW w:w="995" w:type="dxa"/>
            <w:vAlign w:val="center"/>
          </w:tcPr>
          <w:p w:rsidR="00B90691" w:rsidRPr="00654EDE" w:rsidRDefault="00B90691" w:rsidP="00077CCE">
            <w:pPr>
              <w:pStyle w:val="Tablehead"/>
              <w:rPr>
                <w:rFonts w:eastAsia="MS Mincho"/>
                <w:lang w:eastAsia="zh-CN" w:bidi="th-TH"/>
              </w:rPr>
            </w:pPr>
            <w:r w:rsidRPr="00654EDE">
              <w:rPr>
                <w:rFonts w:eastAsia="MS Mincho"/>
                <w:lang w:eastAsia="zh-CN" w:bidi="th-TH"/>
              </w:rPr>
              <w:t>Servic</w:t>
            </w:r>
            <w:r w:rsidR="00F7374B">
              <w:rPr>
                <w:rFonts w:eastAsia="MS Mincho"/>
                <w:lang w:eastAsia="zh-CN" w:bidi="th-TH"/>
              </w:rPr>
              <w:t>io</w:t>
            </w:r>
            <w:r w:rsidRPr="00654EDE">
              <w:rPr>
                <w:rFonts w:eastAsia="MS Mincho"/>
                <w:lang w:eastAsia="zh-CN" w:bidi="th-TH"/>
              </w:rPr>
              <w:t>s</w:t>
            </w:r>
          </w:p>
        </w:tc>
        <w:tc>
          <w:tcPr>
            <w:tcW w:w="1603" w:type="dxa"/>
            <w:vAlign w:val="center"/>
          </w:tcPr>
          <w:p w:rsidR="00B90691" w:rsidRPr="00654EDE" w:rsidRDefault="00B90691" w:rsidP="00077CCE">
            <w:pPr>
              <w:pStyle w:val="Tablehead"/>
              <w:rPr>
                <w:rFonts w:eastAsia="MS Mincho"/>
                <w:lang w:eastAsia="zh-CN" w:bidi="th-TH"/>
              </w:rPr>
            </w:pPr>
            <w:r w:rsidRPr="00654EDE">
              <w:rPr>
                <w:rFonts w:eastAsia="MS Mincho"/>
                <w:lang w:eastAsia="zh-CN" w:bidi="th-TH"/>
              </w:rPr>
              <w:t>Subband</w:t>
            </w:r>
            <w:r w:rsidR="00F7374B">
              <w:rPr>
                <w:rFonts w:eastAsia="MS Mincho"/>
                <w:lang w:eastAsia="zh-CN" w:bidi="th-TH"/>
              </w:rPr>
              <w:t>a</w:t>
            </w:r>
            <w:r w:rsidRPr="00654EDE">
              <w:rPr>
                <w:rFonts w:eastAsia="MS Mincho"/>
                <w:lang w:eastAsia="zh-CN" w:bidi="th-TH"/>
              </w:rPr>
              <w:t xml:space="preserve"> (GHz)</w:t>
            </w:r>
          </w:p>
        </w:tc>
        <w:tc>
          <w:tcPr>
            <w:tcW w:w="590" w:type="dxa"/>
            <w:vAlign w:val="center"/>
          </w:tcPr>
          <w:p w:rsidR="00B90691" w:rsidRPr="00654EDE" w:rsidRDefault="00F7374B" w:rsidP="00077CCE">
            <w:pPr>
              <w:pStyle w:val="Tablehead"/>
              <w:rPr>
                <w:rFonts w:eastAsia="MS Mincho"/>
                <w:lang w:eastAsia="zh-CN" w:bidi="th-TH"/>
              </w:rPr>
            </w:pPr>
            <w:r>
              <w:rPr>
                <w:rFonts w:eastAsia="MS Mincho"/>
                <w:lang w:eastAsia="zh-CN" w:bidi="th-TH"/>
              </w:rPr>
              <w:t>Nº</w:t>
            </w:r>
            <w:r w:rsidR="00B90691" w:rsidRPr="00654EDE">
              <w:rPr>
                <w:rFonts w:eastAsia="MS Mincho"/>
                <w:lang w:eastAsia="zh-CN" w:bidi="th-TH"/>
              </w:rPr>
              <w:t>.</w:t>
            </w: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r w:rsidR="00B90691" w:rsidRPr="00654EDE">
              <w:rPr>
                <w:rFonts w:eastAsia="MS Mincho"/>
                <w:lang w:eastAsia="zh-CN" w:bidi="th-TH"/>
              </w:rPr>
              <w:t xml:space="preserve"> (Activ</w:t>
            </w:r>
            <w:r>
              <w:rPr>
                <w:rFonts w:eastAsia="MS Mincho"/>
                <w:lang w:eastAsia="zh-CN" w:bidi="th-TH"/>
              </w:rPr>
              <w:t>o</w:t>
            </w:r>
            <w:r w:rsidR="00B90691" w:rsidRPr="00654EDE">
              <w:rPr>
                <w:rFonts w:eastAsia="MS Mincho"/>
                <w:lang w:eastAsia="zh-CN" w:bidi="th-TH"/>
              </w:rPr>
              <w:t>)</w:t>
            </w:r>
          </w:p>
        </w:tc>
        <w:tc>
          <w:tcPr>
            <w:tcW w:w="4191" w:type="dxa"/>
            <w:vAlign w:val="center"/>
          </w:tcPr>
          <w:p w:rsidR="00B90691" w:rsidRPr="00654EDE" w:rsidRDefault="00B865D5" w:rsidP="00077CCE">
            <w:pPr>
              <w:pStyle w:val="Tabletext"/>
              <w:rPr>
                <w:rFonts w:eastAsia="MS Mincho"/>
                <w:rtl/>
                <w:lang w:eastAsia="zh-CN" w:bidi="fa-IR"/>
              </w:rPr>
            </w:pPr>
            <w:r>
              <w:rPr>
                <w:rFonts w:eastAsia="MS Mincho"/>
                <w:lang w:eastAsia="zh-CN" w:bidi="th-TH"/>
              </w:rPr>
              <w:t>S</w:t>
            </w:r>
            <w:r w:rsidR="00F7374B" w:rsidRPr="00F7374B">
              <w:rPr>
                <w:rFonts w:eastAsia="MS Mincho"/>
                <w:lang w:eastAsia="zh-CN" w:bidi="th-TH"/>
              </w:rPr>
              <w:t xml:space="preserve">ervicio de </w:t>
            </w:r>
            <w:r w:rsidRPr="00F7374B">
              <w:rPr>
                <w:rFonts w:eastAsia="MS Mincho"/>
                <w:lang w:eastAsia="zh-CN" w:bidi="th-TH"/>
              </w:rPr>
              <w:t xml:space="preserve">Exploración </w:t>
            </w:r>
            <w:r w:rsidR="00F7374B" w:rsidRPr="00F7374B">
              <w:rPr>
                <w:rFonts w:eastAsia="MS Mincho"/>
                <w:lang w:eastAsia="zh-CN" w:bidi="th-TH"/>
              </w:rPr>
              <w:t xml:space="preserve">de la Tierra por </w:t>
            </w:r>
            <w:r w:rsidRPr="00F7374B">
              <w:rPr>
                <w:rFonts w:eastAsia="MS Mincho"/>
                <w:lang w:eastAsia="zh-CN" w:bidi="th-TH"/>
              </w:rPr>
              <w:t>Satélite</w:t>
            </w:r>
          </w:p>
        </w:tc>
        <w:tc>
          <w:tcPr>
            <w:tcW w:w="995" w:type="dxa"/>
            <w:vAlign w:val="center"/>
          </w:tcPr>
          <w:p w:rsidR="00B90691" w:rsidRPr="00654EDE" w:rsidRDefault="00F7374B" w:rsidP="00077CCE">
            <w:pPr>
              <w:pStyle w:val="Tabletext"/>
              <w:rPr>
                <w:rFonts w:eastAsia="MS Mincho"/>
                <w:rtl/>
                <w:lang w:eastAsia="zh-CN" w:bidi="fa-IR"/>
              </w:rPr>
            </w:pPr>
            <w:r>
              <w:rPr>
                <w:rFonts w:eastAsia="MS Mincho"/>
                <w:lang w:eastAsia="zh-CN" w:bidi="th-TH"/>
              </w:rPr>
              <w:t>SETS</w:t>
            </w:r>
          </w:p>
        </w:tc>
        <w:tc>
          <w:tcPr>
            <w:tcW w:w="1603" w:type="dxa"/>
            <w:vMerge w:val="restart"/>
            <w:vAlign w:val="center"/>
          </w:tcPr>
          <w:p w:rsidR="00B90691" w:rsidRPr="00654EDE" w:rsidRDefault="00B90691" w:rsidP="00077CCE">
            <w:pPr>
              <w:pStyle w:val="Tabletext"/>
              <w:rPr>
                <w:rFonts w:eastAsia="MS Mincho"/>
                <w:b/>
                <w:bCs/>
                <w:rtl/>
                <w:lang w:eastAsia="zh-CN" w:bidi="fa-IR"/>
              </w:rPr>
            </w:pPr>
            <w:r w:rsidRPr="00654EDE">
              <w:rPr>
                <w:rFonts w:eastAsia="MS Mincho"/>
                <w:b/>
                <w:bCs/>
                <w:lang w:eastAsia="zh-CN" w:bidi="th-TH"/>
              </w:rPr>
              <w:t>13</w:t>
            </w:r>
            <w:r w:rsidR="00022A65">
              <w:rPr>
                <w:rFonts w:eastAsia="MS Mincho"/>
                <w:b/>
                <w:bCs/>
                <w:lang w:eastAsia="zh-CN" w:bidi="th-TH"/>
              </w:rPr>
              <w:t>,</w:t>
            </w:r>
            <w:r w:rsidRPr="00654EDE">
              <w:rPr>
                <w:rFonts w:eastAsia="MS Mincho"/>
                <w:b/>
                <w:bCs/>
                <w:lang w:eastAsia="zh-CN" w:bidi="th-TH"/>
              </w:rPr>
              <w:t>25-13</w:t>
            </w:r>
            <w:r w:rsidR="00022A65">
              <w:rPr>
                <w:rFonts w:eastAsia="MS Mincho"/>
                <w:b/>
                <w:bCs/>
                <w:lang w:eastAsia="zh-CN" w:bidi="th-TH"/>
              </w:rPr>
              <w:t>,</w:t>
            </w:r>
            <w:r w:rsidRPr="00654EDE">
              <w:rPr>
                <w:rFonts w:eastAsia="MS Mincho"/>
                <w:b/>
                <w:bCs/>
                <w:lang w:eastAsia="zh-CN" w:bidi="th-TH"/>
              </w:rPr>
              <w:t>4</w:t>
            </w:r>
          </w:p>
        </w:tc>
        <w:tc>
          <w:tcPr>
            <w:tcW w:w="590" w:type="dxa"/>
            <w:vMerge w:val="restart"/>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1</w:t>
            </w: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90691" w:rsidRPr="00654EDE" w:rsidRDefault="00B865D5" w:rsidP="00077CCE">
            <w:pPr>
              <w:pStyle w:val="Tabletext"/>
              <w:rPr>
                <w:rFonts w:eastAsia="MS Mincho"/>
                <w:rtl/>
                <w:lang w:eastAsia="zh-CN" w:bidi="fa-IR"/>
              </w:rPr>
            </w:pPr>
            <w:r w:rsidRPr="00F7374B">
              <w:rPr>
                <w:rFonts w:eastAsia="MS Mincho"/>
                <w:lang w:eastAsia="zh-CN" w:bidi="th-TH"/>
              </w:rPr>
              <w:t xml:space="preserve">Servicio </w:t>
            </w:r>
            <w:r w:rsidR="00F7374B" w:rsidRPr="00F7374B">
              <w:rPr>
                <w:rFonts w:eastAsia="MS Mincho"/>
                <w:lang w:eastAsia="zh-CN" w:bidi="th-TH"/>
              </w:rPr>
              <w:t xml:space="preserve">de </w:t>
            </w:r>
            <w:r w:rsidRPr="00F7374B">
              <w:rPr>
                <w:rFonts w:eastAsia="MS Mincho"/>
                <w:lang w:eastAsia="zh-CN" w:bidi="th-TH"/>
              </w:rPr>
              <w:t>Radionavegación Aeronáutica</w:t>
            </w:r>
          </w:p>
        </w:tc>
        <w:tc>
          <w:tcPr>
            <w:tcW w:w="995" w:type="dxa"/>
            <w:vAlign w:val="center"/>
          </w:tcPr>
          <w:p w:rsidR="00B90691" w:rsidRPr="00654EDE" w:rsidRDefault="00F7374B" w:rsidP="00077CCE">
            <w:pPr>
              <w:pStyle w:val="Tabletext"/>
              <w:rPr>
                <w:rFonts w:eastAsia="MS Mincho"/>
                <w:rtl/>
                <w:lang w:eastAsia="zh-CN" w:bidi="fa-IR"/>
              </w:rPr>
            </w:pPr>
            <w:r>
              <w:rPr>
                <w:rFonts w:eastAsia="MS Mincho"/>
                <w:lang w:eastAsia="zh-CN" w:bidi="th-TH"/>
              </w:rPr>
              <w:t>SRNA</w:t>
            </w:r>
          </w:p>
        </w:tc>
        <w:tc>
          <w:tcPr>
            <w:tcW w:w="1603" w:type="dxa"/>
            <w:vMerge/>
            <w:vAlign w:val="center"/>
          </w:tcPr>
          <w:p w:rsidR="00B90691" w:rsidRPr="00654EDE" w:rsidRDefault="00B90691" w:rsidP="00077CCE">
            <w:pPr>
              <w:pStyle w:val="Tabletext"/>
              <w:rPr>
                <w:rFonts w:eastAsia="MS Mincho"/>
                <w:b/>
                <w:bCs/>
                <w:rtl/>
                <w:lang w:eastAsia="zh-CN" w:bidi="fa-IR"/>
              </w:rPr>
            </w:pPr>
          </w:p>
        </w:tc>
        <w:tc>
          <w:tcPr>
            <w:tcW w:w="590" w:type="dxa"/>
            <w:vMerge/>
            <w:vAlign w:val="center"/>
          </w:tcPr>
          <w:p w:rsidR="00B90691" w:rsidRPr="00654EDE" w:rsidRDefault="00B90691" w:rsidP="00077CCE">
            <w:pPr>
              <w:pStyle w:val="Tabletext"/>
              <w:rPr>
                <w:rFonts w:eastAsia="MS Mincho"/>
                <w:b/>
                <w:bCs/>
                <w:rtl/>
                <w:lang w:eastAsia="zh-CN" w:bidi="fa-IR"/>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r w:rsidR="00B90691" w:rsidRPr="00654EDE">
              <w:rPr>
                <w:rFonts w:eastAsia="MS Mincho"/>
                <w:lang w:eastAsia="zh-CN" w:bidi="th-TH"/>
              </w:rPr>
              <w:t xml:space="preserve"> (Activ</w:t>
            </w:r>
            <w:r>
              <w:rPr>
                <w:rFonts w:eastAsia="MS Mincho"/>
                <w:lang w:eastAsia="zh-CN" w:bidi="th-TH"/>
              </w:rPr>
              <w:t>o</w:t>
            </w:r>
            <w:r w:rsidR="00B90691" w:rsidRPr="00654EDE">
              <w:rPr>
                <w:rFonts w:eastAsia="MS Mincho"/>
                <w:lang w:eastAsia="zh-CN" w:bidi="th-TH"/>
              </w:rPr>
              <w:t>)</w:t>
            </w:r>
          </w:p>
        </w:tc>
        <w:tc>
          <w:tcPr>
            <w:tcW w:w="4191" w:type="dxa"/>
            <w:vAlign w:val="center"/>
          </w:tcPr>
          <w:p w:rsidR="00B90691" w:rsidRPr="00654EDE" w:rsidRDefault="00B865D5" w:rsidP="00077CCE">
            <w:pPr>
              <w:pStyle w:val="Tabletext"/>
              <w:rPr>
                <w:rFonts w:eastAsia="MS Mincho"/>
                <w:rtl/>
                <w:lang w:eastAsia="zh-CN" w:bidi="fa-IR"/>
              </w:rPr>
            </w:pPr>
            <w:r>
              <w:rPr>
                <w:rFonts w:eastAsia="MS Mincho"/>
                <w:lang w:eastAsia="zh-CN" w:bidi="th-TH"/>
              </w:rPr>
              <w:t>Servicio de Investigación Espacial</w:t>
            </w:r>
          </w:p>
        </w:tc>
        <w:tc>
          <w:tcPr>
            <w:tcW w:w="995" w:type="dxa"/>
            <w:vAlign w:val="center"/>
          </w:tcPr>
          <w:p w:rsidR="00B90691" w:rsidRPr="00654EDE" w:rsidRDefault="00B865D5" w:rsidP="00077CCE">
            <w:pPr>
              <w:pStyle w:val="Tabletext"/>
              <w:rPr>
                <w:rFonts w:eastAsia="MS Mincho"/>
                <w:lang w:eastAsia="zh-CN" w:bidi="th-TH"/>
              </w:rPr>
            </w:pPr>
            <w:r>
              <w:rPr>
                <w:rFonts w:eastAsia="MS Mincho"/>
                <w:lang w:eastAsia="zh-CN" w:bidi="th-TH"/>
              </w:rPr>
              <w:t>SIE</w:t>
            </w:r>
          </w:p>
        </w:tc>
        <w:tc>
          <w:tcPr>
            <w:tcW w:w="1603" w:type="dxa"/>
            <w:vMerge/>
            <w:vAlign w:val="center"/>
          </w:tcPr>
          <w:p w:rsidR="00B90691" w:rsidRPr="00654EDE" w:rsidRDefault="00B90691" w:rsidP="00077CCE">
            <w:pPr>
              <w:pStyle w:val="Tabletext"/>
              <w:rPr>
                <w:rFonts w:eastAsia="MS Mincho"/>
                <w:b/>
                <w:bCs/>
                <w:rtl/>
                <w:lang w:eastAsia="zh-CN" w:bidi="fa-IR"/>
              </w:rPr>
            </w:pPr>
          </w:p>
        </w:tc>
        <w:tc>
          <w:tcPr>
            <w:tcW w:w="590" w:type="dxa"/>
            <w:vMerge/>
            <w:vAlign w:val="center"/>
          </w:tcPr>
          <w:p w:rsidR="00B90691" w:rsidRPr="00654EDE" w:rsidRDefault="00B90691" w:rsidP="00077CCE">
            <w:pPr>
              <w:pStyle w:val="Tabletext"/>
              <w:rPr>
                <w:rFonts w:eastAsia="MS Mincho"/>
                <w:b/>
                <w:bCs/>
                <w:rtl/>
                <w:lang w:eastAsia="zh-CN" w:bidi="fa-IR"/>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w:t>
            </w:r>
            <w:r w:rsidR="00B90691" w:rsidRPr="00654EDE">
              <w:rPr>
                <w:rFonts w:eastAsia="MS Mincho"/>
                <w:lang w:eastAsia="zh-CN" w:bidi="th-TH"/>
              </w:rPr>
              <w:t>/D</w:t>
            </w:r>
          </w:p>
        </w:tc>
        <w:tc>
          <w:tcPr>
            <w:tcW w:w="4191" w:type="dxa"/>
            <w:vAlign w:val="center"/>
          </w:tcPr>
          <w:p w:rsidR="00B90691" w:rsidRPr="00654EDE" w:rsidRDefault="00B865D5" w:rsidP="00077CCE">
            <w:pPr>
              <w:pStyle w:val="Tabletext"/>
              <w:rPr>
                <w:rFonts w:eastAsia="MS Mincho"/>
                <w:rtl/>
                <w:lang w:eastAsia="zh-CN" w:bidi="fa-IR"/>
              </w:rPr>
            </w:pPr>
            <w:r>
              <w:rPr>
                <w:rFonts w:eastAsia="MS Mincho"/>
                <w:lang w:eastAsia="zh-CN" w:bidi="th-TH"/>
              </w:rPr>
              <w:t>Servicio Fijo</w:t>
            </w:r>
          </w:p>
        </w:tc>
        <w:tc>
          <w:tcPr>
            <w:tcW w:w="995" w:type="dxa"/>
            <w:vAlign w:val="center"/>
          </w:tcPr>
          <w:p w:rsidR="00B90691" w:rsidRPr="00654EDE" w:rsidRDefault="00B90691" w:rsidP="00077CCE">
            <w:pPr>
              <w:pStyle w:val="Tabletext"/>
              <w:rPr>
                <w:rFonts w:eastAsia="MS Mincho"/>
                <w:rtl/>
                <w:lang w:eastAsia="zh-CN" w:bidi="fa-IR"/>
              </w:rPr>
            </w:pPr>
            <w:r w:rsidRPr="00654EDE">
              <w:rPr>
                <w:rFonts w:eastAsia="MS Mincho"/>
                <w:lang w:eastAsia="zh-CN" w:bidi="th-TH"/>
              </w:rPr>
              <w:t>FS</w:t>
            </w:r>
          </w:p>
        </w:tc>
        <w:tc>
          <w:tcPr>
            <w:tcW w:w="1603" w:type="dxa"/>
            <w:vMerge/>
            <w:vAlign w:val="center"/>
          </w:tcPr>
          <w:p w:rsidR="00B90691" w:rsidRPr="00654EDE" w:rsidRDefault="00B90691" w:rsidP="00077CCE">
            <w:pPr>
              <w:pStyle w:val="Tabletext"/>
              <w:rPr>
                <w:rFonts w:eastAsia="MS Mincho"/>
                <w:b/>
                <w:bCs/>
                <w:rtl/>
                <w:lang w:eastAsia="zh-CN" w:bidi="fa-IR"/>
              </w:rPr>
            </w:pPr>
          </w:p>
        </w:tc>
        <w:tc>
          <w:tcPr>
            <w:tcW w:w="590" w:type="dxa"/>
            <w:vMerge/>
            <w:vAlign w:val="center"/>
          </w:tcPr>
          <w:p w:rsidR="00B90691" w:rsidRPr="00654EDE" w:rsidRDefault="00B90691" w:rsidP="00077CCE">
            <w:pPr>
              <w:pStyle w:val="Tabletext"/>
              <w:rPr>
                <w:rFonts w:eastAsia="MS Mincho"/>
                <w:b/>
                <w:bCs/>
                <w:rtl/>
                <w:lang w:eastAsia="zh-CN" w:bidi="fa-IR"/>
              </w:rPr>
            </w:pPr>
          </w:p>
        </w:tc>
      </w:tr>
      <w:tr w:rsidR="00B865D5" w:rsidRPr="001F46B3" w:rsidTr="00B865D5">
        <w:trPr>
          <w:jc w:val="center"/>
        </w:trPr>
        <w:tc>
          <w:tcPr>
            <w:tcW w:w="2449" w:type="dxa"/>
            <w:vAlign w:val="center"/>
          </w:tcPr>
          <w:p w:rsidR="00B865D5" w:rsidRPr="00654EDE" w:rsidRDefault="00B865D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865D5" w:rsidRPr="00654EDE" w:rsidRDefault="00B865D5" w:rsidP="00077CCE">
            <w:pPr>
              <w:pStyle w:val="Tabletext"/>
              <w:rPr>
                <w:rFonts w:eastAsia="MS Mincho"/>
                <w:rtl/>
                <w:lang w:eastAsia="zh-CN" w:bidi="fa-IR"/>
              </w:rPr>
            </w:pPr>
            <w:r>
              <w:rPr>
                <w:rFonts w:eastAsia="MS Mincho"/>
                <w:lang w:eastAsia="zh-CN" w:bidi="th-TH"/>
              </w:rPr>
              <w:t>S</w:t>
            </w:r>
            <w:r w:rsidRPr="00F7374B">
              <w:rPr>
                <w:rFonts w:eastAsia="MS Mincho"/>
                <w:lang w:eastAsia="zh-CN" w:bidi="th-TH"/>
              </w:rPr>
              <w:t>ervicio de Exploración de la Tierra por Satélite</w:t>
            </w:r>
          </w:p>
        </w:tc>
        <w:tc>
          <w:tcPr>
            <w:tcW w:w="995" w:type="dxa"/>
            <w:vAlign w:val="center"/>
          </w:tcPr>
          <w:p w:rsidR="00B865D5" w:rsidRPr="00654EDE" w:rsidRDefault="00B865D5" w:rsidP="00077CCE">
            <w:pPr>
              <w:pStyle w:val="Tabletext"/>
              <w:rPr>
                <w:rFonts w:eastAsia="MS Mincho"/>
                <w:rtl/>
                <w:lang w:eastAsia="zh-CN" w:bidi="fa-IR"/>
              </w:rPr>
            </w:pPr>
            <w:r>
              <w:rPr>
                <w:rFonts w:eastAsia="MS Mincho"/>
                <w:lang w:eastAsia="zh-CN" w:bidi="th-TH"/>
              </w:rPr>
              <w:t>SETS</w:t>
            </w:r>
          </w:p>
        </w:tc>
        <w:tc>
          <w:tcPr>
            <w:tcW w:w="1603" w:type="dxa"/>
            <w:vMerge w:val="restart"/>
            <w:vAlign w:val="center"/>
          </w:tcPr>
          <w:p w:rsidR="00B865D5" w:rsidRPr="00654EDE" w:rsidRDefault="00B865D5" w:rsidP="00077CCE">
            <w:pPr>
              <w:pStyle w:val="Tabletext"/>
              <w:rPr>
                <w:rFonts w:eastAsia="MS Mincho"/>
                <w:b/>
                <w:bCs/>
                <w:rtl/>
                <w:lang w:eastAsia="zh-CN" w:bidi="fa-IR"/>
              </w:rPr>
            </w:pPr>
            <w:r w:rsidRPr="00654EDE">
              <w:rPr>
                <w:rFonts w:eastAsia="MS Mincho"/>
                <w:b/>
                <w:bCs/>
                <w:lang w:eastAsia="zh-CN" w:bidi="th-TH"/>
              </w:rPr>
              <w:t>13</w:t>
            </w:r>
            <w:r w:rsidR="00022A65">
              <w:rPr>
                <w:rFonts w:eastAsia="MS Mincho"/>
                <w:b/>
                <w:bCs/>
                <w:lang w:eastAsia="zh-CN" w:bidi="th-TH"/>
              </w:rPr>
              <w:t>,</w:t>
            </w:r>
            <w:r w:rsidRPr="00654EDE">
              <w:rPr>
                <w:rFonts w:eastAsia="MS Mincho"/>
                <w:b/>
                <w:bCs/>
                <w:lang w:eastAsia="zh-CN" w:bidi="th-TH"/>
              </w:rPr>
              <w:t>4-13</w:t>
            </w:r>
            <w:r w:rsidR="00022A65">
              <w:rPr>
                <w:rFonts w:eastAsia="MS Mincho"/>
                <w:b/>
                <w:bCs/>
                <w:lang w:eastAsia="zh-CN" w:bidi="th-TH"/>
              </w:rPr>
              <w:t>,</w:t>
            </w:r>
            <w:r w:rsidRPr="00654EDE">
              <w:rPr>
                <w:rFonts w:eastAsia="MS Mincho"/>
                <w:b/>
                <w:bCs/>
                <w:lang w:eastAsia="zh-CN" w:bidi="th-TH"/>
              </w:rPr>
              <w:t>75</w:t>
            </w:r>
          </w:p>
        </w:tc>
        <w:tc>
          <w:tcPr>
            <w:tcW w:w="590" w:type="dxa"/>
            <w:vMerge w:val="restart"/>
            <w:vAlign w:val="center"/>
          </w:tcPr>
          <w:p w:rsidR="00B865D5" w:rsidRPr="00654EDE" w:rsidRDefault="00B865D5" w:rsidP="00077CCE">
            <w:pPr>
              <w:pStyle w:val="Tabletext"/>
              <w:rPr>
                <w:rFonts w:eastAsia="MS Mincho"/>
                <w:b/>
                <w:bCs/>
                <w:lang w:eastAsia="zh-CN" w:bidi="th-TH"/>
              </w:rPr>
            </w:pPr>
            <w:r w:rsidRPr="00654EDE">
              <w:rPr>
                <w:rFonts w:eastAsia="MS Mincho"/>
                <w:b/>
                <w:bCs/>
                <w:lang w:eastAsia="zh-CN" w:bidi="th-TH"/>
              </w:rPr>
              <w:t>2</w:t>
            </w:r>
          </w:p>
        </w:tc>
      </w:tr>
      <w:tr w:rsidR="00B865D5" w:rsidRPr="001F46B3" w:rsidTr="00B865D5">
        <w:trPr>
          <w:jc w:val="center"/>
        </w:trPr>
        <w:tc>
          <w:tcPr>
            <w:tcW w:w="2449" w:type="dxa"/>
            <w:vAlign w:val="center"/>
          </w:tcPr>
          <w:p w:rsidR="00B865D5" w:rsidRPr="00654EDE" w:rsidRDefault="00B865D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865D5" w:rsidRPr="00654EDE" w:rsidRDefault="00B865D5" w:rsidP="00077CCE">
            <w:pPr>
              <w:pStyle w:val="Tabletext"/>
              <w:rPr>
                <w:rFonts w:eastAsia="MS Mincho"/>
                <w:rtl/>
                <w:lang w:eastAsia="zh-CN" w:bidi="fa-IR"/>
              </w:rPr>
            </w:pPr>
            <w:r>
              <w:rPr>
                <w:rFonts w:eastAsia="MS Mincho"/>
                <w:lang w:eastAsia="zh-CN" w:bidi="th-TH"/>
              </w:rPr>
              <w:t>Servicio de Investigación Espacial</w:t>
            </w:r>
          </w:p>
        </w:tc>
        <w:tc>
          <w:tcPr>
            <w:tcW w:w="995" w:type="dxa"/>
            <w:vAlign w:val="center"/>
          </w:tcPr>
          <w:p w:rsidR="00B865D5" w:rsidRPr="00654EDE" w:rsidRDefault="00B865D5" w:rsidP="00077CCE">
            <w:pPr>
              <w:pStyle w:val="Tabletext"/>
              <w:rPr>
                <w:rFonts w:eastAsia="MS Mincho"/>
                <w:lang w:eastAsia="zh-CN" w:bidi="th-TH"/>
              </w:rPr>
            </w:pPr>
            <w:r>
              <w:rPr>
                <w:rFonts w:eastAsia="MS Mincho"/>
                <w:lang w:eastAsia="zh-CN" w:bidi="th-TH"/>
              </w:rPr>
              <w:t>SIE</w:t>
            </w:r>
          </w:p>
        </w:tc>
        <w:tc>
          <w:tcPr>
            <w:tcW w:w="1603" w:type="dxa"/>
            <w:vMerge/>
            <w:vAlign w:val="center"/>
          </w:tcPr>
          <w:p w:rsidR="00B865D5" w:rsidRPr="00654EDE" w:rsidRDefault="00B865D5" w:rsidP="00077CCE">
            <w:pPr>
              <w:pStyle w:val="Tabletext"/>
              <w:rPr>
                <w:rFonts w:eastAsia="MS Mincho"/>
                <w:b/>
                <w:bCs/>
                <w:lang w:eastAsia="zh-CN" w:bidi="th-TH"/>
              </w:rPr>
            </w:pPr>
          </w:p>
        </w:tc>
        <w:tc>
          <w:tcPr>
            <w:tcW w:w="590" w:type="dxa"/>
            <w:vMerge/>
            <w:vAlign w:val="center"/>
          </w:tcPr>
          <w:p w:rsidR="00B865D5" w:rsidRPr="00654EDE" w:rsidRDefault="00B865D5"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90691" w:rsidRPr="00654EDE" w:rsidRDefault="00B865D5" w:rsidP="00077CCE">
            <w:pPr>
              <w:pStyle w:val="Tabletext"/>
              <w:rPr>
                <w:rFonts w:eastAsia="MS Mincho"/>
                <w:lang w:eastAsia="zh-CN" w:bidi="th-TH"/>
              </w:rPr>
            </w:pPr>
            <w:r w:rsidRPr="00B865D5">
              <w:rPr>
                <w:rFonts w:eastAsia="MS Mincho"/>
                <w:lang w:eastAsia="zh-CN" w:bidi="th-TH"/>
              </w:rPr>
              <w:t>Servicio de Radiolocalización</w:t>
            </w:r>
          </w:p>
        </w:tc>
        <w:tc>
          <w:tcPr>
            <w:tcW w:w="995" w:type="dxa"/>
            <w:vAlign w:val="center"/>
          </w:tcPr>
          <w:p w:rsidR="00B90691" w:rsidRPr="00654EDE" w:rsidRDefault="00B865D5" w:rsidP="00077CCE">
            <w:pPr>
              <w:pStyle w:val="Tabletext"/>
              <w:rPr>
                <w:rFonts w:eastAsia="MS Mincho"/>
                <w:lang w:eastAsia="zh-CN" w:bidi="th-TH"/>
              </w:rPr>
            </w:pPr>
            <w:r>
              <w:rPr>
                <w:rFonts w:eastAsia="MS Mincho"/>
                <w:lang w:eastAsia="zh-CN" w:bidi="th-TH"/>
              </w:rPr>
              <w:t>SRL</w:t>
            </w:r>
          </w:p>
        </w:tc>
        <w:tc>
          <w:tcPr>
            <w:tcW w:w="1603" w:type="dxa"/>
            <w:vMerge/>
            <w:vAlign w:val="center"/>
          </w:tcPr>
          <w:p w:rsidR="00B90691" w:rsidRPr="00654EDE" w:rsidRDefault="00B90691" w:rsidP="00077CCE">
            <w:pPr>
              <w:pStyle w:val="Tabletext"/>
              <w:rPr>
                <w:rFonts w:eastAsia="MS Mincho"/>
                <w:b/>
                <w:bCs/>
                <w:lang w:eastAsia="zh-CN" w:bidi="th-TH"/>
              </w:rPr>
            </w:pPr>
          </w:p>
        </w:tc>
        <w:tc>
          <w:tcPr>
            <w:tcW w:w="590" w:type="dxa"/>
            <w:vMerge/>
            <w:vAlign w:val="center"/>
          </w:tcPr>
          <w:p w:rsidR="00B90691" w:rsidRPr="00654EDE" w:rsidRDefault="00B90691"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90691" w:rsidRPr="00654EDE" w:rsidRDefault="00B865D5" w:rsidP="00077CCE">
            <w:pPr>
              <w:pStyle w:val="Tabletext"/>
              <w:rPr>
                <w:rFonts w:eastAsia="MS Mincho"/>
                <w:lang w:eastAsia="zh-CN" w:bidi="th-TH"/>
              </w:rPr>
            </w:pPr>
            <w:r>
              <w:rPr>
                <w:rFonts w:eastAsia="MS Mincho"/>
                <w:lang w:eastAsia="zh-CN" w:bidi="th-TH"/>
              </w:rPr>
              <w:t>Servicio de Radionavegación</w:t>
            </w:r>
          </w:p>
        </w:tc>
        <w:tc>
          <w:tcPr>
            <w:tcW w:w="995" w:type="dxa"/>
            <w:vAlign w:val="center"/>
          </w:tcPr>
          <w:p w:rsidR="00B90691" w:rsidRPr="00654EDE" w:rsidRDefault="00B865D5" w:rsidP="00077CCE">
            <w:pPr>
              <w:pStyle w:val="Tabletext"/>
              <w:rPr>
                <w:rFonts w:eastAsia="MS Mincho"/>
                <w:lang w:eastAsia="zh-CN" w:bidi="th-TH"/>
              </w:rPr>
            </w:pPr>
            <w:r>
              <w:rPr>
                <w:rFonts w:eastAsia="MS Mincho"/>
                <w:lang w:eastAsia="zh-CN" w:bidi="th-TH"/>
              </w:rPr>
              <w:t>SRN</w:t>
            </w:r>
          </w:p>
        </w:tc>
        <w:tc>
          <w:tcPr>
            <w:tcW w:w="1603" w:type="dxa"/>
            <w:vMerge/>
            <w:vAlign w:val="center"/>
          </w:tcPr>
          <w:p w:rsidR="00B90691" w:rsidRPr="00654EDE" w:rsidRDefault="00B90691" w:rsidP="00077CCE">
            <w:pPr>
              <w:pStyle w:val="Tabletext"/>
              <w:rPr>
                <w:rFonts w:eastAsia="MS Mincho"/>
                <w:b/>
                <w:bCs/>
                <w:lang w:eastAsia="zh-CN" w:bidi="th-TH"/>
              </w:rPr>
            </w:pPr>
          </w:p>
        </w:tc>
        <w:tc>
          <w:tcPr>
            <w:tcW w:w="590" w:type="dxa"/>
            <w:vMerge/>
            <w:vAlign w:val="center"/>
          </w:tcPr>
          <w:p w:rsidR="00B90691" w:rsidRPr="00654EDE" w:rsidRDefault="00B90691" w:rsidP="00077CCE">
            <w:pPr>
              <w:pStyle w:val="Tabletext"/>
              <w:rPr>
                <w:rFonts w:eastAsia="MS Mincho"/>
                <w:b/>
                <w:bCs/>
                <w:lang w:eastAsia="zh-CN" w:bidi="th-TH"/>
              </w:rPr>
            </w:pPr>
          </w:p>
        </w:tc>
      </w:tr>
      <w:tr w:rsidR="00B865D5" w:rsidRPr="001F46B3" w:rsidTr="00B865D5">
        <w:trPr>
          <w:jc w:val="center"/>
        </w:trPr>
        <w:tc>
          <w:tcPr>
            <w:tcW w:w="2449" w:type="dxa"/>
            <w:vAlign w:val="center"/>
          </w:tcPr>
          <w:p w:rsidR="00B865D5" w:rsidRPr="00654EDE" w:rsidRDefault="00B865D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865D5" w:rsidRPr="00654EDE" w:rsidRDefault="00B865D5" w:rsidP="00077CCE">
            <w:pPr>
              <w:pStyle w:val="Tabletext"/>
              <w:rPr>
                <w:rFonts w:eastAsia="MS Mincho"/>
                <w:rtl/>
                <w:lang w:eastAsia="zh-CN" w:bidi="fa-IR"/>
              </w:rPr>
            </w:pPr>
            <w:r>
              <w:rPr>
                <w:rFonts w:eastAsia="MS Mincho"/>
                <w:lang w:eastAsia="zh-CN" w:bidi="th-TH"/>
              </w:rPr>
              <w:t>Servicio Fijo</w:t>
            </w:r>
          </w:p>
        </w:tc>
        <w:tc>
          <w:tcPr>
            <w:tcW w:w="995" w:type="dxa"/>
            <w:vAlign w:val="center"/>
          </w:tcPr>
          <w:p w:rsidR="00B865D5" w:rsidRPr="00654EDE" w:rsidRDefault="00022A65" w:rsidP="00077CCE">
            <w:pPr>
              <w:pStyle w:val="Tabletext"/>
              <w:rPr>
                <w:rFonts w:eastAsia="MS Mincho"/>
                <w:rtl/>
                <w:lang w:eastAsia="zh-CN" w:bidi="fa-IR"/>
              </w:rPr>
            </w:pPr>
            <w:r>
              <w:rPr>
                <w:rFonts w:eastAsia="MS Mincho"/>
                <w:lang w:eastAsia="zh-CN" w:bidi="th-TH"/>
              </w:rPr>
              <w:t>SF</w:t>
            </w:r>
          </w:p>
        </w:tc>
        <w:tc>
          <w:tcPr>
            <w:tcW w:w="1603" w:type="dxa"/>
            <w:vMerge/>
            <w:vAlign w:val="center"/>
          </w:tcPr>
          <w:p w:rsidR="00B865D5" w:rsidRPr="00654EDE" w:rsidRDefault="00B865D5" w:rsidP="00077CCE">
            <w:pPr>
              <w:pStyle w:val="Tabletext"/>
              <w:rPr>
                <w:rFonts w:eastAsia="MS Mincho"/>
                <w:b/>
                <w:bCs/>
                <w:lang w:eastAsia="zh-CN" w:bidi="th-TH"/>
              </w:rPr>
            </w:pPr>
          </w:p>
        </w:tc>
        <w:tc>
          <w:tcPr>
            <w:tcW w:w="590" w:type="dxa"/>
            <w:vMerge/>
            <w:vAlign w:val="center"/>
          </w:tcPr>
          <w:p w:rsidR="00B865D5" w:rsidRPr="00654EDE" w:rsidRDefault="00B865D5"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90691" w:rsidRPr="00654EDE" w:rsidRDefault="00B865D5" w:rsidP="00077CCE">
            <w:pPr>
              <w:pStyle w:val="Tabletext"/>
              <w:rPr>
                <w:rFonts w:eastAsia="MS Mincho"/>
                <w:lang w:eastAsia="zh-CN" w:bidi="th-TH"/>
              </w:rPr>
            </w:pPr>
            <w:r>
              <w:rPr>
                <w:rFonts w:eastAsia="MS Mincho"/>
                <w:lang w:eastAsia="zh-CN" w:bidi="th-TH"/>
              </w:rPr>
              <w:t>Servicio Móvil</w:t>
            </w:r>
          </w:p>
        </w:tc>
        <w:tc>
          <w:tcPr>
            <w:tcW w:w="995" w:type="dxa"/>
            <w:vAlign w:val="center"/>
          </w:tcPr>
          <w:p w:rsidR="00B90691" w:rsidRPr="00654EDE" w:rsidRDefault="00B865D5" w:rsidP="00077CCE">
            <w:pPr>
              <w:pStyle w:val="Tabletext"/>
              <w:rPr>
                <w:rFonts w:eastAsia="MS Mincho"/>
                <w:lang w:eastAsia="zh-CN" w:bidi="th-TH"/>
              </w:rPr>
            </w:pPr>
            <w:r>
              <w:rPr>
                <w:rFonts w:eastAsia="MS Mincho"/>
                <w:lang w:eastAsia="zh-CN" w:bidi="th-TH"/>
              </w:rPr>
              <w:t>SM</w:t>
            </w:r>
          </w:p>
        </w:tc>
        <w:tc>
          <w:tcPr>
            <w:tcW w:w="1603" w:type="dxa"/>
            <w:vMerge/>
            <w:vAlign w:val="center"/>
          </w:tcPr>
          <w:p w:rsidR="00B90691" w:rsidRPr="00654EDE" w:rsidRDefault="00B90691" w:rsidP="00077CCE">
            <w:pPr>
              <w:pStyle w:val="Tabletext"/>
              <w:rPr>
                <w:rFonts w:eastAsia="MS Mincho"/>
                <w:b/>
                <w:bCs/>
                <w:lang w:eastAsia="zh-CN" w:bidi="th-TH"/>
              </w:rPr>
            </w:pPr>
          </w:p>
        </w:tc>
        <w:tc>
          <w:tcPr>
            <w:tcW w:w="590" w:type="dxa"/>
            <w:vMerge/>
            <w:vAlign w:val="center"/>
          </w:tcPr>
          <w:p w:rsidR="00B90691" w:rsidRPr="00654EDE" w:rsidRDefault="00B90691"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90691" w:rsidRPr="00B865D5" w:rsidRDefault="00B865D5" w:rsidP="00077CCE">
            <w:pPr>
              <w:pStyle w:val="Tabletext"/>
              <w:rPr>
                <w:rFonts w:eastAsia="MS Mincho"/>
                <w:lang w:eastAsia="zh-CN" w:bidi="th-TH"/>
              </w:rPr>
            </w:pPr>
            <w:r>
              <w:rPr>
                <w:rFonts w:eastAsia="MS Mincho"/>
                <w:lang w:eastAsia="zh-CN" w:bidi="th-TH"/>
              </w:rPr>
              <w:t>S</w:t>
            </w:r>
            <w:r w:rsidRPr="00B865D5">
              <w:rPr>
                <w:rFonts w:eastAsia="MS Mincho"/>
                <w:lang w:eastAsia="zh-CN" w:bidi="th-TH"/>
              </w:rPr>
              <w:t>ervicio de Frecuencias Patrón y Señales Horarias por Satélite</w:t>
            </w:r>
          </w:p>
        </w:tc>
        <w:tc>
          <w:tcPr>
            <w:tcW w:w="995" w:type="dxa"/>
            <w:vAlign w:val="center"/>
          </w:tcPr>
          <w:p w:rsidR="00B90691" w:rsidRPr="00654EDE" w:rsidRDefault="00B865D5" w:rsidP="00077CCE">
            <w:pPr>
              <w:pStyle w:val="Tabletext"/>
              <w:rPr>
                <w:rFonts w:eastAsia="MS Mincho"/>
                <w:lang w:eastAsia="zh-CN" w:bidi="th-TH"/>
              </w:rPr>
            </w:pPr>
            <w:r w:rsidRPr="00B865D5">
              <w:rPr>
                <w:rFonts w:eastAsia="MS Mincho"/>
                <w:bCs/>
                <w:lang w:eastAsia="zh-CN" w:bidi="th-TH"/>
              </w:rPr>
              <w:t>SFPSHS</w:t>
            </w:r>
          </w:p>
        </w:tc>
        <w:tc>
          <w:tcPr>
            <w:tcW w:w="1603" w:type="dxa"/>
            <w:vMerge/>
            <w:vAlign w:val="center"/>
          </w:tcPr>
          <w:p w:rsidR="00B90691" w:rsidRPr="00654EDE" w:rsidRDefault="00B90691" w:rsidP="00077CCE">
            <w:pPr>
              <w:pStyle w:val="Tabletext"/>
              <w:rPr>
                <w:rFonts w:eastAsia="MS Mincho"/>
                <w:b/>
                <w:bCs/>
                <w:lang w:eastAsia="zh-CN" w:bidi="th-TH"/>
              </w:rPr>
            </w:pPr>
          </w:p>
        </w:tc>
        <w:tc>
          <w:tcPr>
            <w:tcW w:w="590" w:type="dxa"/>
            <w:vMerge/>
            <w:vAlign w:val="center"/>
          </w:tcPr>
          <w:p w:rsidR="00B90691" w:rsidRPr="00654EDE" w:rsidRDefault="00B90691"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w:t>
            </w:r>
            <w:r w:rsidR="00B90691" w:rsidRPr="00654EDE">
              <w:rPr>
                <w:rFonts w:eastAsia="MS Mincho"/>
                <w:lang w:eastAsia="zh-CN" w:bidi="th-TH"/>
              </w:rPr>
              <w:t xml:space="preserve"> (Plan,</w:t>
            </w:r>
            <w:r w:rsidR="00B865D5">
              <w:rPr>
                <w:rFonts w:eastAsia="MS Mincho"/>
                <w:lang w:eastAsia="zh-CN" w:bidi="th-TH"/>
              </w:rPr>
              <w:t xml:space="preserve"> </w:t>
            </w:r>
            <w:r w:rsidR="00B90691" w:rsidRPr="00654EDE">
              <w:rPr>
                <w:rFonts w:eastAsia="MS Mincho"/>
                <w:lang w:eastAsia="zh-CN" w:bidi="th-TH"/>
              </w:rPr>
              <w:t>List</w:t>
            </w:r>
            <w:r w:rsidR="00B865D5">
              <w:rPr>
                <w:rFonts w:eastAsia="MS Mincho"/>
                <w:lang w:eastAsia="zh-CN" w:bidi="th-TH"/>
              </w:rPr>
              <w:t>a</w:t>
            </w:r>
            <w:r w:rsidR="00B90691" w:rsidRPr="00654EDE">
              <w:rPr>
                <w:rFonts w:eastAsia="MS Mincho"/>
                <w:lang w:eastAsia="zh-CN" w:bidi="th-TH"/>
              </w:rPr>
              <w:t>)</w:t>
            </w:r>
          </w:p>
        </w:tc>
        <w:tc>
          <w:tcPr>
            <w:tcW w:w="4191" w:type="dxa"/>
            <w:vAlign w:val="center"/>
          </w:tcPr>
          <w:p w:rsidR="00B90691" w:rsidRPr="00654EDE" w:rsidRDefault="00022A65" w:rsidP="00077CCE">
            <w:pPr>
              <w:pStyle w:val="Tabletext"/>
              <w:rPr>
                <w:rFonts w:eastAsia="MS Mincho"/>
                <w:lang w:eastAsia="zh-CN" w:bidi="th-TH"/>
              </w:rPr>
            </w:pPr>
            <w:r>
              <w:rPr>
                <w:rFonts w:eastAsia="MS Mincho"/>
                <w:lang w:eastAsia="zh-CN" w:bidi="th-TH"/>
              </w:rPr>
              <w:t>Servicio de Radiodifusión por Satélite</w:t>
            </w:r>
          </w:p>
        </w:tc>
        <w:tc>
          <w:tcPr>
            <w:tcW w:w="995" w:type="dxa"/>
            <w:vAlign w:val="center"/>
          </w:tcPr>
          <w:p w:rsidR="00B90691" w:rsidRPr="00654EDE" w:rsidRDefault="00022A65" w:rsidP="00077CCE">
            <w:pPr>
              <w:pStyle w:val="Tabletext"/>
              <w:rPr>
                <w:rFonts w:eastAsia="MS Mincho"/>
                <w:lang w:eastAsia="zh-CN" w:bidi="th-TH"/>
              </w:rPr>
            </w:pPr>
            <w:r>
              <w:rPr>
                <w:rFonts w:eastAsia="MS Mincho"/>
                <w:lang w:eastAsia="zh-CN" w:bidi="th-TH"/>
              </w:rPr>
              <w:t>SRS</w:t>
            </w:r>
            <w:r w:rsidR="00B90691" w:rsidRPr="00654EDE">
              <w:rPr>
                <w:rFonts w:eastAsia="MS Mincho"/>
                <w:lang w:eastAsia="zh-CN" w:bidi="th-TH"/>
              </w:rPr>
              <w:t xml:space="preserve"> </w:t>
            </w:r>
          </w:p>
        </w:tc>
        <w:tc>
          <w:tcPr>
            <w:tcW w:w="1603" w:type="dxa"/>
            <w:vMerge w:val="restart"/>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14</w:t>
            </w:r>
            <w:r w:rsidR="00022A65">
              <w:rPr>
                <w:rFonts w:eastAsia="MS Mincho"/>
                <w:b/>
                <w:bCs/>
                <w:lang w:eastAsia="zh-CN" w:bidi="th-TH"/>
              </w:rPr>
              <w:t>,</w:t>
            </w:r>
            <w:r w:rsidRPr="00654EDE">
              <w:rPr>
                <w:rFonts w:eastAsia="MS Mincho"/>
                <w:b/>
                <w:bCs/>
                <w:lang w:eastAsia="zh-CN" w:bidi="th-TH"/>
              </w:rPr>
              <w:t>5-14</w:t>
            </w:r>
            <w:r w:rsidR="00022A65">
              <w:rPr>
                <w:rFonts w:eastAsia="MS Mincho"/>
                <w:b/>
                <w:bCs/>
                <w:lang w:eastAsia="zh-CN" w:bidi="th-TH"/>
              </w:rPr>
              <w:t>,</w:t>
            </w:r>
            <w:r w:rsidRPr="00654EDE">
              <w:rPr>
                <w:rFonts w:eastAsia="MS Mincho"/>
                <w:b/>
                <w:bCs/>
                <w:lang w:eastAsia="zh-CN" w:bidi="th-TH"/>
              </w:rPr>
              <w:t>8</w:t>
            </w:r>
          </w:p>
        </w:tc>
        <w:tc>
          <w:tcPr>
            <w:tcW w:w="590" w:type="dxa"/>
            <w:vMerge w:val="restart"/>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3</w:t>
            </w: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Servicio Fijo</w:t>
            </w:r>
          </w:p>
        </w:tc>
        <w:tc>
          <w:tcPr>
            <w:tcW w:w="995"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SF</w:t>
            </w:r>
          </w:p>
        </w:tc>
        <w:tc>
          <w:tcPr>
            <w:tcW w:w="1603" w:type="dxa"/>
            <w:vMerge/>
            <w:vAlign w:val="center"/>
          </w:tcPr>
          <w:p w:rsidR="00022A65" w:rsidRPr="00654EDE" w:rsidRDefault="00022A65" w:rsidP="00077CCE">
            <w:pPr>
              <w:pStyle w:val="Tabletext"/>
              <w:rPr>
                <w:rFonts w:eastAsia="MS Mincho"/>
                <w:b/>
                <w:bCs/>
                <w:lang w:eastAsia="zh-CN" w:bidi="th-TH"/>
              </w:rPr>
            </w:pPr>
          </w:p>
        </w:tc>
        <w:tc>
          <w:tcPr>
            <w:tcW w:w="590" w:type="dxa"/>
            <w:vMerge/>
            <w:vAlign w:val="center"/>
          </w:tcPr>
          <w:p w:rsidR="00022A65" w:rsidRPr="00654EDE" w:rsidRDefault="00022A65"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B90691" w:rsidRPr="00022A65" w:rsidRDefault="00022A65" w:rsidP="00077CCE">
            <w:pPr>
              <w:pStyle w:val="Tabletext"/>
              <w:rPr>
                <w:rFonts w:eastAsia="MS Mincho"/>
                <w:lang w:eastAsia="zh-CN" w:bidi="th-TH"/>
              </w:rPr>
            </w:pPr>
            <w:r w:rsidRPr="00022A65">
              <w:rPr>
                <w:rFonts w:eastAsia="MS Mincho"/>
                <w:lang w:eastAsia="zh-CN" w:bidi="th-TH"/>
              </w:rPr>
              <w:t>Servicio Móvil</w:t>
            </w:r>
            <w:r w:rsidR="00B90691" w:rsidRPr="00022A65">
              <w:rPr>
                <w:rFonts w:eastAsia="MS Mincho"/>
                <w:lang w:eastAsia="zh-CN" w:bidi="th-TH"/>
              </w:rPr>
              <w:t xml:space="preserve">/ </w:t>
            </w:r>
            <w:r w:rsidRPr="00022A65">
              <w:rPr>
                <w:rFonts w:eastAsia="MS Mincho"/>
                <w:lang w:eastAsia="zh-CN" w:bidi="th-TH"/>
              </w:rPr>
              <w:t>Servicio Móvil</w:t>
            </w:r>
            <w:r>
              <w:rPr>
                <w:rFonts w:eastAsia="MS Mincho"/>
                <w:lang w:eastAsia="zh-CN" w:bidi="th-TH"/>
              </w:rPr>
              <w:t xml:space="preserve"> </w:t>
            </w:r>
            <w:r w:rsidRPr="00022A65">
              <w:rPr>
                <w:rFonts w:eastAsia="MS Mincho"/>
                <w:lang w:eastAsia="zh-CN" w:bidi="th-TH"/>
              </w:rPr>
              <w:t>Aeronáutic</w:t>
            </w:r>
            <w:r>
              <w:rPr>
                <w:rFonts w:eastAsia="MS Mincho"/>
                <w:lang w:eastAsia="zh-CN" w:bidi="th-TH"/>
              </w:rPr>
              <w:t>o</w:t>
            </w:r>
          </w:p>
        </w:tc>
        <w:tc>
          <w:tcPr>
            <w:tcW w:w="995" w:type="dxa"/>
            <w:vAlign w:val="center"/>
          </w:tcPr>
          <w:p w:rsidR="00B90691" w:rsidRPr="00654EDE" w:rsidRDefault="00022A65" w:rsidP="00077CCE">
            <w:pPr>
              <w:pStyle w:val="Tabletext"/>
              <w:rPr>
                <w:rFonts w:eastAsia="MS Mincho"/>
                <w:lang w:eastAsia="zh-CN" w:bidi="th-TH"/>
              </w:rPr>
            </w:pPr>
            <w:r>
              <w:rPr>
                <w:rFonts w:eastAsia="MS Mincho"/>
                <w:lang w:eastAsia="zh-CN" w:bidi="th-TH"/>
              </w:rPr>
              <w:t>SM</w:t>
            </w:r>
            <w:r w:rsidR="00B90691" w:rsidRPr="00654EDE">
              <w:rPr>
                <w:rFonts w:eastAsia="MS Mincho"/>
                <w:lang w:eastAsia="zh-CN" w:bidi="th-TH"/>
              </w:rPr>
              <w:t>/</w:t>
            </w:r>
            <w:r>
              <w:rPr>
                <w:rFonts w:eastAsia="MS Mincho"/>
                <w:lang w:eastAsia="zh-CN" w:bidi="th-TH"/>
              </w:rPr>
              <w:t>SMA</w:t>
            </w:r>
          </w:p>
        </w:tc>
        <w:tc>
          <w:tcPr>
            <w:tcW w:w="1603" w:type="dxa"/>
            <w:vMerge/>
            <w:vAlign w:val="center"/>
          </w:tcPr>
          <w:p w:rsidR="00B90691" w:rsidRPr="00654EDE" w:rsidRDefault="00B90691" w:rsidP="00077CCE">
            <w:pPr>
              <w:pStyle w:val="Tabletext"/>
              <w:rPr>
                <w:rFonts w:eastAsia="MS Mincho"/>
                <w:b/>
                <w:bCs/>
                <w:lang w:eastAsia="zh-CN" w:bidi="th-TH"/>
              </w:rPr>
            </w:pPr>
          </w:p>
        </w:tc>
        <w:tc>
          <w:tcPr>
            <w:tcW w:w="590" w:type="dxa"/>
            <w:vMerge/>
            <w:vAlign w:val="center"/>
          </w:tcPr>
          <w:p w:rsidR="00B90691" w:rsidRPr="00654EDE" w:rsidRDefault="00B90691" w:rsidP="00077CCE">
            <w:pPr>
              <w:pStyle w:val="Tabletext"/>
              <w:rPr>
                <w:rFonts w:eastAsia="MS Mincho"/>
                <w:b/>
                <w:bCs/>
                <w:lang w:eastAsia="zh-CN" w:bidi="th-TH"/>
              </w:rPr>
            </w:pP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Servicio de Investigación Espacial</w:t>
            </w:r>
          </w:p>
        </w:tc>
        <w:tc>
          <w:tcPr>
            <w:tcW w:w="995" w:type="dxa"/>
            <w:vAlign w:val="center"/>
          </w:tcPr>
          <w:p w:rsidR="00022A65" w:rsidRPr="00654EDE" w:rsidRDefault="00022A65" w:rsidP="00077CCE">
            <w:pPr>
              <w:pStyle w:val="Tabletext"/>
              <w:rPr>
                <w:rFonts w:eastAsia="MS Mincho"/>
                <w:lang w:eastAsia="zh-CN" w:bidi="th-TH"/>
              </w:rPr>
            </w:pPr>
            <w:r>
              <w:rPr>
                <w:rFonts w:eastAsia="MS Mincho"/>
                <w:lang w:eastAsia="zh-CN" w:bidi="th-TH"/>
              </w:rPr>
              <w:t>SIE</w:t>
            </w:r>
          </w:p>
        </w:tc>
        <w:tc>
          <w:tcPr>
            <w:tcW w:w="1603" w:type="dxa"/>
            <w:vMerge/>
            <w:vAlign w:val="center"/>
          </w:tcPr>
          <w:p w:rsidR="00022A65" w:rsidRPr="00654EDE" w:rsidRDefault="00022A65" w:rsidP="00077CCE">
            <w:pPr>
              <w:pStyle w:val="Tabletext"/>
              <w:rPr>
                <w:rFonts w:eastAsia="MS Mincho"/>
                <w:b/>
                <w:bCs/>
                <w:lang w:eastAsia="zh-CN" w:bidi="th-TH"/>
              </w:rPr>
            </w:pPr>
          </w:p>
        </w:tc>
        <w:tc>
          <w:tcPr>
            <w:tcW w:w="590" w:type="dxa"/>
            <w:vMerge/>
            <w:vAlign w:val="center"/>
          </w:tcPr>
          <w:p w:rsidR="00022A65" w:rsidRPr="00654EDE" w:rsidRDefault="00022A65" w:rsidP="00077CCE">
            <w:pPr>
              <w:pStyle w:val="Tabletext"/>
              <w:rPr>
                <w:rFonts w:eastAsia="MS Mincho"/>
                <w:b/>
                <w:bCs/>
                <w:lang w:eastAsia="zh-CN" w:bidi="th-TH"/>
              </w:rPr>
            </w:pPr>
          </w:p>
        </w:tc>
      </w:tr>
      <w:tr w:rsidR="00B90691" w:rsidRPr="001F46B3" w:rsidTr="00B865D5">
        <w:trPr>
          <w:jc w:val="center"/>
        </w:trPr>
        <w:tc>
          <w:tcPr>
            <w:tcW w:w="2449" w:type="dxa"/>
            <w:vAlign w:val="center"/>
          </w:tcPr>
          <w:p w:rsidR="00B90691" w:rsidRPr="00654EDE" w:rsidRDefault="00022A65" w:rsidP="00FC1832">
            <w:pPr>
              <w:pStyle w:val="Tabletext"/>
              <w:jc w:val="center"/>
              <w:rPr>
                <w:rFonts w:eastAsia="MS Mincho"/>
                <w:rtl/>
                <w:lang w:eastAsia="zh-CN" w:bidi="fa-IR"/>
              </w:rPr>
            </w:pPr>
            <w:r w:rsidRPr="00022A65">
              <w:rPr>
                <w:rFonts w:eastAsia="MS Mincho"/>
                <w:lang w:eastAsia="zh-CN" w:bidi="th-TH"/>
              </w:rPr>
              <w:t xml:space="preserve">banda del SRA adyacente </w:t>
            </w:r>
            <w:r w:rsidR="00B90691" w:rsidRPr="00654EDE">
              <w:rPr>
                <w:rFonts w:eastAsia="MS Mincho"/>
                <w:lang w:eastAsia="zh-CN" w:bidi="th-TH"/>
              </w:rPr>
              <w:t>(15.35-15.40 GHz)</w:t>
            </w:r>
          </w:p>
        </w:tc>
        <w:tc>
          <w:tcPr>
            <w:tcW w:w="4191" w:type="dxa"/>
            <w:vAlign w:val="center"/>
          </w:tcPr>
          <w:p w:rsidR="00B90691" w:rsidRPr="00654EDE" w:rsidRDefault="00022A65" w:rsidP="00077CCE">
            <w:pPr>
              <w:pStyle w:val="Tabletext"/>
              <w:rPr>
                <w:rFonts w:eastAsia="MS Mincho"/>
                <w:lang w:eastAsia="zh-CN" w:bidi="th-TH"/>
              </w:rPr>
            </w:pPr>
            <w:r>
              <w:rPr>
                <w:rFonts w:eastAsia="MS Mincho"/>
                <w:lang w:eastAsia="zh-CN" w:bidi="th-TH"/>
              </w:rPr>
              <w:t>Servicio de Radioastronomía</w:t>
            </w:r>
          </w:p>
        </w:tc>
        <w:tc>
          <w:tcPr>
            <w:tcW w:w="995" w:type="dxa"/>
            <w:vAlign w:val="center"/>
          </w:tcPr>
          <w:p w:rsidR="00B90691" w:rsidRPr="00654EDE" w:rsidRDefault="00022A65" w:rsidP="00077CCE">
            <w:pPr>
              <w:pStyle w:val="Tabletext"/>
              <w:rPr>
                <w:rFonts w:eastAsia="MS Mincho"/>
                <w:lang w:eastAsia="zh-CN" w:bidi="th-TH"/>
              </w:rPr>
            </w:pPr>
            <w:r>
              <w:rPr>
                <w:rFonts w:eastAsia="MS Mincho"/>
                <w:lang w:eastAsia="zh-CN" w:bidi="th-TH"/>
              </w:rPr>
              <w:t>SRA</w:t>
            </w:r>
          </w:p>
        </w:tc>
        <w:tc>
          <w:tcPr>
            <w:tcW w:w="1603" w:type="dxa"/>
            <w:vMerge/>
            <w:vAlign w:val="center"/>
          </w:tcPr>
          <w:p w:rsidR="00B90691" w:rsidRPr="00654EDE" w:rsidRDefault="00B90691" w:rsidP="00077CCE">
            <w:pPr>
              <w:pStyle w:val="Tabletext"/>
              <w:rPr>
                <w:rFonts w:eastAsia="MS Mincho"/>
                <w:b/>
                <w:bCs/>
                <w:lang w:eastAsia="zh-CN" w:bidi="th-TH"/>
              </w:rPr>
            </w:pPr>
          </w:p>
        </w:tc>
        <w:tc>
          <w:tcPr>
            <w:tcW w:w="590" w:type="dxa"/>
            <w:vMerge/>
            <w:vAlign w:val="center"/>
          </w:tcPr>
          <w:p w:rsidR="00B90691" w:rsidRPr="00654EDE" w:rsidRDefault="00B90691" w:rsidP="00077CCE">
            <w:pPr>
              <w:pStyle w:val="Tabletext"/>
              <w:rPr>
                <w:rFonts w:eastAsia="MS Mincho"/>
                <w:b/>
                <w:bCs/>
                <w:lang w:eastAsia="zh-CN" w:bidi="th-TH"/>
              </w:rPr>
            </w:pP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022A65" w:rsidRPr="00022A65" w:rsidRDefault="00022A65" w:rsidP="00077CCE">
            <w:pPr>
              <w:pStyle w:val="Tabletext"/>
              <w:rPr>
                <w:rFonts w:eastAsia="MS Mincho"/>
                <w:lang w:eastAsia="zh-CN" w:bidi="th-TH"/>
              </w:rPr>
            </w:pPr>
            <w:r w:rsidRPr="00022A65">
              <w:rPr>
                <w:rFonts w:eastAsia="MS Mincho"/>
                <w:lang w:eastAsia="zh-CN" w:bidi="th-TH"/>
              </w:rPr>
              <w:t>Servicio Móvil/ Servicio Móvil</w:t>
            </w:r>
            <w:r>
              <w:rPr>
                <w:rFonts w:eastAsia="MS Mincho"/>
                <w:lang w:eastAsia="zh-CN" w:bidi="th-TH"/>
              </w:rPr>
              <w:t xml:space="preserve"> </w:t>
            </w:r>
            <w:r w:rsidRPr="00022A65">
              <w:rPr>
                <w:rFonts w:eastAsia="MS Mincho"/>
                <w:lang w:eastAsia="zh-CN" w:bidi="th-TH"/>
              </w:rPr>
              <w:t>Aeronáutic</w:t>
            </w:r>
            <w:r>
              <w:rPr>
                <w:rFonts w:eastAsia="MS Mincho"/>
                <w:lang w:eastAsia="zh-CN" w:bidi="th-TH"/>
              </w:rPr>
              <w:t>o</w:t>
            </w:r>
          </w:p>
        </w:tc>
        <w:tc>
          <w:tcPr>
            <w:tcW w:w="995" w:type="dxa"/>
            <w:vAlign w:val="center"/>
          </w:tcPr>
          <w:p w:rsidR="00022A65" w:rsidRPr="00654EDE" w:rsidRDefault="00022A65" w:rsidP="00077CCE">
            <w:pPr>
              <w:pStyle w:val="Tabletext"/>
              <w:rPr>
                <w:rFonts w:eastAsia="MS Mincho"/>
                <w:lang w:eastAsia="zh-CN" w:bidi="th-TH"/>
              </w:rPr>
            </w:pPr>
            <w:r>
              <w:rPr>
                <w:rFonts w:eastAsia="MS Mincho"/>
                <w:lang w:eastAsia="zh-CN" w:bidi="th-TH"/>
              </w:rPr>
              <w:t>SM</w:t>
            </w:r>
            <w:r w:rsidRPr="00654EDE">
              <w:rPr>
                <w:rFonts w:eastAsia="MS Mincho"/>
                <w:lang w:eastAsia="zh-CN" w:bidi="th-TH"/>
              </w:rPr>
              <w:t>/</w:t>
            </w:r>
            <w:r>
              <w:rPr>
                <w:rFonts w:eastAsia="MS Mincho"/>
                <w:lang w:eastAsia="zh-CN" w:bidi="th-TH"/>
              </w:rPr>
              <w:t>SMA</w:t>
            </w:r>
          </w:p>
        </w:tc>
        <w:tc>
          <w:tcPr>
            <w:tcW w:w="1603" w:type="dxa"/>
            <w:vMerge w:val="restart"/>
            <w:vAlign w:val="center"/>
          </w:tcPr>
          <w:p w:rsidR="00022A65" w:rsidRPr="00654EDE" w:rsidRDefault="00022A65" w:rsidP="00077CCE">
            <w:pPr>
              <w:pStyle w:val="Tabletext"/>
              <w:rPr>
                <w:rFonts w:eastAsia="MS Mincho"/>
                <w:b/>
                <w:bCs/>
                <w:lang w:eastAsia="zh-CN" w:bidi="th-TH"/>
              </w:rPr>
            </w:pPr>
            <w:r w:rsidRPr="00654EDE">
              <w:rPr>
                <w:rFonts w:eastAsia="MS Mincho"/>
                <w:b/>
                <w:bCs/>
                <w:lang w:eastAsia="zh-CN" w:bidi="th-TH"/>
              </w:rPr>
              <w:t>14</w:t>
            </w:r>
            <w:r>
              <w:rPr>
                <w:rFonts w:eastAsia="MS Mincho"/>
                <w:b/>
                <w:bCs/>
                <w:lang w:eastAsia="zh-CN" w:bidi="th-TH"/>
              </w:rPr>
              <w:t>,</w:t>
            </w:r>
            <w:r w:rsidRPr="00654EDE">
              <w:rPr>
                <w:rFonts w:eastAsia="MS Mincho"/>
                <w:b/>
                <w:bCs/>
                <w:lang w:eastAsia="zh-CN" w:bidi="th-TH"/>
              </w:rPr>
              <w:t>8-15</w:t>
            </w:r>
            <w:r>
              <w:rPr>
                <w:rFonts w:eastAsia="MS Mincho"/>
                <w:b/>
                <w:bCs/>
                <w:lang w:eastAsia="zh-CN" w:bidi="th-TH"/>
              </w:rPr>
              <w:t>,</w:t>
            </w:r>
            <w:r w:rsidRPr="00654EDE">
              <w:rPr>
                <w:rFonts w:eastAsia="MS Mincho"/>
                <w:b/>
                <w:bCs/>
                <w:lang w:eastAsia="zh-CN" w:bidi="th-TH"/>
              </w:rPr>
              <w:t>35</w:t>
            </w:r>
          </w:p>
        </w:tc>
        <w:tc>
          <w:tcPr>
            <w:tcW w:w="590" w:type="dxa"/>
            <w:vMerge w:val="restart"/>
            <w:vAlign w:val="center"/>
          </w:tcPr>
          <w:p w:rsidR="00022A65" w:rsidRPr="00654EDE" w:rsidRDefault="00022A65" w:rsidP="00077CCE">
            <w:pPr>
              <w:pStyle w:val="Tabletext"/>
              <w:rPr>
                <w:rFonts w:eastAsia="MS Mincho"/>
                <w:b/>
                <w:bCs/>
                <w:lang w:eastAsia="zh-CN" w:bidi="th-TH"/>
              </w:rPr>
            </w:pPr>
            <w:r w:rsidRPr="00654EDE">
              <w:rPr>
                <w:rFonts w:eastAsia="MS Mincho"/>
                <w:b/>
                <w:bCs/>
                <w:lang w:eastAsia="zh-CN" w:bidi="th-TH"/>
              </w:rPr>
              <w:t>4</w:t>
            </w: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Servicio Fijo</w:t>
            </w:r>
          </w:p>
        </w:tc>
        <w:tc>
          <w:tcPr>
            <w:tcW w:w="995"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SF</w:t>
            </w:r>
          </w:p>
        </w:tc>
        <w:tc>
          <w:tcPr>
            <w:tcW w:w="1603" w:type="dxa"/>
            <w:vMerge/>
            <w:vAlign w:val="center"/>
          </w:tcPr>
          <w:p w:rsidR="00022A65" w:rsidRPr="00654EDE" w:rsidRDefault="00022A65" w:rsidP="00077CCE">
            <w:pPr>
              <w:pStyle w:val="Tabletext"/>
              <w:rPr>
                <w:rFonts w:eastAsia="MS Mincho"/>
                <w:b/>
                <w:bCs/>
                <w:lang w:eastAsia="zh-CN" w:bidi="th-TH"/>
              </w:rPr>
            </w:pPr>
          </w:p>
        </w:tc>
        <w:tc>
          <w:tcPr>
            <w:tcW w:w="590" w:type="dxa"/>
            <w:vMerge/>
            <w:vAlign w:val="center"/>
          </w:tcPr>
          <w:p w:rsidR="00022A65" w:rsidRPr="00654EDE" w:rsidRDefault="00022A65" w:rsidP="00077CCE">
            <w:pPr>
              <w:pStyle w:val="Tabletext"/>
              <w:rPr>
                <w:rFonts w:eastAsia="MS Mincho"/>
                <w:b/>
                <w:bCs/>
                <w:lang w:eastAsia="zh-CN" w:bidi="th-TH"/>
              </w:rPr>
            </w:pP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rtl/>
                <w:lang w:eastAsia="zh-CN" w:bidi="fa-IR"/>
              </w:rPr>
            </w:pPr>
            <w:r>
              <w:rPr>
                <w:rFonts w:eastAsia="MS Mincho"/>
                <w:lang w:eastAsia="zh-CN" w:bidi="th-TH"/>
              </w:rPr>
              <w:t>A/D</w:t>
            </w:r>
          </w:p>
        </w:tc>
        <w:tc>
          <w:tcPr>
            <w:tcW w:w="4191"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Servicio de Investigación Espacial</w:t>
            </w:r>
          </w:p>
        </w:tc>
        <w:tc>
          <w:tcPr>
            <w:tcW w:w="995" w:type="dxa"/>
            <w:vAlign w:val="center"/>
          </w:tcPr>
          <w:p w:rsidR="00022A65" w:rsidRPr="00654EDE" w:rsidRDefault="00022A65" w:rsidP="00077CCE">
            <w:pPr>
              <w:pStyle w:val="Tabletext"/>
              <w:rPr>
                <w:rFonts w:eastAsia="MS Mincho"/>
                <w:lang w:eastAsia="zh-CN" w:bidi="th-TH"/>
              </w:rPr>
            </w:pPr>
            <w:r>
              <w:rPr>
                <w:rFonts w:eastAsia="MS Mincho"/>
                <w:lang w:eastAsia="zh-CN" w:bidi="th-TH"/>
              </w:rPr>
              <w:t>SIE</w:t>
            </w:r>
          </w:p>
        </w:tc>
        <w:tc>
          <w:tcPr>
            <w:tcW w:w="1603" w:type="dxa"/>
            <w:vMerge/>
            <w:vAlign w:val="center"/>
          </w:tcPr>
          <w:p w:rsidR="00022A65" w:rsidRPr="00654EDE" w:rsidRDefault="00022A65" w:rsidP="00077CCE">
            <w:pPr>
              <w:pStyle w:val="Tabletext"/>
              <w:rPr>
                <w:rFonts w:eastAsia="MS Mincho"/>
                <w:b/>
                <w:bCs/>
                <w:lang w:eastAsia="zh-CN" w:bidi="th-TH"/>
              </w:rPr>
            </w:pPr>
          </w:p>
        </w:tc>
        <w:tc>
          <w:tcPr>
            <w:tcW w:w="590" w:type="dxa"/>
            <w:vMerge/>
            <w:vAlign w:val="center"/>
          </w:tcPr>
          <w:p w:rsidR="00022A65" w:rsidRPr="00654EDE" w:rsidRDefault="00022A65" w:rsidP="00077CCE">
            <w:pPr>
              <w:pStyle w:val="Tabletext"/>
              <w:rPr>
                <w:rFonts w:eastAsia="MS Mincho"/>
                <w:b/>
                <w:bCs/>
                <w:lang w:eastAsia="zh-CN" w:bidi="th-TH"/>
              </w:rPr>
            </w:pPr>
          </w:p>
        </w:tc>
      </w:tr>
      <w:tr w:rsidR="00B90691" w:rsidRPr="001F46B3" w:rsidTr="00B865D5">
        <w:trPr>
          <w:jc w:val="center"/>
        </w:trPr>
        <w:tc>
          <w:tcPr>
            <w:tcW w:w="7635" w:type="dxa"/>
            <w:gridSpan w:val="3"/>
            <w:vAlign w:val="center"/>
          </w:tcPr>
          <w:p w:rsidR="00B90691" w:rsidRPr="00C95230" w:rsidRDefault="00C95230" w:rsidP="008D07B6">
            <w:pPr>
              <w:pStyle w:val="Tabletext"/>
              <w:rPr>
                <w:rFonts w:eastAsia="MS Mincho"/>
                <w:lang w:eastAsia="zh-CN" w:bidi="th-TH"/>
              </w:rPr>
            </w:pPr>
            <w:r w:rsidRPr="00D5529E">
              <w:rPr>
                <w:rFonts w:eastAsia="MS Mincho"/>
                <w:lang w:eastAsia="zh-CN" w:bidi="th-TH"/>
              </w:rPr>
              <w:t xml:space="preserve">La banda de frecuencias 15,35-15,4 GHz se excluyó de la posibilidad de atribuir espectro adicional al SFS OSG de conformidad con la Resolución </w:t>
            </w:r>
            <w:r w:rsidRPr="00022A65">
              <w:rPr>
                <w:rFonts w:eastAsia="MS Mincho"/>
                <w:b/>
                <w:bCs/>
                <w:lang w:eastAsia="zh-CN" w:bidi="th-TH"/>
              </w:rPr>
              <w:t>15</w:t>
            </w:r>
            <w:r w:rsidR="00022A65" w:rsidRPr="00022A65">
              <w:rPr>
                <w:rFonts w:eastAsia="MS Mincho"/>
                <w:b/>
                <w:bCs/>
                <w:lang w:eastAsia="zh-CN" w:bidi="th-TH"/>
              </w:rPr>
              <w:t>1</w:t>
            </w:r>
            <w:r w:rsidRPr="00022A65">
              <w:rPr>
                <w:rFonts w:eastAsia="MS Mincho"/>
                <w:b/>
                <w:bCs/>
                <w:lang w:eastAsia="zh-CN" w:bidi="th-TH"/>
              </w:rPr>
              <w:t xml:space="preserve"> (CMR-12)</w:t>
            </w:r>
          </w:p>
        </w:tc>
        <w:tc>
          <w:tcPr>
            <w:tcW w:w="1603" w:type="dxa"/>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15.35-15.4</w:t>
            </w:r>
          </w:p>
        </w:tc>
        <w:tc>
          <w:tcPr>
            <w:tcW w:w="590" w:type="dxa"/>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5</w:t>
            </w:r>
          </w:p>
        </w:tc>
      </w:tr>
      <w:tr w:rsidR="00B90691" w:rsidRPr="001F46B3" w:rsidTr="00B865D5">
        <w:trPr>
          <w:jc w:val="center"/>
        </w:trPr>
        <w:tc>
          <w:tcPr>
            <w:tcW w:w="2449" w:type="dxa"/>
            <w:vAlign w:val="center"/>
          </w:tcPr>
          <w:p w:rsidR="00B90691" w:rsidRPr="00654EDE" w:rsidRDefault="00F7374B" w:rsidP="00FC1832">
            <w:pPr>
              <w:pStyle w:val="Tabletext"/>
              <w:jc w:val="center"/>
              <w:rPr>
                <w:rFonts w:eastAsia="MS Mincho"/>
                <w:lang w:eastAsia="zh-CN" w:bidi="th-TH"/>
              </w:rPr>
            </w:pPr>
            <w:r>
              <w:rPr>
                <w:rFonts w:eastAsia="MS Mincho"/>
                <w:lang w:eastAsia="zh-CN" w:bidi="th-TH"/>
              </w:rPr>
              <w:t>A/D</w:t>
            </w:r>
          </w:p>
        </w:tc>
        <w:tc>
          <w:tcPr>
            <w:tcW w:w="4191" w:type="dxa"/>
            <w:vAlign w:val="center"/>
          </w:tcPr>
          <w:p w:rsidR="00B90691" w:rsidRPr="00654EDE" w:rsidRDefault="00022A65" w:rsidP="00077CCE">
            <w:pPr>
              <w:pStyle w:val="Tabletext"/>
              <w:rPr>
                <w:rFonts w:eastAsia="MS Mincho"/>
                <w:lang w:eastAsia="zh-CN" w:bidi="th-TH"/>
              </w:rPr>
            </w:pPr>
            <w:r w:rsidRPr="00022A65">
              <w:rPr>
                <w:rFonts w:eastAsia="MS Mincho"/>
                <w:lang w:eastAsia="zh-CN" w:bidi="th-TH"/>
              </w:rPr>
              <w:t>Servicio de Radiolocalización</w:t>
            </w:r>
          </w:p>
        </w:tc>
        <w:tc>
          <w:tcPr>
            <w:tcW w:w="995" w:type="dxa"/>
            <w:vAlign w:val="center"/>
          </w:tcPr>
          <w:p w:rsidR="00B90691" w:rsidRPr="00654EDE" w:rsidRDefault="00022A65" w:rsidP="00077CCE">
            <w:pPr>
              <w:pStyle w:val="Tabletext"/>
              <w:rPr>
                <w:rFonts w:eastAsia="MS Mincho"/>
                <w:lang w:eastAsia="zh-CN" w:bidi="th-TH"/>
              </w:rPr>
            </w:pPr>
            <w:r w:rsidRPr="00022A65">
              <w:rPr>
                <w:rFonts w:eastAsia="MS Mincho"/>
                <w:lang w:eastAsia="zh-CN" w:bidi="th-TH"/>
              </w:rPr>
              <w:t>SRL</w:t>
            </w:r>
          </w:p>
        </w:tc>
        <w:tc>
          <w:tcPr>
            <w:tcW w:w="1603" w:type="dxa"/>
            <w:vMerge w:val="restart"/>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15</w:t>
            </w:r>
            <w:r w:rsidR="00022A65">
              <w:rPr>
                <w:rFonts w:eastAsia="MS Mincho"/>
                <w:b/>
                <w:bCs/>
                <w:lang w:eastAsia="zh-CN" w:bidi="th-TH"/>
              </w:rPr>
              <w:t>,</w:t>
            </w:r>
            <w:r w:rsidRPr="00654EDE">
              <w:rPr>
                <w:rFonts w:eastAsia="MS Mincho"/>
                <w:b/>
                <w:bCs/>
                <w:lang w:eastAsia="zh-CN" w:bidi="th-TH"/>
              </w:rPr>
              <w:t>4-15</w:t>
            </w:r>
            <w:r w:rsidR="00022A65">
              <w:rPr>
                <w:rFonts w:eastAsia="MS Mincho"/>
                <w:b/>
                <w:bCs/>
                <w:lang w:eastAsia="zh-CN" w:bidi="th-TH"/>
              </w:rPr>
              <w:t>,</w:t>
            </w:r>
            <w:r w:rsidRPr="00654EDE">
              <w:rPr>
                <w:rFonts w:eastAsia="MS Mincho"/>
                <w:b/>
                <w:bCs/>
                <w:lang w:eastAsia="zh-CN" w:bidi="th-TH"/>
              </w:rPr>
              <w:t>7</w:t>
            </w:r>
          </w:p>
        </w:tc>
        <w:tc>
          <w:tcPr>
            <w:tcW w:w="590" w:type="dxa"/>
            <w:vMerge w:val="restart"/>
            <w:vAlign w:val="center"/>
          </w:tcPr>
          <w:p w:rsidR="00B90691" w:rsidRPr="00654EDE" w:rsidRDefault="00B90691" w:rsidP="00077CCE">
            <w:pPr>
              <w:pStyle w:val="Tabletext"/>
              <w:rPr>
                <w:rFonts w:eastAsia="MS Mincho"/>
                <w:b/>
                <w:bCs/>
                <w:lang w:eastAsia="zh-CN" w:bidi="th-TH"/>
              </w:rPr>
            </w:pPr>
            <w:r w:rsidRPr="00654EDE">
              <w:rPr>
                <w:rFonts w:eastAsia="MS Mincho"/>
                <w:b/>
                <w:bCs/>
                <w:lang w:eastAsia="zh-CN" w:bidi="th-TH"/>
              </w:rPr>
              <w:t>6</w:t>
            </w: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lang w:eastAsia="zh-CN" w:bidi="th-TH"/>
              </w:rPr>
            </w:pPr>
            <w:r>
              <w:rPr>
                <w:rFonts w:eastAsia="MS Mincho"/>
                <w:lang w:eastAsia="zh-CN" w:bidi="th-TH"/>
              </w:rPr>
              <w:t>A</w:t>
            </w:r>
          </w:p>
        </w:tc>
        <w:tc>
          <w:tcPr>
            <w:tcW w:w="4191" w:type="dxa"/>
            <w:vAlign w:val="center"/>
          </w:tcPr>
          <w:p w:rsidR="00022A65" w:rsidRPr="00654EDE" w:rsidRDefault="00022A65" w:rsidP="00077CCE">
            <w:pPr>
              <w:pStyle w:val="Tabletext"/>
              <w:rPr>
                <w:rFonts w:eastAsia="MS Mincho"/>
                <w:rtl/>
                <w:lang w:eastAsia="zh-CN" w:bidi="fa-IR"/>
              </w:rPr>
            </w:pPr>
            <w:r w:rsidRPr="00F7374B">
              <w:rPr>
                <w:rFonts w:eastAsia="MS Mincho"/>
                <w:lang w:eastAsia="zh-CN" w:bidi="th-TH"/>
              </w:rPr>
              <w:t>Servicio de Radionavegación Aeronáutica</w:t>
            </w:r>
          </w:p>
        </w:tc>
        <w:tc>
          <w:tcPr>
            <w:tcW w:w="995" w:type="dxa"/>
            <w:vAlign w:val="center"/>
          </w:tcPr>
          <w:p w:rsidR="00022A65" w:rsidRPr="00654EDE" w:rsidRDefault="00022A65" w:rsidP="00077CCE">
            <w:pPr>
              <w:pStyle w:val="Tabletext"/>
              <w:rPr>
                <w:rFonts w:eastAsia="MS Mincho"/>
                <w:rtl/>
                <w:lang w:eastAsia="zh-CN" w:bidi="fa-IR"/>
              </w:rPr>
            </w:pPr>
            <w:r>
              <w:rPr>
                <w:rFonts w:eastAsia="MS Mincho"/>
                <w:lang w:eastAsia="zh-CN" w:bidi="th-TH"/>
              </w:rPr>
              <w:t>SRNA</w:t>
            </w:r>
          </w:p>
        </w:tc>
        <w:tc>
          <w:tcPr>
            <w:tcW w:w="1603" w:type="dxa"/>
            <w:vMerge/>
            <w:vAlign w:val="center"/>
          </w:tcPr>
          <w:p w:rsidR="00022A65" w:rsidRPr="00654EDE" w:rsidRDefault="00022A65" w:rsidP="00077CCE">
            <w:pPr>
              <w:pStyle w:val="Tabletext"/>
              <w:rPr>
                <w:rFonts w:eastAsia="MS Mincho"/>
                <w:b/>
                <w:bCs/>
                <w:lang w:eastAsia="zh-CN" w:bidi="th-TH"/>
              </w:rPr>
            </w:pPr>
          </w:p>
        </w:tc>
        <w:tc>
          <w:tcPr>
            <w:tcW w:w="590" w:type="dxa"/>
            <w:vMerge/>
            <w:vAlign w:val="center"/>
          </w:tcPr>
          <w:p w:rsidR="00022A65" w:rsidRPr="00654EDE" w:rsidRDefault="00022A65" w:rsidP="00077CCE">
            <w:pPr>
              <w:pStyle w:val="Tabletext"/>
              <w:rPr>
                <w:rFonts w:eastAsia="MS Mincho"/>
                <w:b/>
                <w:bCs/>
                <w:lang w:eastAsia="zh-CN" w:bidi="th-TH"/>
              </w:rPr>
            </w:pP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lang w:eastAsia="zh-CN" w:bidi="th-TH"/>
              </w:rPr>
            </w:pPr>
            <w:r>
              <w:rPr>
                <w:rFonts w:eastAsia="MS Mincho"/>
                <w:lang w:eastAsia="zh-CN" w:bidi="th-TH"/>
              </w:rPr>
              <w:t>A/D</w:t>
            </w:r>
          </w:p>
        </w:tc>
        <w:tc>
          <w:tcPr>
            <w:tcW w:w="4191" w:type="dxa"/>
            <w:vAlign w:val="center"/>
          </w:tcPr>
          <w:p w:rsidR="00022A65" w:rsidRPr="00654EDE" w:rsidRDefault="00022A65" w:rsidP="00077CCE">
            <w:pPr>
              <w:pStyle w:val="Tabletext"/>
              <w:rPr>
                <w:rFonts w:eastAsia="MS Mincho"/>
                <w:lang w:eastAsia="zh-CN" w:bidi="th-TH"/>
              </w:rPr>
            </w:pPr>
            <w:r w:rsidRPr="00022A65">
              <w:rPr>
                <w:rFonts w:eastAsia="MS Mincho"/>
                <w:lang w:eastAsia="zh-CN" w:bidi="th-TH"/>
              </w:rPr>
              <w:t>Servicio de Radiolocalización</w:t>
            </w:r>
          </w:p>
        </w:tc>
        <w:tc>
          <w:tcPr>
            <w:tcW w:w="995" w:type="dxa"/>
            <w:vAlign w:val="center"/>
          </w:tcPr>
          <w:p w:rsidR="00022A65" w:rsidRPr="00654EDE" w:rsidRDefault="00022A65" w:rsidP="00077CCE">
            <w:pPr>
              <w:pStyle w:val="Tabletext"/>
              <w:rPr>
                <w:rFonts w:eastAsia="MS Mincho"/>
                <w:lang w:eastAsia="zh-CN" w:bidi="th-TH"/>
              </w:rPr>
            </w:pPr>
            <w:r w:rsidRPr="00022A65">
              <w:rPr>
                <w:rFonts w:eastAsia="MS Mincho"/>
                <w:lang w:eastAsia="zh-CN" w:bidi="th-TH"/>
              </w:rPr>
              <w:t>SRL</w:t>
            </w:r>
          </w:p>
        </w:tc>
        <w:tc>
          <w:tcPr>
            <w:tcW w:w="1603" w:type="dxa"/>
            <w:vAlign w:val="center"/>
          </w:tcPr>
          <w:p w:rsidR="00022A65" w:rsidRPr="00654EDE" w:rsidRDefault="00022A65" w:rsidP="00077CCE">
            <w:pPr>
              <w:pStyle w:val="Tabletext"/>
              <w:rPr>
                <w:rFonts w:eastAsia="MS Mincho"/>
                <w:b/>
                <w:bCs/>
                <w:lang w:eastAsia="zh-CN" w:bidi="th-TH"/>
              </w:rPr>
            </w:pPr>
            <w:r w:rsidRPr="00654EDE">
              <w:rPr>
                <w:rFonts w:eastAsia="MS Mincho"/>
                <w:b/>
                <w:bCs/>
                <w:lang w:eastAsia="zh-CN" w:bidi="th-TH"/>
              </w:rPr>
              <w:t>15</w:t>
            </w:r>
            <w:r>
              <w:rPr>
                <w:rFonts w:eastAsia="MS Mincho"/>
                <w:b/>
                <w:bCs/>
                <w:lang w:eastAsia="zh-CN" w:bidi="th-TH"/>
              </w:rPr>
              <w:t>,</w:t>
            </w:r>
            <w:r w:rsidRPr="00654EDE">
              <w:rPr>
                <w:rFonts w:eastAsia="MS Mincho"/>
                <w:b/>
                <w:bCs/>
                <w:lang w:eastAsia="zh-CN" w:bidi="th-TH"/>
              </w:rPr>
              <w:t>7-16</w:t>
            </w:r>
            <w:r>
              <w:rPr>
                <w:rFonts w:eastAsia="MS Mincho"/>
                <w:b/>
                <w:bCs/>
                <w:lang w:eastAsia="zh-CN" w:bidi="th-TH"/>
              </w:rPr>
              <w:t>,</w:t>
            </w:r>
            <w:r w:rsidRPr="00654EDE">
              <w:rPr>
                <w:rFonts w:eastAsia="MS Mincho"/>
                <w:b/>
                <w:bCs/>
                <w:lang w:eastAsia="zh-CN" w:bidi="th-TH"/>
              </w:rPr>
              <w:t>6</w:t>
            </w:r>
          </w:p>
        </w:tc>
        <w:tc>
          <w:tcPr>
            <w:tcW w:w="590" w:type="dxa"/>
            <w:vAlign w:val="center"/>
          </w:tcPr>
          <w:p w:rsidR="00022A65" w:rsidRPr="00654EDE" w:rsidRDefault="00022A65" w:rsidP="00077CCE">
            <w:pPr>
              <w:pStyle w:val="Tabletext"/>
              <w:rPr>
                <w:rFonts w:eastAsia="MS Mincho"/>
                <w:b/>
                <w:bCs/>
                <w:lang w:eastAsia="zh-CN" w:bidi="th-TH"/>
              </w:rPr>
            </w:pPr>
            <w:r w:rsidRPr="00654EDE">
              <w:rPr>
                <w:rFonts w:eastAsia="MS Mincho"/>
                <w:b/>
                <w:bCs/>
                <w:lang w:eastAsia="zh-CN" w:bidi="th-TH"/>
              </w:rPr>
              <w:t>7</w:t>
            </w:r>
          </w:p>
        </w:tc>
      </w:tr>
      <w:tr w:rsidR="00022A65" w:rsidRPr="001F46B3" w:rsidTr="00B865D5">
        <w:trPr>
          <w:jc w:val="center"/>
        </w:trPr>
        <w:tc>
          <w:tcPr>
            <w:tcW w:w="2449" w:type="dxa"/>
            <w:vAlign w:val="center"/>
          </w:tcPr>
          <w:p w:rsidR="00022A65" w:rsidRPr="00654EDE" w:rsidRDefault="00022A65" w:rsidP="00FC1832">
            <w:pPr>
              <w:pStyle w:val="Tabletext"/>
              <w:jc w:val="center"/>
              <w:rPr>
                <w:rFonts w:eastAsia="MS Mincho"/>
                <w:lang w:eastAsia="zh-CN" w:bidi="th-TH"/>
              </w:rPr>
            </w:pPr>
            <w:r>
              <w:rPr>
                <w:rFonts w:eastAsia="MS Mincho"/>
                <w:lang w:eastAsia="zh-CN" w:bidi="th-TH"/>
              </w:rPr>
              <w:t>A/D</w:t>
            </w:r>
          </w:p>
        </w:tc>
        <w:tc>
          <w:tcPr>
            <w:tcW w:w="4191" w:type="dxa"/>
            <w:vAlign w:val="center"/>
          </w:tcPr>
          <w:p w:rsidR="00022A65" w:rsidRPr="00654EDE" w:rsidRDefault="00022A65" w:rsidP="00077CCE">
            <w:pPr>
              <w:pStyle w:val="Tabletext"/>
              <w:rPr>
                <w:rFonts w:eastAsia="MS Mincho"/>
                <w:lang w:eastAsia="zh-CN" w:bidi="th-TH"/>
              </w:rPr>
            </w:pPr>
            <w:r w:rsidRPr="00022A65">
              <w:rPr>
                <w:rFonts w:eastAsia="MS Mincho"/>
                <w:lang w:eastAsia="zh-CN" w:bidi="th-TH"/>
              </w:rPr>
              <w:t>Servicio de Radiolocalización</w:t>
            </w:r>
          </w:p>
        </w:tc>
        <w:tc>
          <w:tcPr>
            <w:tcW w:w="995" w:type="dxa"/>
            <w:vAlign w:val="center"/>
          </w:tcPr>
          <w:p w:rsidR="00022A65" w:rsidRPr="00654EDE" w:rsidRDefault="00022A65" w:rsidP="00077CCE">
            <w:pPr>
              <w:pStyle w:val="Tabletext"/>
              <w:rPr>
                <w:rFonts w:eastAsia="MS Mincho"/>
                <w:lang w:eastAsia="zh-CN" w:bidi="th-TH"/>
              </w:rPr>
            </w:pPr>
            <w:r w:rsidRPr="00022A65">
              <w:rPr>
                <w:rFonts w:eastAsia="MS Mincho"/>
                <w:lang w:eastAsia="zh-CN" w:bidi="th-TH"/>
              </w:rPr>
              <w:t>SRL</w:t>
            </w:r>
          </w:p>
        </w:tc>
        <w:tc>
          <w:tcPr>
            <w:tcW w:w="1603" w:type="dxa"/>
            <w:vAlign w:val="center"/>
          </w:tcPr>
          <w:p w:rsidR="00022A65" w:rsidRPr="00654EDE" w:rsidRDefault="00022A65" w:rsidP="00077CCE">
            <w:pPr>
              <w:pStyle w:val="Tabletext"/>
              <w:rPr>
                <w:rFonts w:eastAsia="MS Mincho"/>
                <w:b/>
                <w:bCs/>
                <w:lang w:eastAsia="zh-CN" w:bidi="th-TH"/>
              </w:rPr>
            </w:pPr>
            <w:r w:rsidRPr="00654EDE">
              <w:rPr>
                <w:rFonts w:eastAsia="MS Mincho"/>
                <w:b/>
                <w:bCs/>
                <w:lang w:eastAsia="zh-CN" w:bidi="th-TH"/>
              </w:rPr>
              <w:t>16</w:t>
            </w:r>
            <w:r>
              <w:rPr>
                <w:rFonts w:eastAsia="MS Mincho"/>
                <w:b/>
                <w:bCs/>
                <w:lang w:eastAsia="zh-CN" w:bidi="th-TH"/>
              </w:rPr>
              <w:t>,</w:t>
            </w:r>
            <w:r w:rsidRPr="00654EDE">
              <w:rPr>
                <w:rFonts w:eastAsia="MS Mincho"/>
                <w:b/>
                <w:bCs/>
                <w:lang w:eastAsia="zh-CN" w:bidi="th-TH"/>
              </w:rPr>
              <w:t>6-17</w:t>
            </w:r>
          </w:p>
        </w:tc>
        <w:tc>
          <w:tcPr>
            <w:tcW w:w="590" w:type="dxa"/>
            <w:vAlign w:val="center"/>
          </w:tcPr>
          <w:p w:rsidR="00022A65" w:rsidRPr="00654EDE" w:rsidRDefault="00022A65" w:rsidP="00077CCE">
            <w:pPr>
              <w:pStyle w:val="Tabletext"/>
              <w:rPr>
                <w:rFonts w:eastAsia="MS Mincho"/>
                <w:b/>
                <w:bCs/>
                <w:lang w:eastAsia="zh-CN" w:bidi="th-TH"/>
              </w:rPr>
            </w:pPr>
            <w:r w:rsidRPr="00654EDE">
              <w:rPr>
                <w:rFonts w:eastAsia="MS Mincho"/>
                <w:b/>
                <w:bCs/>
                <w:lang w:eastAsia="zh-CN" w:bidi="th-TH"/>
              </w:rPr>
              <w:t>8</w:t>
            </w:r>
          </w:p>
        </w:tc>
      </w:tr>
    </w:tbl>
    <w:p w:rsidR="00B90691" w:rsidRDefault="00B90691" w:rsidP="00070047">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
      </w:pPr>
    </w:p>
    <w:p w:rsidR="00B90691" w:rsidRPr="00022A65" w:rsidRDefault="00022A65" w:rsidP="00070047">
      <w:pPr>
        <w:pStyle w:val="Headingb"/>
      </w:pPr>
      <w:r w:rsidRPr="00022A65">
        <w:lastRenderedPageBreak/>
        <w:t>Propuestas de Irán para los puntos 1.6</w:t>
      </w:r>
      <w:r>
        <w:t>.1 y 1.6.2 del orden del día</w:t>
      </w:r>
    </w:p>
    <w:p w:rsidR="00B90691" w:rsidRPr="002709C1" w:rsidRDefault="00022A65" w:rsidP="00070047">
      <w:r w:rsidRPr="002709C1">
        <w:t xml:space="preserve">Esta administración ha </w:t>
      </w:r>
      <w:r w:rsidR="005237E2">
        <w:t>seguido</w:t>
      </w:r>
      <w:r w:rsidRPr="002709C1">
        <w:t xml:space="preserve"> las actividades de la CE</w:t>
      </w:r>
      <w:r w:rsidR="008D07B6">
        <w:t> </w:t>
      </w:r>
      <w:r w:rsidRPr="002709C1">
        <w:t xml:space="preserve">4 del UIT-R </w:t>
      </w:r>
      <w:r w:rsidR="002709C1" w:rsidRPr="002709C1">
        <w:t>y de la RPC15-2 y opin</w:t>
      </w:r>
      <w:r w:rsidR="002709C1">
        <w:t>a</w:t>
      </w:r>
      <w:r w:rsidR="002709C1" w:rsidRPr="002709C1">
        <w:t xml:space="preserve"> que: </w:t>
      </w:r>
    </w:p>
    <w:p w:rsidR="002709C1" w:rsidRPr="008D07B6" w:rsidRDefault="008D07B6" w:rsidP="008D07B6">
      <w:pPr>
        <w:pStyle w:val="enumlev1"/>
        <w:rPr>
          <w:rFonts w:eastAsia="MS Mincho"/>
          <w:lang w:bidi="th-TH"/>
        </w:rPr>
      </w:pPr>
      <w:r w:rsidRPr="003D7BD2">
        <w:rPr>
          <w:rFonts w:eastAsia="MS Mincho"/>
          <w:lang w:bidi="th-TH"/>
        </w:rPr>
        <w:t>–</w:t>
      </w:r>
      <w:r>
        <w:rPr>
          <w:rFonts w:eastAsia="MS Mincho"/>
          <w:lang w:bidi="th-TH"/>
        </w:rPr>
        <w:tab/>
      </w:r>
      <w:r w:rsidR="002709C1" w:rsidRPr="008D07B6">
        <w:rPr>
          <w:rFonts w:eastAsia="MS Mincho"/>
          <w:lang w:bidi="th-TH"/>
        </w:rPr>
        <w:t xml:space="preserve">La banda </w:t>
      </w:r>
      <w:r w:rsidR="00B90691" w:rsidRPr="008D07B6">
        <w:rPr>
          <w:rFonts w:eastAsia="MS Mincho"/>
          <w:lang w:bidi="th-TH"/>
        </w:rPr>
        <w:t>14</w:t>
      </w:r>
      <w:r w:rsidR="002709C1" w:rsidRPr="008D07B6">
        <w:rPr>
          <w:rFonts w:eastAsia="MS Mincho"/>
          <w:lang w:bidi="th-TH"/>
        </w:rPr>
        <w:t>,</w:t>
      </w:r>
      <w:r w:rsidR="00B90691" w:rsidRPr="008D07B6">
        <w:rPr>
          <w:rFonts w:eastAsia="MS Mincho"/>
          <w:lang w:bidi="th-TH"/>
        </w:rPr>
        <w:t>5-14</w:t>
      </w:r>
      <w:r w:rsidR="002709C1" w:rsidRPr="008D07B6">
        <w:rPr>
          <w:rFonts w:eastAsia="MS Mincho"/>
          <w:lang w:bidi="th-TH"/>
        </w:rPr>
        <w:t>,</w:t>
      </w:r>
      <w:r w:rsidR="00B90691" w:rsidRPr="008D07B6">
        <w:rPr>
          <w:rFonts w:eastAsia="MS Mincho"/>
          <w:lang w:bidi="th-TH"/>
        </w:rPr>
        <w:t xml:space="preserve">8 GHz </w:t>
      </w:r>
      <w:r w:rsidR="002709C1" w:rsidRPr="008D07B6">
        <w:rPr>
          <w:rFonts w:eastAsia="MS Mincho"/>
          <w:lang w:bidi="th-TH"/>
        </w:rPr>
        <w:t>se utiliza actualmente para los enlaces ascendentes del Plan de las Regiones 1 y 3</w:t>
      </w:r>
      <w:r w:rsidR="00035279" w:rsidRPr="008D07B6">
        <w:rPr>
          <w:rFonts w:eastAsia="MS Mincho"/>
          <w:lang w:bidi="th-TH"/>
        </w:rPr>
        <w:t xml:space="preserve"> </w:t>
      </w:r>
      <w:r w:rsidR="002709C1" w:rsidRPr="008D07B6">
        <w:rPr>
          <w:rFonts w:eastAsia="MS Mincho"/>
          <w:lang w:bidi="th-TH"/>
        </w:rPr>
        <w:t>del SRS, excepto en Europa. (Véase el Documento CPM15-2/41-</w:t>
      </w:r>
      <w:r w:rsidR="00035279" w:rsidRPr="008D07B6">
        <w:rPr>
          <w:rFonts w:eastAsia="MS Mincho"/>
          <w:lang w:bidi="th-TH"/>
        </w:rPr>
        <w:t>S</w:t>
      </w:r>
      <w:r>
        <w:rPr>
          <w:rFonts w:eastAsia="MS Mincho"/>
          <w:lang w:bidi="th-TH"/>
        </w:rPr>
        <w:t>).</w:t>
      </w:r>
    </w:p>
    <w:p w:rsidR="00035279" w:rsidRPr="001B3AF2" w:rsidRDefault="008D07B6" w:rsidP="008D07B6">
      <w:pPr>
        <w:pStyle w:val="enumlev1"/>
        <w:rPr>
          <w:rFonts w:eastAsia="MS Mincho"/>
          <w:lang w:bidi="th-TH"/>
        </w:rPr>
      </w:pPr>
      <w:r w:rsidRPr="003D7BD2">
        <w:rPr>
          <w:rFonts w:eastAsia="MS Mincho"/>
          <w:lang w:bidi="th-TH"/>
        </w:rPr>
        <w:t>–</w:t>
      </w:r>
      <w:r>
        <w:rPr>
          <w:rFonts w:eastAsia="MS Mincho"/>
          <w:lang w:bidi="th-TH"/>
        </w:rPr>
        <w:tab/>
      </w:r>
      <w:r w:rsidR="00070047" w:rsidRPr="00070047">
        <w:rPr>
          <w:rFonts w:eastAsia="MS Mincho"/>
          <w:lang w:bidi="th-TH"/>
        </w:rPr>
        <w:t xml:space="preserve">Los valores MPE actuales del Plan de asignaciones para algunos países en la banda </w:t>
      </w:r>
      <w:r w:rsidR="00070047" w:rsidRPr="00070047">
        <w:rPr>
          <w:rFonts w:eastAsia="MS Mincho"/>
          <w:cs/>
          <w:lang w:bidi="th-TH"/>
        </w:rPr>
        <w:t>‎</w:t>
      </w:r>
      <w:r w:rsidR="00070047" w:rsidRPr="00070047">
        <w:rPr>
          <w:rFonts w:eastAsia="MS Mincho"/>
          <w:lang w:bidi="th-TH"/>
        </w:rPr>
        <w:t>14,5-14,8 GHz ha empeorado y cualquier reducción adicional de estos valores MPE puede llevar a redes inviables, en contra del concepto de planificación</w:t>
      </w:r>
      <w:r>
        <w:rPr>
          <w:rFonts w:eastAsia="MS Mincho"/>
          <w:lang w:bidi="th-TH"/>
        </w:rPr>
        <w:t>.</w:t>
      </w:r>
      <w:r w:rsidR="00070047" w:rsidRPr="00070047">
        <w:rPr>
          <w:rFonts w:eastAsia="MS Mincho"/>
          <w:lang w:bidi="th-TH"/>
        </w:rPr>
        <w:t xml:space="preserve"> </w:t>
      </w:r>
      <w:r w:rsidR="00070047" w:rsidRPr="00070047">
        <w:rPr>
          <w:rFonts w:eastAsia="MS Mincho"/>
          <w:cs/>
          <w:lang w:bidi="th-TH"/>
        </w:rPr>
        <w:t>‎</w:t>
      </w:r>
      <w:r w:rsidR="00070047" w:rsidRPr="00070047">
        <w:rPr>
          <w:rFonts w:eastAsia="MS Mincho"/>
          <w:lang w:bidi="th-TH"/>
        </w:rPr>
        <w:t>(V</w:t>
      </w:r>
      <w:r w:rsidR="00070047">
        <w:rPr>
          <w:rFonts w:eastAsia="MS Mincho"/>
          <w:lang w:bidi="th-TH"/>
        </w:rPr>
        <w:t>éase el Documento CPM15</w:t>
      </w:r>
      <w:r w:rsidR="00070047">
        <w:rPr>
          <w:rFonts w:eastAsia="MS Mincho"/>
          <w:lang w:bidi="th-TH"/>
        </w:rPr>
        <w:noBreakHyphen/>
        <w:t>2/41-S)</w:t>
      </w:r>
      <w:r>
        <w:rPr>
          <w:rFonts w:eastAsia="MS Mincho"/>
          <w:lang w:bidi="th-TH"/>
        </w:rPr>
        <w:t>.</w:t>
      </w:r>
    </w:p>
    <w:p w:rsidR="001B3AF2" w:rsidRPr="001B3AF2" w:rsidRDefault="008D07B6" w:rsidP="008D07B6">
      <w:pPr>
        <w:pStyle w:val="enumlev1"/>
        <w:rPr>
          <w:rFonts w:eastAsia="MS Mincho"/>
          <w:lang w:bidi="th-TH"/>
        </w:rPr>
      </w:pPr>
      <w:r w:rsidRPr="003D7BD2">
        <w:rPr>
          <w:rFonts w:eastAsia="MS Mincho"/>
          <w:lang w:bidi="th-TH"/>
        </w:rPr>
        <w:t>–</w:t>
      </w:r>
      <w:r>
        <w:rPr>
          <w:rFonts w:eastAsia="MS Mincho"/>
          <w:lang w:bidi="th-TH"/>
        </w:rPr>
        <w:tab/>
      </w:r>
      <w:r w:rsidR="001B3AF2" w:rsidRPr="001B3AF2">
        <w:rPr>
          <w:rFonts w:eastAsia="MS Mincho"/>
          <w:lang w:bidi="th-TH"/>
        </w:rPr>
        <w:t xml:space="preserve">Los estudios de factibilidad elaborados por el UIT-R no muestran una compatibilidad </w:t>
      </w:r>
      <w:r w:rsidR="001B3AF2">
        <w:rPr>
          <w:rFonts w:eastAsia="MS Mincho"/>
          <w:lang w:bidi="th-TH"/>
        </w:rPr>
        <w:t xml:space="preserve">completa </w:t>
      </w:r>
      <w:r w:rsidR="005237E2">
        <w:rPr>
          <w:rFonts w:eastAsia="MS Mincho"/>
          <w:lang w:bidi="th-TH"/>
        </w:rPr>
        <w:t xml:space="preserve">para la compartición de esta banda </w:t>
      </w:r>
      <w:r w:rsidR="001B3AF2">
        <w:rPr>
          <w:rFonts w:eastAsia="MS Mincho"/>
          <w:lang w:bidi="th-TH"/>
        </w:rPr>
        <w:t>con los enlaces ascendentes del SFS (por ejem</w:t>
      </w:r>
      <w:r>
        <w:rPr>
          <w:rFonts w:eastAsia="MS Mincho"/>
          <w:lang w:bidi="th-TH"/>
        </w:rPr>
        <w:t>plo el caso de la compartición c</w:t>
      </w:r>
      <w:r w:rsidR="001B3AF2">
        <w:rPr>
          <w:rFonts w:eastAsia="MS Mincho"/>
          <w:lang w:bidi="th-TH"/>
        </w:rPr>
        <w:t>on el SMA en el caso descrito anteriormente).</w:t>
      </w:r>
    </w:p>
    <w:p w:rsidR="001B3AF2" w:rsidRPr="001B3AF2" w:rsidRDefault="008D07B6" w:rsidP="008D07B6">
      <w:pPr>
        <w:pStyle w:val="enumlev1"/>
        <w:rPr>
          <w:rFonts w:eastAsia="MS Mincho"/>
          <w:lang w:bidi="th-TH"/>
        </w:rPr>
      </w:pPr>
      <w:r w:rsidRPr="003D7BD2">
        <w:rPr>
          <w:rFonts w:eastAsia="MS Mincho"/>
          <w:lang w:bidi="th-TH"/>
        </w:rPr>
        <w:t>–</w:t>
      </w:r>
      <w:r>
        <w:rPr>
          <w:rFonts w:eastAsia="MS Mincho"/>
          <w:lang w:bidi="th-TH"/>
        </w:rPr>
        <w:tab/>
      </w:r>
      <w:r w:rsidR="001B3AF2" w:rsidRPr="001B3AF2">
        <w:rPr>
          <w:rFonts w:eastAsia="MS Mincho"/>
          <w:lang w:bidi="th-TH"/>
        </w:rPr>
        <w:t xml:space="preserve">Debido al gran número de enlaces ascendentes del SFS, </w:t>
      </w:r>
      <w:r w:rsidR="001B3AF2">
        <w:rPr>
          <w:rFonts w:eastAsia="MS Mincho"/>
          <w:lang w:bidi="th-TH"/>
        </w:rPr>
        <w:t xml:space="preserve">el efecto de </w:t>
      </w:r>
      <w:r w:rsidR="001B3AF2" w:rsidRPr="001B3AF2">
        <w:rPr>
          <w:rFonts w:eastAsia="MS Mincho"/>
          <w:lang w:bidi="th-TH"/>
        </w:rPr>
        <w:t>la</w:t>
      </w:r>
      <w:r w:rsidR="001B3AF2">
        <w:rPr>
          <w:rFonts w:eastAsia="MS Mincho"/>
          <w:lang w:bidi="th-TH"/>
        </w:rPr>
        <w:t>s</w:t>
      </w:r>
      <w:r w:rsidR="001B3AF2" w:rsidRPr="001B3AF2">
        <w:rPr>
          <w:rFonts w:eastAsia="MS Mincho"/>
          <w:lang w:bidi="th-TH"/>
        </w:rPr>
        <w:t xml:space="preserve"> interferencia</w:t>
      </w:r>
      <w:r w:rsidR="001B3AF2">
        <w:rPr>
          <w:rFonts w:eastAsia="MS Mincho"/>
          <w:lang w:bidi="th-TH"/>
        </w:rPr>
        <w:t>s</w:t>
      </w:r>
      <w:r w:rsidR="001B3AF2" w:rsidRPr="001B3AF2">
        <w:rPr>
          <w:rFonts w:eastAsia="MS Mincho"/>
          <w:lang w:bidi="th-TH"/>
        </w:rPr>
        <w:t xml:space="preserve"> </w:t>
      </w:r>
      <w:r w:rsidR="001B3AF2">
        <w:rPr>
          <w:rFonts w:eastAsia="MS Mincho"/>
          <w:lang w:bidi="th-TH"/>
        </w:rPr>
        <w:t>acumuladas al añadir el SFS en esta banda puede ser mucho mayor que el producido por el número limitado de estaciones consideradas en los estudios (por ejemplo</w:t>
      </w:r>
      <w:r w:rsidR="005237E2">
        <w:rPr>
          <w:rFonts w:eastAsia="MS Mincho"/>
          <w:lang w:bidi="th-TH"/>
        </w:rPr>
        <w:t>,</w:t>
      </w:r>
      <w:r w:rsidR="001B3AF2">
        <w:rPr>
          <w:rFonts w:eastAsia="MS Mincho"/>
          <w:lang w:bidi="th-TH"/>
        </w:rPr>
        <w:t xml:space="preserve"> de 1 a 6 enlaces ascendentes operativos de SFS)</w:t>
      </w:r>
    </w:p>
    <w:p w:rsidR="001B3AF2" w:rsidRPr="001B3AF2" w:rsidRDefault="001B3AF2" w:rsidP="00070047">
      <w:pPr>
        <w:rPr>
          <w:rFonts w:eastAsia="MS Mincho"/>
          <w:lang w:bidi="th-TH"/>
        </w:rPr>
      </w:pPr>
      <w:r w:rsidRPr="001B3AF2">
        <w:rPr>
          <w:rFonts w:eastAsia="MS Mincho"/>
          <w:lang w:bidi="th-TH"/>
        </w:rPr>
        <w:t>En consecuencia, esta Administración apoya el Método F1</w:t>
      </w:r>
      <w:r w:rsidR="008D07B6">
        <w:rPr>
          <w:rFonts w:eastAsia="MS Mincho"/>
          <w:lang w:bidi="th-TH"/>
        </w:rPr>
        <w:t xml:space="preserve"> </w:t>
      </w:r>
      <w:r w:rsidRPr="001B3AF2">
        <w:rPr>
          <w:rFonts w:eastAsia="MS Mincho"/>
          <w:lang w:bidi="th-TH"/>
        </w:rPr>
        <w:t xml:space="preserve">(NOC) </w:t>
      </w:r>
      <w:r w:rsidR="005237E2">
        <w:rPr>
          <w:rFonts w:eastAsia="MS Mincho"/>
          <w:lang w:bidi="th-TH"/>
        </w:rPr>
        <w:t>en</w:t>
      </w:r>
      <w:r w:rsidRPr="001B3AF2">
        <w:rPr>
          <w:rFonts w:eastAsia="MS Mincho"/>
          <w:lang w:bidi="th-TH"/>
        </w:rPr>
        <w:t xml:space="preserve"> </w:t>
      </w:r>
      <w:r>
        <w:rPr>
          <w:rFonts w:eastAsia="MS Mincho"/>
          <w:lang w:bidi="th-TH"/>
        </w:rPr>
        <w:t xml:space="preserve">la banda </w:t>
      </w:r>
      <w:r w:rsidRPr="001B3AF2">
        <w:rPr>
          <w:rFonts w:eastAsia="MS Mincho"/>
          <w:cs/>
          <w:lang w:bidi="th-TH"/>
        </w:rPr>
        <w:t>‎</w:t>
      </w:r>
      <w:r w:rsidRPr="001B3AF2">
        <w:rPr>
          <w:rFonts w:eastAsia="MS Mincho"/>
          <w:lang w:bidi="th-TH"/>
        </w:rPr>
        <w:t>14</w:t>
      </w:r>
      <w:r>
        <w:rPr>
          <w:rFonts w:eastAsia="MS Mincho"/>
          <w:lang w:bidi="th-TH"/>
        </w:rPr>
        <w:t>,</w:t>
      </w:r>
      <w:r w:rsidRPr="001B3AF2">
        <w:rPr>
          <w:rFonts w:eastAsia="MS Mincho"/>
          <w:lang w:bidi="th-TH"/>
        </w:rPr>
        <w:t>5-14</w:t>
      </w:r>
      <w:r>
        <w:rPr>
          <w:rFonts w:eastAsia="MS Mincho"/>
          <w:lang w:bidi="th-TH"/>
        </w:rPr>
        <w:t>,</w:t>
      </w:r>
      <w:r w:rsidRPr="001B3AF2">
        <w:rPr>
          <w:rFonts w:eastAsia="MS Mincho"/>
          <w:lang w:bidi="th-TH"/>
        </w:rPr>
        <w:t>8 GHz</w:t>
      </w:r>
      <w:r w:rsidR="005237E2">
        <w:rPr>
          <w:rFonts w:eastAsia="MS Mincho"/>
          <w:lang w:bidi="th-TH"/>
        </w:rPr>
        <w:t>,</w:t>
      </w:r>
      <w:r w:rsidRPr="001B3AF2">
        <w:rPr>
          <w:rFonts w:eastAsia="MS Mincho"/>
          <w:lang w:bidi="th-TH"/>
        </w:rPr>
        <w:t xml:space="preserve"> </w:t>
      </w:r>
      <w:r w:rsidR="005237E2">
        <w:rPr>
          <w:rFonts w:eastAsia="MS Mincho"/>
          <w:lang w:bidi="th-TH"/>
        </w:rPr>
        <w:t>para</w:t>
      </w:r>
      <w:r>
        <w:rPr>
          <w:rFonts w:eastAsia="MS Mincho"/>
          <w:lang w:bidi="th-TH"/>
        </w:rPr>
        <w:t xml:space="preserve"> </w:t>
      </w:r>
      <w:r w:rsidR="004C69CC">
        <w:rPr>
          <w:rFonts w:eastAsia="MS Mincho"/>
          <w:lang w:bidi="th-TH"/>
        </w:rPr>
        <w:t>los</w:t>
      </w:r>
      <w:r>
        <w:rPr>
          <w:rFonts w:eastAsia="MS Mincho"/>
          <w:lang w:bidi="th-TH"/>
        </w:rPr>
        <w:t xml:space="preserve"> punto</w:t>
      </w:r>
      <w:r w:rsidR="004C69CC">
        <w:rPr>
          <w:rFonts w:eastAsia="MS Mincho"/>
          <w:lang w:bidi="th-TH"/>
        </w:rPr>
        <w:t>s</w:t>
      </w:r>
      <w:r>
        <w:rPr>
          <w:rFonts w:eastAsia="MS Mincho"/>
          <w:lang w:bidi="th-TH"/>
        </w:rPr>
        <w:t xml:space="preserve"> 1.6.1 y 1.6.2 del orden del día</w:t>
      </w:r>
      <w:r w:rsidR="004C69CC">
        <w:rPr>
          <w:rFonts w:eastAsia="MS Mincho"/>
          <w:lang w:bidi="th-TH"/>
        </w:rPr>
        <w:t>.</w:t>
      </w:r>
      <w:r w:rsidRPr="001B3AF2">
        <w:rPr>
          <w:rFonts w:eastAsia="MS Mincho"/>
          <w:cs/>
          <w:lang w:bidi="th-TH"/>
        </w:rPr>
        <w:t>‎</w:t>
      </w:r>
    </w:p>
    <w:p w:rsidR="00B90691" w:rsidRPr="00165C50" w:rsidRDefault="004C69CC" w:rsidP="00070047">
      <w:pPr>
        <w:pStyle w:val="Headingb"/>
      </w:pPr>
      <w:r>
        <w:t>Propuestas</w:t>
      </w:r>
    </w:p>
    <w:p w:rsidR="00363A65" w:rsidRDefault="00363A65" w:rsidP="00070047"/>
    <w:p w:rsidR="008D07B6" w:rsidRDefault="008D07B6">
      <w:pPr>
        <w:tabs>
          <w:tab w:val="clear" w:pos="1134"/>
          <w:tab w:val="clear" w:pos="1871"/>
          <w:tab w:val="clear" w:pos="2268"/>
        </w:tabs>
        <w:overflowPunct/>
        <w:autoSpaceDE/>
        <w:autoSpaceDN/>
        <w:adjustRightInd/>
        <w:spacing w:before="0"/>
        <w:textAlignment w:val="auto"/>
      </w:pPr>
      <w:r>
        <w:br w:type="page"/>
      </w:r>
    </w:p>
    <w:p w:rsidR="00574DB0" w:rsidRPr="00245062" w:rsidRDefault="00061760" w:rsidP="00070047">
      <w:pPr>
        <w:pStyle w:val="ArtNo"/>
      </w:pPr>
      <w:r w:rsidRPr="00245062">
        <w:lastRenderedPageBreak/>
        <w:t xml:space="preserve">ARTÍCULO </w:t>
      </w:r>
      <w:r w:rsidRPr="00245062">
        <w:rPr>
          <w:rStyle w:val="href"/>
        </w:rPr>
        <w:t>5</w:t>
      </w:r>
    </w:p>
    <w:p w:rsidR="00574DB0" w:rsidRPr="00F63BD5" w:rsidRDefault="00061760" w:rsidP="00070047">
      <w:pPr>
        <w:pStyle w:val="Arttitle"/>
      </w:pPr>
      <w:r w:rsidRPr="00245062">
        <w:t>Atribuciones de frecuencia</w:t>
      </w:r>
    </w:p>
    <w:p w:rsidR="00574DB0" w:rsidRPr="00245062" w:rsidRDefault="00061760" w:rsidP="00070047">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Pr="00245062">
        <w:br/>
      </w:r>
    </w:p>
    <w:p w:rsidR="007E7516" w:rsidRDefault="00061760" w:rsidP="00070047">
      <w:pPr>
        <w:pStyle w:val="Proposal"/>
      </w:pPr>
      <w:r>
        <w:rPr>
          <w:u w:val="single"/>
        </w:rPr>
        <w:t>NOC</w:t>
      </w:r>
      <w:r>
        <w:tab/>
        <w:t>IRN/61A6/1</w:t>
      </w:r>
    </w:p>
    <w:p w:rsidR="00574DB0" w:rsidRPr="00245062" w:rsidRDefault="00061760" w:rsidP="00070047">
      <w:pPr>
        <w:pStyle w:val="Tabletitle"/>
      </w:pPr>
      <w:r w:rsidRPr="00245062">
        <w:t>14-15,4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574DB0" w:rsidRPr="00245062" w:rsidTr="00574DB0">
        <w:trPr>
          <w:cantSplit/>
        </w:trPr>
        <w:tc>
          <w:tcPr>
            <w:tcW w:w="9303" w:type="dxa"/>
            <w:gridSpan w:val="3"/>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Atribución a los servicios</w:t>
            </w:r>
          </w:p>
        </w:tc>
      </w:tr>
      <w:tr w:rsidR="00574DB0" w:rsidRPr="00245062" w:rsidTr="00574DB0">
        <w:trPr>
          <w:cantSplit/>
        </w:trPr>
        <w:tc>
          <w:tcPr>
            <w:tcW w:w="3101" w:type="dxa"/>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Región 3</w:t>
            </w:r>
          </w:p>
        </w:tc>
      </w:tr>
      <w:tr w:rsidR="00574DB0" w:rsidRPr="00245062" w:rsidTr="00574DB0">
        <w:trPr>
          <w:cantSplit/>
        </w:trPr>
        <w:tc>
          <w:tcPr>
            <w:tcW w:w="9303" w:type="dxa"/>
            <w:gridSpan w:val="3"/>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TextS5"/>
              <w:spacing w:before="30" w:after="30"/>
              <w:rPr>
                <w:color w:val="000000"/>
              </w:rPr>
            </w:pPr>
            <w:r w:rsidRPr="00245062">
              <w:rPr>
                <w:rStyle w:val="Tablefreq"/>
                <w:color w:val="000000"/>
              </w:rPr>
              <w:t>14,5-14,8</w:t>
            </w:r>
            <w:r w:rsidRPr="00245062">
              <w:rPr>
                <w:color w:val="000000"/>
              </w:rPr>
              <w:tab/>
              <w:t>FIJO</w:t>
            </w:r>
          </w:p>
          <w:p w:rsidR="00574DB0" w:rsidRPr="00245062" w:rsidRDefault="00061760" w:rsidP="0007004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 xml:space="preserve">FIJO POR SATÉLITE (Tierra-espacio)  </w:t>
            </w:r>
            <w:r w:rsidRPr="00245062">
              <w:rPr>
                <w:rStyle w:val="Artref"/>
                <w:color w:val="000000"/>
              </w:rPr>
              <w:t>5.510</w:t>
            </w:r>
          </w:p>
          <w:p w:rsidR="00574DB0" w:rsidRPr="00245062" w:rsidRDefault="00061760" w:rsidP="0007004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MÓVIL</w:t>
            </w:r>
          </w:p>
          <w:p w:rsidR="00574DB0" w:rsidRPr="00245062" w:rsidRDefault="00061760" w:rsidP="0007004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w:t>
            </w:r>
          </w:p>
        </w:tc>
      </w:tr>
    </w:tbl>
    <w:p w:rsidR="007E7516" w:rsidRDefault="00061760" w:rsidP="00070047">
      <w:pPr>
        <w:pStyle w:val="Reasons"/>
      </w:pPr>
      <w:r>
        <w:rPr>
          <w:b/>
        </w:rPr>
        <w:t>Motivos:</w:t>
      </w:r>
      <w:r>
        <w:tab/>
      </w:r>
      <w:r w:rsidR="000C51E1" w:rsidRPr="00867EA9">
        <w:rPr>
          <w:lang w:eastAsia="en-GB"/>
        </w:rPr>
        <w:t>Cada estación terrena del SFS crea un volumen donde se rebasa el criterio de protección del SMA, como se indica en los estudios. Tal volumen puede extenderse varios cientos de kilómetros en latitud y longitud e impedir el funcionamiento del SMA.</w:t>
      </w:r>
    </w:p>
    <w:p w:rsidR="007E7516" w:rsidRDefault="00061760" w:rsidP="00070047">
      <w:pPr>
        <w:pStyle w:val="Proposal"/>
      </w:pPr>
      <w:r>
        <w:rPr>
          <w:u w:val="single"/>
        </w:rPr>
        <w:t>NOC</w:t>
      </w:r>
      <w:r>
        <w:tab/>
        <w:t>IRN/61A6/2</w:t>
      </w:r>
    </w:p>
    <w:p w:rsidR="00574DB0" w:rsidRPr="00245062" w:rsidRDefault="00061760" w:rsidP="00070047">
      <w:pPr>
        <w:pStyle w:val="Tabletitle"/>
      </w:pPr>
      <w:r w:rsidRPr="00245062">
        <w:t>14-15,4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574DB0" w:rsidRPr="00245062" w:rsidTr="00574DB0">
        <w:trPr>
          <w:cantSplit/>
        </w:trPr>
        <w:tc>
          <w:tcPr>
            <w:tcW w:w="9303" w:type="dxa"/>
            <w:gridSpan w:val="3"/>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Atribución a los servicios</w:t>
            </w:r>
          </w:p>
        </w:tc>
      </w:tr>
      <w:tr w:rsidR="00574DB0" w:rsidRPr="00245062" w:rsidTr="00574DB0">
        <w:trPr>
          <w:cantSplit/>
        </w:trPr>
        <w:tc>
          <w:tcPr>
            <w:tcW w:w="3101" w:type="dxa"/>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head"/>
              <w:spacing w:before="60" w:after="60"/>
              <w:rPr>
                <w:color w:val="000000"/>
              </w:rPr>
            </w:pPr>
            <w:r w:rsidRPr="00245062">
              <w:rPr>
                <w:color w:val="000000"/>
              </w:rPr>
              <w:t>Región 3</w:t>
            </w:r>
          </w:p>
        </w:tc>
      </w:tr>
      <w:tr w:rsidR="00574DB0" w:rsidRPr="00245062" w:rsidTr="00574DB0">
        <w:trPr>
          <w:cantSplit/>
        </w:trPr>
        <w:tc>
          <w:tcPr>
            <w:tcW w:w="9303" w:type="dxa"/>
            <w:gridSpan w:val="3"/>
            <w:tcBorders>
              <w:top w:val="single" w:sz="6" w:space="0" w:color="auto"/>
              <w:left w:val="single" w:sz="6" w:space="0" w:color="auto"/>
              <w:bottom w:val="single" w:sz="6" w:space="0" w:color="auto"/>
              <w:right w:val="single" w:sz="6" w:space="0" w:color="auto"/>
            </w:tcBorders>
          </w:tcPr>
          <w:p w:rsidR="00574DB0" w:rsidRPr="00245062" w:rsidRDefault="00061760" w:rsidP="00070047">
            <w:pPr>
              <w:pStyle w:val="TableTextS5"/>
              <w:spacing w:before="30" w:after="30"/>
              <w:rPr>
                <w:color w:val="000000"/>
              </w:rPr>
            </w:pPr>
            <w:r w:rsidRPr="00245062">
              <w:rPr>
                <w:rStyle w:val="Tablefreq"/>
                <w:color w:val="000000"/>
              </w:rPr>
              <w:t>14,5-14,8</w:t>
            </w:r>
            <w:r w:rsidRPr="00245062">
              <w:rPr>
                <w:color w:val="000000"/>
              </w:rPr>
              <w:tab/>
              <w:t>FIJO</w:t>
            </w:r>
          </w:p>
          <w:p w:rsidR="00574DB0" w:rsidRPr="00245062" w:rsidRDefault="00061760" w:rsidP="0007004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 xml:space="preserve">FIJO POR SATÉLITE (Tierra-espacio)  </w:t>
            </w:r>
            <w:r w:rsidRPr="00245062">
              <w:rPr>
                <w:rStyle w:val="Artref"/>
                <w:color w:val="000000"/>
              </w:rPr>
              <w:t>5.510</w:t>
            </w:r>
          </w:p>
          <w:p w:rsidR="00574DB0" w:rsidRPr="00245062" w:rsidRDefault="00061760" w:rsidP="0007004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MÓVIL</w:t>
            </w:r>
          </w:p>
          <w:p w:rsidR="00574DB0" w:rsidRPr="00245062" w:rsidRDefault="00061760" w:rsidP="00070047">
            <w:pPr>
              <w:pStyle w:val="TableTextS5"/>
              <w:spacing w:before="30" w:after="30"/>
              <w:rPr>
                <w:color w:val="000000"/>
              </w:rPr>
            </w:pPr>
            <w:r w:rsidRPr="00245062">
              <w:rPr>
                <w:color w:val="000000"/>
              </w:rPr>
              <w:tab/>
            </w:r>
            <w:r w:rsidRPr="00245062">
              <w:rPr>
                <w:color w:val="000000"/>
              </w:rPr>
              <w:tab/>
            </w:r>
            <w:r w:rsidRPr="00245062">
              <w:rPr>
                <w:color w:val="000000"/>
              </w:rPr>
              <w:tab/>
            </w:r>
            <w:r w:rsidRPr="00245062">
              <w:rPr>
                <w:color w:val="000000"/>
              </w:rPr>
              <w:tab/>
              <w:t>Investigación espacial</w:t>
            </w:r>
          </w:p>
        </w:tc>
      </w:tr>
    </w:tbl>
    <w:p w:rsidR="007E7516" w:rsidRDefault="00061760" w:rsidP="00070047">
      <w:pPr>
        <w:pStyle w:val="Reasons"/>
        <w:rPr>
          <w:lang w:eastAsia="en-GB"/>
        </w:rPr>
      </w:pPr>
      <w:r>
        <w:rPr>
          <w:b/>
        </w:rPr>
        <w:t>Motivos:</w:t>
      </w:r>
      <w:r>
        <w:tab/>
      </w:r>
      <w:r w:rsidR="000C51E1" w:rsidRPr="00867EA9">
        <w:rPr>
          <w:lang w:eastAsia="en-GB"/>
        </w:rPr>
        <w:t>Cada estación terrena del SFS crea un volumen donde se rebasa el criterio de protección del SMA, como se indica en los estudios. Tal volumen puede extenderse varios cientos de kilómetros en latitud y longitud e impedir el funcionamiento del SMA.</w:t>
      </w:r>
    </w:p>
    <w:p w:rsidR="00061760" w:rsidRDefault="00061760" w:rsidP="00070047">
      <w:pPr>
        <w:pStyle w:val="Reasons"/>
      </w:pPr>
    </w:p>
    <w:p w:rsidR="00061760" w:rsidRDefault="00061760" w:rsidP="008D07B6">
      <w:pPr>
        <w:jc w:val="center"/>
      </w:pPr>
      <w:r>
        <w:t>_____________</w:t>
      </w:r>
    </w:p>
    <w:p w:rsidR="00061760" w:rsidRDefault="00061760" w:rsidP="00070047">
      <w:pPr>
        <w:pStyle w:val="Reasons"/>
      </w:pPr>
    </w:p>
    <w:p w:rsidR="008D07B6" w:rsidRDefault="008D07B6" w:rsidP="00070047">
      <w:pPr>
        <w:pStyle w:val="Reasons"/>
      </w:pPr>
    </w:p>
    <w:sectPr w:rsidR="008D07B6">
      <w:headerReference w:type="even" r:id="rId13"/>
      <w:headerReference w:type="default" r:id="rId14"/>
      <w:footerReference w:type="even" r:id="rId15"/>
      <w:footerReference w:type="default" r:id="rId16"/>
      <w:headerReference w:type="first" r:id="rId17"/>
      <w:footerReference w:type="first" r:id="rId18"/>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B0" w:rsidRDefault="00574DB0">
      <w:r>
        <w:separator/>
      </w:r>
    </w:p>
  </w:endnote>
  <w:endnote w:type="continuationSeparator" w:id="0">
    <w:p w:rsidR="00574DB0" w:rsidRDefault="0057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B0" w:rsidRDefault="00574D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4DB0" w:rsidRPr="00FC1832" w:rsidRDefault="00574DB0">
    <w:pPr>
      <w:ind w:right="360"/>
    </w:pPr>
    <w:r>
      <w:fldChar w:fldCharType="begin"/>
    </w:r>
    <w:r w:rsidRPr="00FC1832">
      <w:instrText xml:space="preserve"> FILENAME \p  \* MERGEFORMAT </w:instrText>
    </w:r>
    <w:r>
      <w:fldChar w:fldCharType="separate"/>
    </w:r>
    <w:r w:rsidR="00CE39CA">
      <w:rPr>
        <w:noProof/>
      </w:rPr>
      <w:t>P:\ESP\ITU-R\CONF-R\CMR15\000\061ADD06S.docx</w:t>
    </w:r>
    <w:r>
      <w:fldChar w:fldCharType="end"/>
    </w:r>
    <w:r w:rsidRPr="00FC1832">
      <w:tab/>
    </w:r>
    <w:r>
      <w:fldChar w:fldCharType="begin"/>
    </w:r>
    <w:r>
      <w:instrText xml:space="preserve"> SAVEDATE \@ DD.MM.YY </w:instrText>
    </w:r>
    <w:r>
      <w:fldChar w:fldCharType="separate"/>
    </w:r>
    <w:r w:rsidR="00CE39CA">
      <w:rPr>
        <w:noProof/>
      </w:rPr>
      <w:t>26.10.15</w:t>
    </w:r>
    <w:r>
      <w:fldChar w:fldCharType="end"/>
    </w:r>
    <w:r w:rsidRPr="00FC1832">
      <w:tab/>
    </w:r>
    <w:r>
      <w:fldChar w:fldCharType="begin"/>
    </w:r>
    <w:r>
      <w:instrText xml:space="preserve"> PRINTDATE \@ DD.MM.YY </w:instrText>
    </w:r>
    <w:r>
      <w:fldChar w:fldCharType="separate"/>
    </w:r>
    <w:r w:rsidR="00CE39CA">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B0" w:rsidRPr="00E32690" w:rsidRDefault="00C264F8" w:rsidP="00E32690">
    <w:pPr>
      <w:pStyle w:val="Footer"/>
    </w:pPr>
    <w:r>
      <w:fldChar w:fldCharType="begin"/>
    </w:r>
    <w:r>
      <w:instrText xml:space="preserve"> FILENAME \p  \* MERGEFORMAT </w:instrText>
    </w:r>
    <w:r>
      <w:fldChar w:fldCharType="separate"/>
    </w:r>
    <w:r w:rsidR="00CE39CA">
      <w:t>P:\ESP\ITU-R\CONF-R\CMR15\000\061ADD06S.docx</w:t>
    </w:r>
    <w:r>
      <w:fldChar w:fldCharType="end"/>
    </w:r>
    <w:r w:rsidR="00E32690">
      <w:t xml:space="preserve"> (388284)</w:t>
    </w:r>
    <w:r w:rsidR="00E32690">
      <w:tab/>
    </w:r>
    <w:r w:rsidR="00E32690">
      <w:fldChar w:fldCharType="begin"/>
    </w:r>
    <w:r w:rsidR="00E32690">
      <w:instrText xml:space="preserve"> SAVEDATE \@ DD.MM.YY </w:instrText>
    </w:r>
    <w:r w:rsidR="00E32690">
      <w:fldChar w:fldCharType="separate"/>
    </w:r>
    <w:r w:rsidR="00CE39CA">
      <w:t>26.10.15</w:t>
    </w:r>
    <w:r w:rsidR="00E32690">
      <w:fldChar w:fldCharType="end"/>
    </w:r>
    <w:r w:rsidR="00E32690">
      <w:tab/>
    </w:r>
    <w:r w:rsidR="00E32690">
      <w:fldChar w:fldCharType="begin"/>
    </w:r>
    <w:r w:rsidR="00E32690">
      <w:instrText xml:space="preserve"> PRINTDATE \@ DD.MM.YY </w:instrText>
    </w:r>
    <w:r w:rsidR="00E32690">
      <w:fldChar w:fldCharType="separate"/>
    </w:r>
    <w:r w:rsidR="00CE39CA">
      <w:t>26.10.15</w:t>
    </w:r>
    <w:r w:rsidR="00E32690">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B0" w:rsidRPr="00E32690" w:rsidRDefault="00077CCE" w:rsidP="00E32690">
    <w:pPr>
      <w:pStyle w:val="Footer"/>
    </w:pPr>
    <w:fldSimple w:instr=" FILENAME \p  \* MERGEFORMAT ">
      <w:r w:rsidR="00CE39CA">
        <w:t>P:\ESP\ITU-R\CONF-R\CMR15\000\061ADD06S.docx</w:t>
      </w:r>
    </w:fldSimple>
    <w:r w:rsidR="00E32690">
      <w:t xml:space="preserve"> (388284)</w:t>
    </w:r>
    <w:r w:rsidR="00E32690">
      <w:tab/>
    </w:r>
    <w:r w:rsidR="00E32690">
      <w:fldChar w:fldCharType="begin"/>
    </w:r>
    <w:r w:rsidR="00E32690">
      <w:instrText xml:space="preserve"> SAVEDATE \@ DD.MM.YY </w:instrText>
    </w:r>
    <w:r w:rsidR="00E32690">
      <w:fldChar w:fldCharType="separate"/>
    </w:r>
    <w:r w:rsidR="00CE39CA">
      <w:t>26.10.15</w:t>
    </w:r>
    <w:r w:rsidR="00E32690">
      <w:fldChar w:fldCharType="end"/>
    </w:r>
    <w:r w:rsidR="00E32690">
      <w:tab/>
    </w:r>
    <w:r w:rsidR="00E32690">
      <w:fldChar w:fldCharType="begin"/>
    </w:r>
    <w:r w:rsidR="00E32690">
      <w:instrText xml:space="preserve"> PRINTDATE \@ DD.MM.YY </w:instrText>
    </w:r>
    <w:r w:rsidR="00E32690">
      <w:fldChar w:fldCharType="separate"/>
    </w:r>
    <w:r w:rsidR="00CE39CA">
      <w:t>26.10.15</w:t>
    </w:r>
    <w:r w:rsidR="00E3269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B0" w:rsidRDefault="00574DB0">
      <w:r>
        <w:rPr>
          <w:b/>
        </w:rPr>
        <w:t>_______________</w:t>
      </w:r>
    </w:p>
  </w:footnote>
  <w:footnote w:type="continuationSeparator" w:id="0">
    <w:p w:rsidR="00574DB0" w:rsidRDefault="00574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690" w:rsidRDefault="00E32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DB0" w:rsidRDefault="00574DB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264F8">
      <w:rPr>
        <w:rStyle w:val="PageNumber"/>
        <w:noProof/>
      </w:rPr>
      <w:t>4</w:t>
    </w:r>
    <w:r>
      <w:rPr>
        <w:rStyle w:val="PageNumber"/>
      </w:rPr>
      <w:fldChar w:fldCharType="end"/>
    </w:r>
  </w:p>
  <w:p w:rsidR="00574DB0" w:rsidRDefault="00574DB0" w:rsidP="00E54754">
    <w:pPr>
      <w:pStyle w:val="Header"/>
      <w:rPr>
        <w:lang w:val="en-US"/>
      </w:rPr>
    </w:pPr>
    <w:r>
      <w:rPr>
        <w:lang w:val="en-US"/>
      </w:rPr>
      <w:t>CMR15/</w:t>
    </w:r>
    <w:r>
      <w:t>61(Add.6)-</w:t>
    </w:r>
    <w:r w:rsidRPr="003248A9">
      <w: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690" w:rsidRDefault="00E32690" w:rsidP="00E32690">
    <w:pPr>
      <w:pStyle w:val="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40177B23"/>
    <w:multiLevelType w:val="hybridMultilevel"/>
    <w:tmpl w:val="37844B1E"/>
    <w:lvl w:ilvl="0" w:tplc="CA4A308E">
      <w:start w:val="2"/>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2A65"/>
    <w:rsid w:val="0002785D"/>
    <w:rsid w:val="00035279"/>
    <w:rsid w:val="00037D03"/>
    <w:rsid w:val="00061760"/>
    <w:rsid w:val="00070047"/>
    <w:rsid w:val="00076A56"/>
    <w:rsid w:val="00077CCE"/>
    <w:rsid w:val="00087AE8"/>
    <w:rsid w:val="000A5B9A"/>
    <w:rsid w:val="000A69CA"/>
    <w:rsid w:val="000C51E1"/>
    <w:rsid w:val="000E5BF9"/>
    <w:rsid w:val="000F0E6D"/>
    <w:rsid w:val="000F17A6"/>
    <w:rsid w:val="00121170"/>
    <w:rsid w:val="00123CC5"/>
    <w:rsid w:val="0015142D"/>
    <w:rsid w:val="001616DC"/>
    <w:rsid w:val="00163962"/>
    <w:rsid w:val="00165C50"/>
    <w:rsid w:val="00187BFC"/>
    <w:rsid w:val="00191A97"/>
    <w:rsid w:val="001A083F"/>
    <w:rsid w:val="001B3AF2"/>
    <w:rsid w:val="001C41FA"/>
    <w:rsid w:val="001E2B52"/>
    <w:rsid w:val="001E3F27"/>
    <w:rsid w:val="00236D2A"/>
    <w:rsid w:val="00255F12"/>
    <w:rsid w:val="00262C09"/>
    <w:rsid w:val="002709C1"/>
    <w:rsid w:val="002A791F"/>
    <w:rsid w:val="002C1B26"/>
    <w:rsid w:val="002C5D6C"/>
    <w:rsid w:val="002C681A"/>
    <w:rsid w:val="002E701F"/>
    <w:rsid w:val="002E74D6"/>
    <w:rsid w:val="003248A9"/>
    <w:rsid w:val="00324FFA"/>
    <w:rsid w:val="0032680B"/>
    <w:rsid w:val="00345E77"/>
    <w:rsid w:val="00363A65"/>
    <w:rsid w:val="00375ED2"/>
    <w:rsid w:val="003B1E8C"/>
    <w:rsid w:val="003C2508"/>
    <w:rsid w:val="003D0AA3"/>
    <w:rsid w:val="003D5ABE"/>
    <w:rsid w:val="0042421F"/>
    <w:rsid w:val="00440B3A"/>
    <w:rsid w:val="0045384C"/>
    <w:rsid w:val="00454553"/>
    <w:rsid w:val="004B124A"/>
    <w:rsid w:val="004C69CC"/>
    <w:rsid w:val="005133B5"/>
    <w:rsid w:val="005237E2"/>
    <w:rsid w:val="00532097"/>
    <w:rsid w:val="00574DB0"/>
    <w:rsid w:val="0058350F"/>
    <w:rsid w:val="00583C7E"/>
    <w:rsid w:val="005D46FB"/>
    <w:rsid w:val="005F2605"/>
    <w:rsid w:val="005F3B0E"/>
    <w:rsid w:val="005F559C"/>
    <w:rsid w:val="00662BA0"/>
    <w:rsid w:val="00692AAE"/>
    <w:rsid w:val="006D6E67"/>
    <w:rsid w:val="006E1A13"/>
    <w:rsid w:val="00701C20"/>
    <w:rsid w:val="00702F3D"/>
    <w:rsid w:val="0070518E"/>
    <w:rsid w:val="00716EC6"/>
    <w:rsid w:val="007354E9"/>
    <w:rsid w:val="00765578"/>
    <w:rsid w:val="0077084A"/>
    <w:rsid w:val="007952C7"/>
    <w:rsid w:val="007C0B95"/>
    <w:rsid w:val="007C2317"/>
    <w:rsid w:val="007D330A"/>
    <w:rsid w:val="007E122A"/>
    <w:rsid w:val="007E7516"/>
    <w:rsid w:val="0082463D"/>
    <w:rsid w:val="0085557C"/>
    <w:rsid w:val="00866AE6"/>
    <w:rsid w:val="008750A8"/>
    <w:rsid w:val="008D07B6"/>
    <w:rsid w:val="008E5AF2"/>
    <w:rsid w:val="0090121B"/>
    <w:rsid w:val="009144C9"/>
    <w:rsid w:val="0094091F"/>
    <w:rsid w:val="00973754"/>
    <w:rsid w:val="009C0BED"/>
    <w:rsid w:val="009E11EC"/>
    <w:rsid w:val="00A118DB"/>
    <w:rsid w:val="00A4450C"/>
    <w:rsid w:val="00AA5E6C"/>
    <w:rsid w:val="00AC595E"/>
    <w:rsid w:val="00AC6D2C"/>
    <w:rsid w:val="00AE5677"/>
    <w:rsid w:val="00AE658F"/>
    <w:rsid w:val="00AF2F78"/>
    <w:rsid w:val="00B239FA"/>
    <w:rsid w:val="00B52D55"/>
    <w:rsid w:val="00B8288C"/>
    <w:rsid w:val="00B865D5"/>
    <w:rsid w:val="00B90691"/>
    <w:rsid w:val="00BE2E80"/>
    <w:rsid w:val="00BE5EDD"/>
    <w:rsid w:val="00BE6A1F"/>
    <w:rsid w:val="00C126C4"/>
    <w:rsid w:val="00C264F8"/>
    <w:rsid w:val="00C63EB5"/>
    <w:rsid w:val="00C95230"/>
    <w:rsid w:val="00CB4AC7"/>
    <w:rsid w:val="00CC01E0"/>
    <w:rsid w:val="00CD5FEE"/>
    <w:rsid w:val="00CE39CA"/>
    <w:rsid w:val="00CE60D2"/>
    <w:rsid w:val="00CE7431"/>
    <w:rsid w:val="00D0288A"/>
    <w:rsid w:val="00D21070"/>
    <w:rsid w:val="00D5529E"/>
    <w:rsid w:val="00D72A5D"/>
    <w:rsid w:val="00DC629B"/>
    <w:rsid w:val="00E05BFF"/>
    <w:rsid w:val="00E262F1"/>
    <w:rsid w:val="00E3176A"/>
    <w:rsid w:val="00E32690"/>
    <w:rsid w:val="00E54754"/>
    <w:rsid w:val="00E56BD3"/>
    <w:rsid w:val="00E71D14"/>
    <w:rsid w:val="00E86B58"/>
    <w:rsid w:val="00ED6AA4"/>
    <w:rsid w:val="00F66597"/>
    <w:rsid w:val="00F675D0"/>
    <w:rsid w:val="00F7374B"/>
    <w:rsid w:val="00F8150C"/>
    <w:rsid w:val="00FC1832"/>
    <w:rsid w:val="00FC5CB1"/>
    <w:rsid w:val="00FC6723"/>
    <w:rsid w:val="00FD1E5F"/>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7B4FE62-0F9F-4C93-94E8-236E06EF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paragraph" w:styleId="ListParagraph">
    <w:name w:val="List Paragraph"/>
    <w:basedOn w:val="Normal"/>
    <w:link w:val="ListParagraphChar"/>
    <w:uiPriority w:val="34"/>
    <w:qFormat/>
    <w:rsid w:val="00B90691"/>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GB" w:bidi="fa-IR"/>
    </w:rPr>
  </w:style>
  <w:style w:type="character" w:customStyle="1" w:styleId="ListParagraphChar">
    <w:name w:val="List Paragraph Char"/>
    <w:link w:val="ListParagraph"/>
    <w:uiPriority w:val="34"/>
    <w:locked/>
    <w:rsid w:val="00B90691"/>
    <w:rPr>
      <w:rFonts w:ascii="Times New Roman" w:eastAsia="BatangChe" w:hAnsi="Times New Roman"/>
      <w:sz w:val="24"/>
      <w:szCs w:val="24"/>
      <w:lang w:val="en-GB" w:eastAsia="en-US" w:bidi="fa-IR"/>
    </w:rPr>
  </w:style>
  <w:style w:type="paragraph" w:customStyle="1" w:styleId="Tableheadt">
    <w:name w:val="Tablehead t"/>
    <w:basedOn w:val="Normal"/>
    <w:rsid w:val="00070047"/>
    <w:pPr>
      <w:jc w:val="center"/>
    </w:pPr>
    <w:rPr>
      <w:rFonts w:ascii="CG Times" w:eastAsia="MS Mincho" w:hAnsi="CG Times"/>
      <w:b/>
      <w:bCs/>
      <w:sz w:val="2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R15-WRC15-C-0061!A6!MSW-S</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CBD97C04-C48C-4D8C-A62C-309236B3654F}">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www.w3.org/XML/1998/namespace"/>
    <ds:schemaRef ds:uri="32a1a8c5-2265-4ebc-b7a0-2071e2c5c9bb"/>
    <ds:schemaRef ds:uri="996b2e75-67fd-4955-a3b0-5ab9934cb50b"/>
    <ds:schemaRef ds:uri="http://schemas.microsoft.com/office/2006/metadata/properties"/>
  </ds:schemaRefs>
</ds:datastoreItem>
</file>

<file path=customXml/itemProps5.xml><?xml version="1.0" encoding="utf-8"?>
<ds:datastoreItem xmlns:ds="http://schemas.openxmlformats.org/officeDocument/2006/customXml" ds:itemID="{F58670D7-1B12-4533-924E-0DF51A10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1764</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R15-WRC15-C-0061!A6!MSW-S</vt:lpstr>
    </vt:vector>
  </TitlesOfParts>
  <Manager>Secretaría General - Pool</Manager>
  <Company>Unión Internacional de Telecomunicaciones (UIT)</Company>
  <LinksUpToDate>false</LinksUpToDate>
  <CharactersWithSpaces>10996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R15-WRC15-C-0061!A6!MSW-S</dc:title>
  <dc:subject>Conferencia Mundial de Radiocomunicaciones - 2015</dc:subject>
  <dc:creator>Documents Proposals Manager (DPM)</dc:creator>
  <cp:keywords>DPM_v5.2015.10.8_prod</cp:keywords>
  <dc:description/>
  <cp:lastModifiedBy>Burro, Maria Carmen</cp:lastModifiedBy>
  <cp:revision>7</cp:revision>
  <cp:lastPrinted>2015-10-26T14:11:00Z</cp:lastPrinted>
  <dcterms:created xsi:type="dcterms:W3CDTF">2015-10-23T09:57:00Z</dcterms:created>
  <dcterms:modified xsi:type="dcterms:W3CDTF">2015-10-26T14:13:00Z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