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6 au</w:t>
            </w:r>
            <w:r>
              <w:rPr>
                <w:rFonts w:ascii="Verdana" w:eastAsia="SimSun" w:hAnsi="Verdana" w:cs="Traditional Arabic"/>
                <w:b/>
                <w:sz w:val="20"/>
                <w:lang w:val="en-US"/>
              </w:rPr>
              <w:br/>
              <w:t>Document 61</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14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Iran (République islamique d')</w:t>
            </w:r>
          </w:p>
        </w:tc>
      </w:tr>
      <w:tr w:rsidR="00690C7B" w:rsidRPr="00EB223A" w:rsidTr="0050008E">
        <w:trPr>
          <w:cantSplit/>
        </w:trPr>
        <w:tc>
          <w:tcPr>
            <w:tcW w:w="10031" w:type="dxa"/>
            <w:gridSpan w:val="2"/>
          </w:tcPr>
          <w:p w:rsidR="00690C7B" w:rsidRPr="00EB223A" w:rsidRDefault="00EB223A" w:rsidP="00690C7B">
            <w:pPr>
              <w:pStyle w:val="Title1"/>
              <w:rPr>
                <w:lang w:val="fr-CH"/>
              </w:rPr>
            </w:pPr>
            <w:bookmarkStart w:id="3" w:name="dtitle1" w:colFirst="0" w:colLast="0"/>
            <w:bookmarkEnd w:id="2"/>
            <w:r w:rsidRPr="00EB223A">
              <w:rPr>
                <w:lang w:val="fr-CH"/>
              </w:rPr>
              <w:t>propositions pour les travaux de la conf</w:t>
            </w:r>
            <w:r>
              <w:rPr>
                <w:lang w:val="fr-CH"/>
              </w:rPr>
              <w:t>érence</w:t>
            </w:r>
          </w:p>
        </w:tc>
      </w:tr>
      <w:tr w:rsidR="00690C7B" w:rsidRPr="00EB223A" w:rsidTr="0050008E">
        <w:trPr>
          <w:cantSplit/>
        </w:trPr>
        <w:tc>
          <w:tcPr>
            <w:tcW w:w="10031" w:type="dxa"/>
            <w:gridSpan w:val="2"/>
          </w:tcPr>
          <w:p w:rsidR="00690C7B" w:rsidRPr="00EB223A"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D0221B">
            <w:pPr>
              <w:pStyle w:val="Agendaitem"/>
            </w:pPr>
            <w:bookmarkStart w:id="5" w:name="dtitle3" w:colFirst="0" w:colLast="0"/>
            <w:bookmarkEnd w:id="4"/>
            <w:r w:rsidRPr="006D4724">
              <w:t>Point 1.6 de l'ordre du jour</w:t>
            </w:r>
          </w:p>
        </w:tc>
      </w:tr>
    </w:tbl>
    <w:bookmarkEnd w:id="5"/>
    <w:p w:rsidR="001C0E40" w:rsidRPr="00A67592" w:rsidRDefault="004831BE" w:rsidP="00A67592">
      <w:pPr>
        <w:rPr>
          <w:lang w:val="fr-CA"/>
        </w:rPr>
      </w:pPr>
      <w:r w:rsidRPr="00A67592">
        <w:rPr>
          <w:lang w:val="fr-CA"/>
        </w:rPr>
        <w:t>1.6</w:t>
      </w:r>
      <w:r w:rsidRPr="00A67592">
        <w:rPr>
          <w:lang w:val="fr-CA"/>
        </w:rPr>
        <w:tab/>
        <w:t>envisager la possibilité de faire des attributions additionnelles à titre primaire:</w:t>
      </w:r>
    </w:p>
    <w:p w:rsidR="00D0221B" w:rsidRPr="00A53B66" w:rsidRDefault="00D0221B" w:rsidP="00D0221B">
      <w:pPr>
        <w:rPr>
          <w:lang w:val="fr-CA"/>
        </w:rPr>
      </w:pPr>
      <w:r w:rsidRPr="00A53B66">
        <w:rPr>
          <w:lang w:val="fr-CA"/>
        </w:rPr>
        <w:t>1.6.</w:t>
      </w:r>
      <w:r>
        <w:rPr>
          <w:lang w:val="fr-CA"/>
        </w:rPr>
        <w:t>1</w:t>
      </w:r>
      <w:r w:rsidRPr="00A53B66">
        <w:rPr>
          <w:lang w:val="fr-CA"/>
        </w:rPr>
        <w:tab/>
      </w:r>
      <w:r w:rsidRPr="00D0221B">
        <w:rPr>
          <w:lang w:val="fr-CA"/>
        </w:rPr>
        <w:t>au service fixe par satellite (Terre vers espace et espace vers Terre) de 250</w:t>
      </w:r>
      <w:r w:rsidR="00CD06DF">
        <w:rPr>
          <w:lang w:val="fr-CA"/>
        </w:rPr>
        <w:t> </w:t>
      </w:r>
      <w:r w:rsidRPr="00D0221B">
        <w:rPr>
          <w:lang w:val="fr-CA"/>
        </w:rPr>
        <w:t>MHz dans la gamme comprise entre 10</w:t>
      </w:r>
      <w:r w:rsidR="00CD06DF">
        <w:rPr>
          <w:lang w:val="fr-CA"/>
        </w:rPr>
        <w:t> </w:t>
      </w:r>
      <w:r>
        <w:rPr>
          <w:lang w:val="fr-CA"/>
        </w:rPr>
        <w:t>GHz et 17</w:t>
      </w:r>
      <w:r w:rsidR="00CD06DF">
        <w:rPr>
          <w:lang w:val="fr-CA"/>
        </w:rPr>
        <w:t> </w:t>
      </w:r>
      <w:r>
        <w:rPr>
          <w:lang w:val="fr-CA"/>
        </w:rPr>
        <w:t>GHz dans la Région 1</w:t>
      </w:r>
      <w:r w:rsidRPr="00A53B66">
        <w:rPr>
          <w:lang w:val="fr-CA"/>
        </w:rPr>
        <w:t>;</w:t>
      </w:r>
    </w:p>
    <w:p w:rsidR="001C0E40" w:rsidRPr="00A53B66" w:rsidRDefault="004831BE" w:rsidP="003A3352">
      <w:pPr>
        <w:rPr>
          <w:lang w:val="fr-CA"/>
        </w:rPr>
      </w:pPr>
      <w:r w:rsidRPr="00A53B66">
        <w:rPr>
          <w:lang w:val="fr-CA"/>
        </w:rPr>
        <w:t>1.6.2</w:t>
      </w:r>
      <w:r w:rsidRPr="00A53B66">
        <w:rPr>
          <w:lang w:val="fr-CA"/>
        </w:rPr>
        <w:tab/>
      </w:r>
      <w:r w:rsidR="00D0221B" w:rsidRPr="00D0221B">
        <w:rPr>
          <w:lang w:val="fr-CA"/>
        </w:rPr>
        <w:t>au service fixe par satellite (Terre vers espace) de 250</w:t>
      </w:r>
      <w:r w:rsidR="00CD06DF">
        <w:rPr>
          <w:lang w:val="fr-CA"/>
        </w:rPr>
        <w:t> </w:t>
      </w:r>
      <w:r w:rsidR="00D0221B" w:rsidRPr="00D0221B">
        <w:rPr>
          <w:lang w:val="fr-CA"/>
        </w:rPr>
        <w:t>MHz dans la Région 2 et de 300</w:t>
      </w:r>
      <w:r w:rsidR="00CD06DF">
        <w:rPr>
          <w:lang w:val="fr-CA"/>
        </w:rPr>
        <w:t> </w:t>
      </w:r>
      <w:r w:rsidR="00D0221B" w:rsidRPr="00D0221B">
        <w:rPr>
          <w:lang w:val="fr-CA"/>
        </w:rPr>
        <w:t>MHz dans la Région 3 dans la gamme 13-17</w:t>
      </w:r>
      <w:r w:rsidR="00CD06DF">
        <w:rPr>
          <w:lang w:val="fr-CA"/>
        </w:rPr>
        <w:t> </w:t>
      </w:r>
      <w:r w:rsidR="00D0221B" w:rsidRPr="00D0221B">
        <w:rPr>
          <w:lang w:val="fr-CA"/>
        </w:rPr>
        <w:t>GHz</w:t>
      </w:r>
      <w:r w:rsidRPr="00A53B66">
        <w:rPr>
          <w:lang w:val="fr-CA"/>
        </w:rPr>
        <w:t>;</w:t>
      </w:r>
    </w:p>
    <w:p w:rsidR="001C0E40" w:rsidRPr="005B4D38" w:rsidRDefault="004831BE" w:rsidP="005D66C8">
      <w:pPr>
        <w:rPr>
          <w:rFonts w:asciiTheme="majorBidi" w:hAnsiTheme="majorBidi" w:cstheme="majorBidi"/>
          <w:szCs w:val="24"/>
          <w:lang w:val="fr-CA"/>
        </w:rPr>
      </w:pPr>
      <w:r w:rsidRPr="005B4D38">
        <w:rPr>
          <w:rFonts w:asciiTheme="majorBidi" w:hAnsiTheme="majorBidi" w:cstheme="majorBidi"/>
          <w:szCs w:val="24"/>
          <w:lang w:val="fr-CA"/>
        </w:rPr>
        <w:t xml:space="preserve">et examiner les dispositions réglementaires relatives aux attributions actuelles au service fixe par satellite dans chaque gamme, compte tenu des résultats des études de l'UIT-R, conformément aux Résolutions </w:t>
      </w:r>
      <w:r w:rsidRPr="005B4D38">
        <w:rPr>
          <w:rFonts w:asciiTheme="majorBidi" w:hAnsiTheme="majorBidi" w:cstheme="majorBidi"/>
          <w:b/>
          <w:bCs/>
          <w:szCs w:val="24"/>
          <w:lang w:val="fr-CA"/>
        </w:rPr>
        <w:t>151 (CMR-12)</w:t>
      </w:r>
      <w:r w:rsidRPr="005B4D38">
        <w:rPr>
          <w:rFonts w:asciiTheme="majorBidi" w:hAnsiTheme="majorBidi" w:cstheme="majorBidi"/>
          <w:szCs w:val="24"/>
          <w:lang w:val="fr-CA"/>
        </w:rPr>
        <w:t xml:space="preserve"> et </w:t>
      </w:r>
      <w:r w:rsidRPr="005B4D38">
        <w:rPr>
          <w:rFonts w:asciiTheme="majorBidi" w:hAnsiTheme="majorBidi" w:cstheme="majorBidi"/>
          <w:b/>
          <w:bCs/>
          <w:szCs w:val="24"/>
          <w:lang w:val="fr-CA"/>
        </w:rPr>
        <w:t>152 (CMR-12)</w:t>
      </w:r>
      <w:r w:rsidRPr="005B4D38">
        <w:rPr>
          <w:rFonts w:asciiTheme="majorBidi" w:hAnsiTheme="majorBidi" w:cstheme="majorBidi"/>
          <w:szCs w:val="24"/>
          <w:lang w:val="fr-CA"/>
        </w:rPr>
        <w:t xml:space="preserve"> respectivement;</w:t>
      </w:r>
    </w:p>
    <w:p w:rsidR="003A583E" w:rsidRDefault="004B0618" w:rsidP="00AA3DA1">
      <w:pPr>
        <w:pStyle w:val="Headingb"/>
      </w:pPr>
      <w:r>
        <w:t>Rappel</w:t>
      </w:r>
    </w:p>
    <w:p w:rsidR="00455B1E" w:rsidRDefault="004B0618" w:rsidP="00AA3DA1">
      <w:r w:rsidRPr="004B0618">
        <w:t>Pour traiter le point 1.6.1 de l'ordre du jour, l'UIT-R a mené des études visant à déterminer les bandes dans lesquelles il serait possible de faire de nouvelles attributions à titre primaire au service fixe par satellite (SFS) dans le sens Terre vers espace et le sens espace vers Terre, dans la gamme de fréquences 10-17</w:t>
      </w:r>
      <w:r w:rsidR="00CD06DF">
        <w:t> </w:t>
      </w:r>
      <w:r w:rsidRPr="004B0618">
        <w:t>GHz, dans la Région 1 de l'UIT. Les études ont porté sur 11 sous-bandes différentes comprises entre 10 et 17</w:t>
      </w:r>
      <w:r w:rsidR="00CD06DF">
        <w:t> </w:t>
      </w:r>
      <w:r w:rsidRPr="004B0618">
        <w:t>GHz. Les résultats des études et les méthodes à appliquer pour traiter le point de l'ordre du jour sont exposés respectivement dans la section 4.1/1.6.1/4 et la section 4.1/1.6.1/5 du Rapport de la RPC. L'UIT-R a aussi mené des études pour déterminer les bandes dans lesquelles il serait possible de faire de nouvelles attributions à titre primaire au service fixe par satellite (SFS) dans le sens Terre vers espace dans la gamme de fréquences 13-17</w:t>
      </w:r>
      <w:r w:rsidR="00CD06DF">
        <w:t> </w:t>
      </w:r>
      <w:r w:rsidRPr="004B0618">
        <w:t>GHz, dans les Régions 2 et 3 de l'UIT. Les études ont porté sur huit sous-bandes différentes comprises entre 13 et 17</w:t>
      </w:r>
      <w:r w:rsidR="00CD06DF">
        <w:t> </w:t>
      </w:r>
      <w:r w:rsidRPr="004B0618">
        <w:t>GHz. Les résultats des études et les méthodes à appliquer pour traiter le point de l'ordre du jour sont exposés respectivement dans la section 4.1/1.6.2/4 et la section 4.1/1.6.2/5 du Rapport de la RPC</w:t>
      </w:r>
      <w:r w:rsidR="00455B1E">
        <w:t>.</w:t>
      </w:r>
    </w:p>
    <w:p w:rsidR="004B0618" w:rsidRPr="004B0618" w:rsidRDefault="004B0618" w:rsidP="006260BD">
      <w:pPr>
        <w:keepNext/>
        <w:keepLines/>
        <w:rPr>
          <w:rFonts w:eastAsia="Calibri"/>
        </w:rPr>
      </w:pPr>
      <w:r w:rsidRPr="004B0618">
        <w:rPr>
          <w:rFonts w:eastAsia="Calibri"/>
        </w:rPr>
        <w:lastRenderedPageBreak/>
        <w:t>D'après ce Rapport, les bandes non planifiées et actuellement attribuées au SFS dans la gamme 13</w:t>
      </w:r>
      <w:r w:rsidR="00AA3DA1" w:rsidRPr="00AA3DA1">
        <w:rPr>
          <w:rFonts w:eastAsia="Calibri"/>
        </w:rPr>
        <w:noBreakHyphen/>
      </w:r>
      <w:r w:rsidRPr="004B0618">
        <w:rPr>
          <w:rFonts w:eastAsia="Calibri"/>
        </w:rPr>
        <w:t>17</w:t>
      </w:r>
      <w:r w:rsidR="00CD06DF">
        <w:rPr>
          <w:rFonts w:eastAsia="Calibri"/>
        </w:rPr>
        <w:t> </w:t>
      </w:r>
      <w:r w:rsidRPr="004B0618">
        <w:rPr>
          <w:rFonts w:eastAsia="Calibri"/>
        </w:rPr>
        <w:t>GHz dans toutes les Régions sont très largement utilisées par de multiples applications. Du</w:t>
      </w:r>
      <w:r w:rsidR="006260BD">
        <w:rPr>
          <w:rFonts w:eastAsia="Calibri"/>
        </w:rPr>
        <w:t> </w:t>
      </w:r>
      <w:r w:rsidRPr="004B0618">
        <w:rPr>
          <w:rFonts w:eastAsia="Calibri"/>
        </w:rPr>
        <w:t>fait de l'augmentation de la demande en ce qui concerne ces applications, la demande de spectre est en forte progression. Par ailleurs, étant donné que dans de très nombreuses applications, le trafic par satellite est généralement symétrique, des volumes analogues de trafic sont acheminés dans le sens Terre vers espace (liaison montante) et dans le sens espace vers Terre (liaison descendante).</w:t>
      </w:r>
    </w:p>
    <w:p w:rsidR="00910250" w:rsidRDefault="004B0618" w:rsidP="00AA3DA1">
      <w:pPr>
        <w:rPr>
          <w:rFonts w:eastAsia="MS Mincho"/>
          <w:lang w:val="fr-CH" w:bidi="th-TH"/>
        </w:rPr>
      </w:pPr>
      <w:r w:rsidRPr="004B0618">
        <w:rPr>
          <w:rFonts w:eastAsia="Calibri"/>
        </w:rPr>
        <w:t xml:space="preserve">La CMR-12 a adopté le point 1.6 de l'ordre du jour de la CMR-15 afin d'envisager la possibilité de faire des attributions additionnelles à titre primaire au SFS et d'examiner les dispositions réglementaires relatives aux attributions actuelles au service fixe par satellite, compte tenu des études de l'UIT-R réalisées conformément à la Résolution </w:t>
      </w:r>
      <w:r w:rsidRPr="00D12645">
        <w:rPr>
          <w:rFonts w:eastAsia="Calibri"/>
          <w:bCs/>
        </w:rPr>
        <w:t>152 (CMR-12).</w:t>
      </w:r>
    </w:p>
    <w:p w:rsidR="00910250" w:rsidRPr="00AA3DA1" w:rsidRDefault="00910250" w:rsidP="00AA3DA1">
      <w:pPr>
        <w:pStyle w:val="Headingb"/>
      </w:pPr>
      <w:r w:rsidRPr="00AA3DA1">
        <w:t>Discussion</w:t>
      </w:r>
    </w:p>
    <w:p w:rsidR="00910250" w:rsidRPr="004B0618" w:rsidRDefault="004B0618" w:rsidP="00AA3DA1">
      <w:pPr>
        <w:rPr>
          <w:rFonts w:eastAsia="MS Mincho"/>
          <w:lang w:bidi="th-TH"/>
        </w:rPr>
      </w:pPr>
      <w:r w:rsidRPr="004B0618">
        <w:rPr>
          <w:rFonts w:eastAsia="MS Mincho"/>
          <w:lang w:bidi="th-TH"/>
        </w:rPr>
        <w:t>À partir du découpage effectué pour déterminer les bandes susceptibles d'être retenues en vue d'une nouvelle attribution à titre primaire au service fixe par satellite, certaines sous-bandes ont été proposées pour chacun des points de l'ordre du jour (1.6.1 et 1.6.2) et ont fait l'objet d'études de partage en fonction des spécificités des différents services. Divers services, parmi lesquels le SRNA, le SMA, le SRS, le MS, le SETS, le SF et le service de recherche spatiale, sont attribués dans chaque bande de fréquences. Certains, comme le SRNA et le SMA, sont essentiels à la vie humaine. Le SRS aussi compte parmi les grands services prioritaires du fait de son importance pour un large public</w:t>
      </w:r>
      <w:r w:rsidR="00910250" w:rsidRPr="004B0618">
        <w:rPr>
          <w:rFonts w:eastAsia="MS Mincho"/>
          <w:lang w:bidi="th-TH"/>
        </w:rPr>
        <w:t>.</w:t>
      </w:r>
    </w:p>
    <w:p w:rsidR="00910250" w:rsidRPr="004B0618" w:rsidRDefault="004B0618" w:rsidP="00AA3DA1">
      <w:pPr>
        <w:rPr>
          <w:rFonts w:eastAsia="MS Mincho"/>
          <w:lang w:bidi="th-TH"/>
        </w:rPr>
      </w:pPr>
      <w:r w:rsidRPr="004B0618">
        <w:rPr>
          <w:rFonts w:eastAsia="MS Mincho"/>
          <w:lang w:bidi="th-TH"/>
        </w:rPr>
        <w:t>La bande 14,5-14,8</w:t>
      </w:r>
      <w:r w:rsidR="00CD06DF">
        <w:rPr>
          <w:rFonts w:eastAsia="MS Mincho"/>
          <w:lang w:bidi="th-TH"/>
        </w:rPr>
        <w:t> </w:t>
      </w:r>
      <w:r w:rsidRPr="004B0618">
        <w:rPr>
          <w:rFonts w:eastAsia="MS Mincho"/>
          <w:lang w:bidi="th-TH"/>
        </w:rPr>
        <w:t>GHz, qui est déjà attribuée au SMA et au SRS dans certaines régions, est l'une des bandes envisageables pour les deux points 1.6.1 et 1.6.2 de l'ordre du jour. La Commission d'études 4 (GT 4A) a achevé ses travaux destinés à déterminer les bandes dans lesquelles il serait possible de faire une attribution additionnelle à titre primaire au SFS. Elle a envisagé tous les scénarios de partage entre le SRS entrant et les autres services disponibles. Cela étant, la bande 14,5-14,8</w:t>
      </w:r>
      <w:r w:rsidR="00CD06DF">
        <w:rPr>
          <w:rFonts w:eastAsia="MS Mincho"/>
          <w:lang w:bidi="th-TH"/>
        </w:rPr>
        <w:t> </w:t>
      </w:r>
      <w:r w:rsidRPr="004B0618">
        <w:rPr>
          <w:rFonts w:eastAsia="MS Mincho"/>
          <w:lang w:bidi="th-TH"/>
        </w:rPr>
        <w:t>GHz pose certains problèmes</w:t>
      </w:r>
      <w:r w:rsidR="00910250" w:rsidRPr="004B0618">
        <w:rPr>
          <w:rFonts w:eastAsia="MS Mincho"/>
          <w:lang w:bidi="th-TH"/>
        </w:rPr>
        <w:t>.</w:t>
      </w:r>
    </w:p>
    <w:p w:rsidR="00910250" w:rsidRPr="004B0618" w:rsidRDefault="004B0618" w:rsidP="00E30206">
      <w:pPr>
        <w:rPr>
          <w:rFonts w:eastAsia="MS Mincho"/>
          <w:lang w:bidi="th-TH"/>
        </w:rPr>
      </w:pPr>
      <w:r w:rsidRPr="004B0618">
        <w:rPr>
          <w:rFonts w:eastAsia="MS Mincho"/>
          <w:lang w:bidi="th-TH"/>
        </w:rPr>
        <w:t>Actuellement, en vertu du numéro 5.510 du RR, l'utilisation de cette bande est limitée aux liaisons de connexion pour le SRS hors de l'Europe. La base de données de l'UIT-R indique qu'il reste 22</w:t>
      </w:r>
      <w:r w:rsidR="00E30206">
        <w:rPr>
          <w:rFonts w:eastAsia="MS Mincho"/>
          <w:lang w:bidi="th-TH"/>
        </w:rPr>
        <w:t> </w:t>
      </w:r>
      <w:r w:rsidRPr="004B0618">
        <w:rPr>
          <w:rFonts w:eastAsia="MS Mincho"/>
          <w:lang w:bidi="th-TH"/>
        </w:rPr>
        <w:t>assignations figurant dans des Plans, 16 assignations figurant dans la Liste et 106 notifications à coordonner dans cette bande. De plus, le Rapport du Directeur (Document CPM15-2/41-F), qui décrit les changements intervenus entre la CMR-2000 et le mois de mars 2015 dans la situation de référence (MPE) pour les faisceaux du Plan pour les Régions 1 et 3 figurant dans les Appendices 30</w:t>
      </w:r>
      <w:r w:rsidR="00E30206">
        <w:rPr>
          <w:rFonts w:eastAsia="MS Mincho"/>
          <w:lang w:bidi="th-TH"/>
        </w:rPr>
        <w:t> </w:t>
      </w:r>
      <w:r w:rsidRPr="004B0618">
        <w:rPr>
          <w:rFonts w:eastAsia="MS Mincho"/>
          <w:lang w:bidi="th-TH"/>
        </w:rPr>
        <w:t>et 30A, fait état d'une diminution significative des valeurs de MPE de réseaux de certains pays dans la bande des 14</w:t>
      </w:r>
      <w:r w:rsidR="00CD06DF">
        <w:rPr>
          <w:rFonts w:eastAsia="MS Mincho"/>
          <w:lang w:bidi="th-TH"/>
        </w:rPr>
        <w:t> </w:t>
      </w:r>
      <w:r w:rsidRPr="004B0618">
        <w:rPr>
          <w:rFonts w:eastAsia="MS Mincho"/>
          <w:lang w:bidi="th-TH"/>
        </w:rPr>
        <w:t>GHz, avec, pour au moins deux pays, une valeur de MPE actuellement négative s'agissant des assignations figurant dans le Plan pour le SRS. Or, dans les réseaux du SRS, les faibles valeurs de MPE ont de nombreux effets préjudiciables. La situation actuelle telle qu'elle figure dans le Rapport du Directeur est survenue malgré la limitation imposée par le numéro 5.510</w:t>
      </w:r>
      <w:r w:rsidR="00E30206">
        <w:rPr>
          <w:rFonts w:eastAsia="MS Mincho"/>
          <w:lang w:bidi="th-TH"/>
        </w:rPr>
        <w:t> </w:t>
      </w:r>
      <w:r w:rsidRPr="004B0618">
        <w:rPr>
          <w:rFonts w:eastAsia="MS Mincho"/>
          <w:lang w:bidi="th-TH"/>
        </w:rPr>
        <w:t>du RR concernant l'utilisation de cette bande. Indéniablement, la levée de cette limitation ne fera qu'accroître les effets négatifs cumulés dus aux nouvelles stations terriennes du SRS entrant</w:t>
      </w:r>
      <w:r w:rsidR="00910250" w:rsidRPr="004B0618">
        <w:rPr>
          <w:rFonts w:eastAsia="MS Mincho"/>
          <w:lang w:bidi="th-TH"/>
        </w:rPr>
        <w:t>.</w:t>
      </w:r>
    </w:p>
    <w:p w:rsidR="00910250" w:rsidRPr="004B0618" w:rsidRDefault="004B0618" w:rsidP="00AA3DA1">
      <w:pPr>
        <w:rPr>
          <w:bCs/>
        </w:rPr>
      </w:pPr>
      <w:r w:rsidRPr="004B0618">
        <w:rPr>
          <w:bCs/>
        </w:rPr>
        <w:t xml:space="preserve">Par conséquent, </w:t>
      </w:r>
      <w:r w:rsidR="00F3256F">
        <w:rPr>
          <w:bCs/>
        </w:rPr>
        <w:t xml:space="preserve">la question </w:t>
      </w:r>
      <w:r w:rsidRPr="004B0618">
        <w:rPr>
          <w:bCs/>
        </w:rPr>
        <w:t xml:space="preserve">des administrations qui ont en charge des applications du SRS est plus complexe qu'autrefois et </w:t>
      </w:r>
      <w:r w:rsidR="00455B1E">
        <w:rPr>
          <w:bCs/>
        </w:rPr>
        <w:t xml:space="preserve">les </w:t>
      </w:r>
      <w:r w:rsidRPr="004B0618">
        <w:rPr>
          <w:bCs/>
        </w:rPr>
        <w:t>effet</w:t>
      </w:r>
      <w:r w:rsidR="00455B1E">
        <w:rPr>
          <w:bCs/>
        </w:rPr>
        <w:t>s</w:t>
      </w:r>
      <w:r w:rsidRPr="004B0618">
        <w:rPr>
          <w:bCs/>
        </w:rPr>
        <w:t xml:space="preserve"> cumulé</w:t>
      </w:r>
      <w:r w:rsidR="00455B1E">
        <w:rPr>
          <w:bCs/>
        </w:rPr>
        <w:t>s</w:t>
      </w:r>
      <w:r w:rsidRPr="004B0618">
        <w:rPr>
          <w:bCs/>
        </w:rPr>
        <w:t xml:space="preserve"> des problèmes non résolus, qui, pris séparément, </w:t>
      </w:r>
      <w:r w:rsidR="00455B1E">
        <w:rPr>
          <w:bCs/>
        </w:rPr>
        <w:t xml:space="preserve">ne sont </w:t>
      </w:r>
      <w:r w:rsidRPr="004B0618">
        <w:rPr>
          <w:bCs/>
        </w:rPr>
        <w:t>pas significatif</w:t>
      </w:r>
      <w:r w:rsidR="00455B1E">
        <w:rPr>
          <w:bCs/>
        </w:rPr>
        <w:t>s</w:t>
      </w:r>
      <w:r w:rsidRPr="004B0618">
        <w:rPr>
          <w:bCs/>
        </w:rPr>
        <w:t xml:space="preserve">, </w:t>
      </w:r>
      <w:r w:rsidR="00455B1E">
        <w:rPr>
          <w:bCs/>
        </w:rPr>
        <w:t xml:space="preserve">seront </w:t>
      </w:r>
      <w:r w:rsidRPr="004B0618">
        <w:rPr>
          <w:bCs/>
        </w:rPr>
        <w:t>de plus en plus important</w:t>
      </w:r>
      <w:r w:rsidR="00455B1E">
        <w:rPr>
          <w:bCs/>
        </w:rPr>
        <w:t>s</w:t>
      </w:r>
      <w:r w:rsidR="00910250" w:rsidRPr="004B0618">
        <w:rPr>
          <w:bCs/>
        </w:rPr>
        <w:t>.</w:t>
      </w:r>
    </w:p>
    <w:p w:rsidR="00910250" w:rsidRPr="004B0618" w:rsidRDefault="004B0618" w:rsidP="00AA3DA1">
      <w:pPr>
        <w:rPr>
          <w:rFonts w:eastAsia="MS Mincho"/>
          <w:lang w:bidi="th-TH"/>
        </w:rPr>
      </w:pPr>
      <w:r w:rsidRPr="004B0618">
        <w:rPr>
          <w:rFonts w:eastAsia="MS Mincho"/>
          <w:lang w:bidi="th-TH"/>
        </w:rPr>
        <w:t>Par ailleurs, le scénario de partage entre le SRS et le SM, en particulier le SMA, est aujourd'hui inscrit dans le RR et les deux services fonctionnent ensemble sans difficulté majeure. Cette situation tient à la nature du SRS. Dans cette bande, les stations terriennes en liaison montante pour l'application du SRS sont beaucoup moins nombreuses que les stations terriennes du SFS qui pourront être utilisées si les limitations sont levées. Il n'est donc pas possible d'</w:t>
      </w:r>
      <w:r w:rsidR="00F3256F">
        <w:rPr>
          <w:rFonts w:eastAsia="MS Mincho"/>
          <w:lang w:bidi="th-TH"/>
        </w:rPr>
        <w:t>extrapoler</w:t>
      </w:r>
      <w:r w:rsidRPr="004B0618">
        <w:rPr>
          <w:rFonts w:eastAsia="MS Mincho"/>
          <w:lang w:bidi="th-TH"/>
        </w:rPr>
        <w:t xml:space="preserve"> les études de partage entre le SRS et un service donné au cas du SFS et de ce même service</w:t>
      </w:r>
      <w:r w:rsidR="00910250" w:rsidRPr="004B0618">
        <w:rPr>
          <w:rFonts w:eastAsia="MS Mincho"/>
          <w:lang w:bidi="th-TH"/>
        </w:rPr>
        <w:t>.</w:t>
      </w:r>
    </w:p>
    <w:p w:rsidR="00910250" w:rsidRPr="004B0618" w:rsidRDefault="004B0618" w:rsidP="00D12645">
      <w:pPr>
        <w:rPr>
          <w:rFonts w:eastAsia="Batang"/>
          <w:b/>
          <w:bCs/>
        </w:rPr>
      </w:pPr>
      <w:r w:rsidRPr="004B0618">
        <w:rPr>
          <w:rFonts w:eastAsia="MS Mincho"/>
          <w:lang w:bidi="th-TH"/>
        </w:rPr>
        <w:lastRenderedPageBreak/>
        <w:t>Comme indiqué plus haut, le SRS n'est que l'un des services concernés dans la bande 14,5</w:t>
      </w:r>
      <w:r w:rsidR="00E30206" w:rsidRPr="00E30206">
        <w:rPr>
          <w:rFonts w:eastAsia="MS Mincho"/>
          <w:lang w:bidi="th-TH"/>
        </w:rPr>
        <w:noBreakHyphen/>
      </w:r>
      <w:r w:rsidRPr="004B0618">
        <w:rPr>
          <w:rFonts w:eastAsia="MS Mincho"/>
          <w:lang w:bidi="th-TH"/>
        </w:rPr>
        <w:t>14,8</w:t>
      </w:r>
      <w:r w:rsidR="00CD06DF">
        <w:rPr>
          <w:rFonts w:eastAsia="MS Mincho"/>
          <w:lang w:bidi="th-TH"/>
        </w:rPr>
        <w:t> </w:t>
      </w:r>
      <w:r w:rsidRPr="004B0618">
        <w:rPr>
          <w:rFonts w:eastAsia="MS Mincho"/>
          <w:lang w:bidi="th-TH"/>
        </w:rPr>
        <w:t xml:space="preserve">GHz. En effet, il existe d'autres services importants qui sont également touchés par l'attribution de cette bande aux fins des points 1.6.1 et 1.6.2 de l'ordre du jour. Les études menées par le GT 4A et présentées à la RPC le confirment. </w:t>
      </w:r>
      <w:r w:rsidR="00D12645">
        <w:rPr>
          <w:rFonts w:eastAsia="MS Mincho"/>
          <w:lang w:bidi="th-TH"/>
        </w:rPr>
        <w:t>A</w:t>
      </w:r>
      <w:r w:rsidRPr="004B0618">
        <w:rPr>
          <w:rFonts w:eastAsia="MS Mincho"/>
          <w:lang w:bidi="th-TH"/>
        </w:rPr>
        <w:t xml:space="preserve"> titre d'exemple, le Rapport de la RPC, section</w:t>
      </w:r>
      <w:r w:rsidR="00D12645">
        <w:rPr>
          <w:rFonts w:eastAsia="MS Mincho"/>
          <w:lang w:bidi="th-TH"/>
        </w:rPr>
        <w:t> </w:t>
      </w:r>
      <w:r w:rsidRPr="00D12645">
        <w:rPr>
          <w:rFonts w:eastAsia="MS Mincho"/>
          <w:bCs/>
          <w:lang w:bidi="th-TH"/>
        </w:rPr>
        <w:t>4.1/1.6.1/4.6.3</w:t>
      </w:r>
      <w:r w:rsidRPr="004B0618">
        <w:rPr>
          <w:rFonts w:eastAsia="MS Mincho"/>
          <w:lang w:bidi="th-TH"/>
        </w:rPr>
        <w:t>, précise ce qui suit</w:t>
      </w:r>
      <w:r w:rsidR="00910250" w:rsidRPr="00D12645">
        <w:rPr>
          <w:rFonts w:eastAsia="Batang"/>
        </w:rPr>
        <w:t>:</w:t>
      </w:r>
    </w:p>
    <w:p w:rsidR="00FE4156" w:rsidRPr="00D12645" w:rsidRDefault="004B0618" w:rsidP="00D12645">
      <w:pPr>
        <w:rPr>
          <w:rFonts w:eastAsia="MS Mincho"/>
          <w:b/>
          <w:bCs/>
          <w:i/>
          <w:iCs/>
          <w:u w:val="single"/>
          <w:lang w:val="fr-CH" w:bidi="th-TH"/>
        </w:rPr>
      </w:pPr>
      <w:r w:rsidRPr="00D12645">
        <w:rPr>
          <w:rFonts w:eastAsia="Batang"/>
          <w:b/>
          <w:bCs/>
          <w:i/>
          <w:iCs/>
          <w:u w:val="single"/>
          <w:lang w:val="fr-CH"/>
        </w:rPr>
        <w:t>Citation</w:t>
      </w:r>
    </w:p>
    <w:p w:rsidR="00FE4156" w:rsidRPr="00FE4156" w:rsidRDefault="00D12645" w:rsidP="00D12645">
      <w:pPr>
        <w:rPr>
          <w:rFonts w:eastAsia="MS Mincho"/>
          <w:i/>
          <w:iCs/>
          <w:u w:val="single"/>
          <w:lang w:val="fr-CH" w:bidi="th-TH"/>
        </w:rPr>
      </w:pPr>
      <w:r>
        <w:rPr>
          <w:i/>
          <w:iCs/>
          <w:lang w:val="fr-CH"/>
        </w:rPr>
        <w:t>"</w:t>
      </w:r>
      <w:r w:rsidR="004B0618" w:rsidRPr="004B0618">
        <w:rPr>
          <w:i/>
          <w:iCs/>
        </w:rPr>
        <w:t>L'étude #1 (analyse statique) a montré que les stations terriennes du SFS (microstations) dépassent le critère de protection applicable à la station d'aéronef du SMA pour des distances allant jusqu'à</w:t>
      </w:r>
      <w:r>
        <w:rPr>
          <w:i/>
          <w:iCs/>
        </w:rPr>
        <w:t xml:space="preserve"> </w:t>
      </w:r>
      <w:r w:rsidR="004B0618" w:rsidRPr="004B0618">
        <w:rPr>
          <w:i/>
          <w:iCs/>
        </w:rPr>
        <w:t>575</w:t>
      </w:r>
      <w:r w:rsidR="00CD06DF">
        <w:rPr>
          <w:i/>
          <w:iCs/>
        </w:rPr>
        <w:t> </w:t>
      </w:r>
      <w:r w:rsidR="004B0618" w:rsidRPr="004B0618">
        <w:rPr>
          <w:i/>
          <w:iCs/>
        </w:rPr>
        <w:t>km lorsque la station d'aéronef est exploitée à une altitude de 19</w:t>
      </w:r>
      <w:r w:rsidR="00CD06DF">
        <w:rPr>
          <w:i/>
          <w:iCs/>
        </w:rPr>
        <w:t> </w:t>
      </w:r>
      <w:r w:rsidR="004B0618" w:rsidRPr="004B0618">
        <w:rPr>
          <w:i/>
          <w:iCs/>
        </w:rPr>
        <w:t>km"</w:t>
      </w:r>
    </w:p>
    <w:p w:rsidR="00FE4156" w:rsidRPr="004B0618" w:rsidRDefault="004B0618" w:rsidP="00D12645">
      <w:pPr>
        <w:rPr>
          <w:rFonts w:eastAsia="Batang"/>
          <w:b/>
          <w:bCs/>
          <w:i/>
          <w:iCs/>
          <w:u w:val="single"/>
        </w:rPr>
      </w:pPr>
      <w:r w:rsidRPr="004B0618">
        <w:rPr>
          <w:rFonts w:eastAsia="Batang"/>
          <w:b/>
          <w:bCs/>
          <w:i/>
          <w:iCs/>
          <w:u w:val="single"/>
        </w:rPr>
        <w:t>Fin de citation</w:t>
      </w:r>
    </w:p>
    <w:p w:rsidR="00FE4156" w:rsidRPr="004B0618" w:rsidRDefault="004B0618" w:rsidP="00D12645">
      <w:pPr>
        <w:rPr>
          <w:rFonts w:eastAsia="MS Mincho"/>
          <w:lang w:bidi="th-TH"/>
        </w:rPr>
      </w:pPr>
      <w:r w:rsidRPr="004B0618">
        <w:rPr>
          <w:rFonts w:eastAsia="MS Mincho"/>
          <w:lang w:bidi="th-TH"/>
        </w:rPr>
        <w:t>Le point 1.6.2 de l'ordre du jour présente le même problème. Comme le montre l'étude susmentionnée, les spécificités des stations terriennes du SFS et leur nombre rendent l'attribution de cette bande très complexe</w:t>
      </w:r>
      <w:r w:rsidR="00FE4156" w:rsidRPr="004B0618">
        <w:rPr>
          <w:rFonts w:eastAsia="MS Mincho"/>
          <w:lang w:bidi="th-TH"/>
        </w:rPr>
        <w:t>.</w:t>
      </w:r>
    </w:p>
    <w:p w:rsidR="00A634A6" w:rsidRPr="004B0618" w:rsidRDefault="004B0618" w:rsidP="00D12645">
      <w:pPr>
        <w:rPr>
          <w:rFonts w:eastAsia="Batang"/>
          <w:b/>
          <w:bCs/>
        </w:rPr>
      </w:pPr>
      <w:r w:rsidRPr="004B0618">
        <w:rPr>
          <w:rFonts w:eastAsia="MS Mincho"/>
          <w:lang w:bidi="th-TH"/>
        </w:rPr>
        <w:t>Le Tableau 1 ci-dessous montre toutes les sous-bandes envisageables pour traiter les points 1.6.1 et</w:t>
      </w:r>
      <w:r w:rsidR="00D12645">
        <w:rPr>
          <w:rFonts w:eastAsia="MS Mincho"/>
          <w:lang w:bidi="th-TH"/>
        </w:rPr>
        <w:t> </w:t>
      </w:r>
      <w:r w:rsidRPr="004B0618">
        <w:rPr>
          <w:rFonts w:eastAsia="MS Mincho"/>
          <w:lang w:bidi="th-TH"/>
        </w:rPr>
        <w:t>1.6.2 de l'ordre du jour. De toute évidence, il est parfaitement possible d'utiliser d'autres sous-bandes aux fins de ces deux points de l'ordre du jour</w:t>
      </w:r>
      <w:r w:rsidR="00A634A6" w:rsidRPr="004B0618">
        <w:rPr>
          <w:rFonts w:eastAsia="MS Mincho"/>
          <w:lang w:bidi="th-TH"/>
        </w:rPr>
        <w:t>.</w:t>
      </w:r>
    </w:p>
    <w:p w:rsidR="00A108A3" w:rsidRPr="00A108A3" w:rsidRDefault="00A108A3" w:rsidP="00993E61">
      <w:pPr>
        <w:pStyle w:val="TableNo"/>
        <w:rPr>
          <w:rFonts w:eastAsia="MS Mincho"/>
          <w:lang w:val="en-GB" w:bidi="th-TH"/>
        </w:rPr>
      </w:pPr>
      <w:r w:rsidRPr="00A108A3">
        <w:rPr>
          <w:rFonts w:eastAsia="MS Mincho"/>
          <w:lang w:val="en-GB" w:bidi="th-TH"/>
        </w:rPr>
        <w:t>Table</w:t>
      </w:r>
      <w:r w:rsidR="004B0618">
        <w:rPr>
          <w:rFonts w:eastAsia="MS Mincho"/>
          <w:lang w:val="en-GB" w:bidi="th-TH"/>
        </w:rPr>
        <w:t>AU</w:t>
      </w:r>
      <w:r w:rsidRPr="00A108A3">
        <w:rPr>
          <w:rFonts w:eastAsia="MS Mincho"/>
          <w:lang w:val="en-GB" w:bidi="th-TH"/>
        </w:rPr>
        <w:t>-1</w:t>
      </w:r>
    </w:p>
    <w:tbl>
      <w:tblPr>
        <w:bidiVisual/>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4039"/>
        <w:gridCol w:w="995"/>
        <w:gridCol w:w="1584"/>
        <w:gridCol w:w="572"/>
      </w:tblGrid>
      <w:tr w:rsidR="004B0618" w:rsidRPr="00A108A3" w:rsidTr="004B0618">
        <w:trPr>
          <w:jc w:val="center"/>
        </w:trPr>
        <w:tc>
          <w:tcPr>
            <w:tcW w:w="2638" w:type="dxa"/>
            <w:vAlign w:val="center"/>
          </w:tcPr>
          <w:p w:rsidR="004B0618" w:rsidRDefault="004B0618" w:rsidP="00993E61">
            <w:pPr>
              <w:pStyle w:val="Tablehead"/>
              <w:rPr>
                <w:rFonts w:asciiTheme="minorHAnsi" w:hAnsiTheme="minorHAnsi"/>
              </w:rPr>
            </w:pPr>
            <w:r>
              <w:t>Utilisation (montant(U)/descendant(D))</w:t>
            </w:r>
          </w:p>
        </w:tc>
        <w:tc>
          <w:tcPr>
            <w:tcW w:w="4039" w:type="dxa"/>
            <w:vAlign w:val="center"/>
          </w:tcPr>
          <w:p w:rsidR="004B0618" w:rsidRDefault="004B0618" w:rsidP="00993E61">
            <w:pPr>
              <w:pStyle w:val="Tablehead"/>
              <w:rPr>
                <w:rFonts w:ascii="MS Mincho" w:eastAsia="MS Mincho" w:hAnsiTheme="minorHAnsi"/>
              </w:rPr>
            </w:pPr>
            <w:r>
              <w:t>Signification de l'abréviation</w:t>
            </w:r>
          </w:p>
        </w:tc>
        <w:tc>
          <w:tcPr>
            <w:tcW w:w="995" w:type="dxa"/>
            <w:vAlign w:val="center"/>
          </w:tcPr>
          <w:p w:rsidR="004B0618" w:rsidRDefault="004B0618" w:rsidP="00993E61">
            <w:pPr>
              <w:pStyle w:val="Tablehead"/>
              <w:rPr>
                <w:rFonts w:asciiTheme="minorHAnsi" w:hAnsiTheme="minorHAnsi"/>
              </w:rPr>
            </w:pPr>
            <w:r>
              <w:t>Services</w:t>
            </w:r>
          </w:p>
        </w:tc>
        <w:tc>
          <w:tcPr>
            <w:tcW w:w="1584" w:type="dxa"/>
            <w:vAlign w:val="center"/>
          </w:tcPr>
          <w:p w:rsidR="004B0618" w:rsidRDefault="004B0618" w:rsidP="00993E61">
            <w:pPr>
              <w:pStyle w:val="Tablehead"/>
              <w:rPr>
                <w:rFonts w:ascii="MS Mincho" w:eastAsia="MS Mincho" w:hAnsiTheme="minorHAnsi"/>
              </w:rPr>
            </w:pPr>
            <w:r>
              <w:t>Sous-bande de fréquences (GHz)</w:t>
            </w:r>
          </w:p>
        </w:tc>
        <w:tc>
          <w:tcPr>
            <w:tcW w:w="572" w:type="dxa"/>
            <w:vAlign w:val="center"/>
          </w:tcPr>
          <w:p w:rsidR="004B0618" w:rsidRDefault="004B0618" w:rsidP="00993E61">
            <w:pPr>
              <w:pStyle w:val="Tablehead"/>
              <w:rPr>
                <w:rFonts w:ascii="MS Mincho" w:eastAsia="MS Mincho" w:hAnsiTheme="minorHAnsi"/>
              </w:rPr>
            </w:pPr>
            <w:r>
              <w:rPr>
                <w:noProof/>
              </w:rPr>
              <w:t>N</w:t>
            </w:r>
            <w:r>
              <w:rPr>
                <w:noProof/>
                <w:vertAlign w:val="superscript"/>
              </w:rPr>
              <w:t>o</w:t>
            </w:r>
          </w:p>
        </w:tc>
      </w:tr>
      <w:tr w:rsidR="004B0618" w:rsidRPr="00A108A3" w:rsidTr="004B0618">
        <w:trPr>
          <w:jc w:val="center"/>
        </w:trPr>
        <w:tc>
          <w:tcPr>
            <w:tcW w:w="2638" w:type="dxa"/>
            <w:vAlign w:val="center"/>
          </w:tcPr>
          <w:p w:rsidR="004B0618" w:rsidRDefault="004B0618" w:rsidP="00993E61">
            <w:pPr>
              <w:pStyle w:val="Tabletext"/>
              <w:rPr>
                <w:rFonts w:asciiTheme="minorHAnsi" w:hAnsiTheme="minorHAnsi"/>
                <w:rtl/>
                <w:lang w:bidi="fa-IR"/>
              </w:rPr>
            </w:pPr>
            <w:r>
              <w:rPr>
                <w:noProof/>
              </w:rPr>
              <w:t>U/D (Active)</w:t>
            </w:r>
          </w:p>
        </w:tc>
        <w:tc>
          <w:tcPr>
            <w:tcW w:w="4039" w:type="dxa"/>
            <w:vAlign w:val="center"/>
          </w:tcPr>
          <w:p w:rsidR="004B0618" w:rsidRDefault="004B0618" w:rsidP="00993E61">
            <w:pPr>
              <w:pStyle w:val="Tabletext"/>
              <w:rPr>
                <w:rFonts w:asciiTheme="minorHAnsi" w:hAnsiTheme="minorHAnsi"/>
                <w:rtl/>
              </w:rPr>
            </w:pPr>
            <w:r>
              <w:t>Service d'exploration de la Terre par satellite</w:t>
            </w:r>
          </w:p>
        </w:tc>
        <w:tc>
          <w:tcPr>
            <w:tcW w:w="995" w:type="dxa"/>
            <w:vAlign w:val="center"/>
          </w:tcPr>
          <w:p w:rsidR="004B0618" w:rsidRDefault="004B0618" w:rsidP="00993E61">
            <w:pPr>
              <w:pStyle w:val="Tabletext"/>
              <w:rPr>
                <w:rFonts w:asciiTheme="minorHAnsi" w:hAnsiTheme="minorHAnsi"/>
                <w:rtl/>
              </w:rPr>
            </w:pPr>
            <w:r>
              <w:t>SETS</w:t>
            </w:r>
          </w:p>
        </w:tc>
        <w:tc>
          <w:tcPr>
            <w:tcW w:w="1584" w:type="dxa"/>
            <w:vMerge w:val="restart"/>
            <w:vAlign w:val="center"/>
          </w:tcPr>
          <w:p w:rsidR="004B0618" w:rsidRPr="00FB0EBA" w:rsidRDefault="004B0618" w:rsidP="00993E61">
            <w:pPr>
              <w:pStyle w:val="Tabletext"/>
              <w:rPr>
                <w:rFonts w:asciiTheme="minorHAnsi" w:hAnsiTheme="minorHAnsi"/>
                <w:b/>
                <w:rtl/>
                <w:lang w:bidi="fa-IR"/>
              </w:rPr>
            </w:pPr>
            <w:r w:rsidRPr="00FB0EBA">
              <w:rPr>
                <w:b/>
              </w:rPr>
              <w:t>13</w:t>
            </w:r>
            <w:r>
              <w:rPr>
                <w:b/>
              </w:rPr>
              <w:t>,</w:t>
            </w:r>
            <w:r w:rsidRPr="00FB0EBA">
              <w:rPr>
                <w:b/>
              </w:rPr>
              <w:t>25-13</w:t>
            </w:r>
            <w:r>
              <w:rPr>
                <w:b/>
              </w:rPr>
              <w:t>,</w:t>
            </w:r>
            <w:r w:rsidRPr="00FB0EBA">
              <w:rPr>
                <w:b/>
              </w:rPr>
              <w:t>4</w:t>
            </w:r>
          </w:p>
        </w:tc>
        <w:tc>
          <w:tcPr>
            <w:tcW w:w="572" w:type="dxa"/>
            <w:vMerge w:val="restart"/>
            <w:vAlign w:val="center"/>
          </w:tcPr>
          <w:p w:rsidR="004B0618" w:rsidRDefault="004B0618" w:rsidP="00993E61">
            <w:pPr>
              <w:pStyle w:val="Tabletext"/>
              <w:rPr>
                <w:b/>
              </w:rPr>
            </w:pPr>
            <w:r>
              <w:rPr>
                <w:b/>
              </w:rPr>
              <w:t>1</w:t>
            </w: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rtl/>
                <w:lang w:val="en-GB" w:eastAsia="zh-CN" w:bidi="fa-IR"/>
              </w:rPr>
            </w:pPr>
            <w:r>
              <w:t>Service de radionavigation aéronautique</w:t>
            </w:r>
          </w:p>
        </w:tc>
        <w:tc>
          <w:tcPr>
            <w:tcW w:w="995" w:type="dxa"/>
            <w:vAlign w:val="center"/>
          </w:tcPr>
          <w:p w:rsidR="004B0618" w:rsidRPr="00A108A3" w:rsidRDefault="004B0618" w:rsidP="00993E61">
            <w:pPr>
              <w:pStyle w:val="Tabletext"/>
              <w:rPr>
                <w:rFonts w:eastAsia="MS Mincho"/>
                <w:rtl/>
                <w:lang w:val="en-GB" w:eastAsia="zh-CN" w:bidi="fa-IR"/>
              </w:rPr>
            </w:pPr>
            <w:r>
              <w:t>SRNA</w:t>
            </w:r>
          </w:p>
        </w:tc>
        <w:tc>
          <w:tcPr>
            <w:tcW w:w="1584" w:type="dxa"/>
            <w:vMerge/>
            <w:vAlign w:val="center"/>
          </w:tcPr>
          <w:p w:rsidR="004B0618" w:rsidRPr="00A108A3" w:rsidRDefault="004B0618" w:rsidP="00993E61">
            <w:pPr>
              <w:pStyle w:val="Tabletext"/>
              <w:rPr>
                <w:rFonts w:eastAsia="MS Mincho"/>
                <w:b/>
                <w:bCs/>
                <w:rtl/>
                <w:lang w:val="en-GB" w:eastAsia="zh-CN" w:bidi="fa-IR"/>
              </w:rPr>
            </w:pPr>
          </w:p>
        </w:tc>
        <w:tc>
          <w:tcPr>
            <w:tcW w:w="572" w:type="dxa"/>
            <w:vMerge/>
            <w:vAlign w:val="center"/>
          </w:tcPr>
          <w:p w:rsidR="004B0618" w:rsidRPr="00A108A3" w:rsidRDefault="004B0618" w:rsidP="00993E61">
            <w:pPr>
              <w:pStyle w:val="Tabletext"/>
              <w:rPr>
                <w:rFonts w:eastAsia="MS Mincho"/>
                <w:b/>
                <w:bCs/>
                <w:rtl/>
                <w:lang w:val="en-GB" w:eastAsia="zh-CN" w:bidi="fa-IR"/>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 (Active)</w:t>
            </w:r>
          </w:p>
        </w:tc>
        <w:tc>
          <w:tcPr>
            <w:tcW w:w="4039" w:type="dxa"/>
            <w:vAlign w:val="center"/>
          </w:tcPr>
          <w:p w:rsidR="004B0618" w:rsidRPr="00A108A3" w:rsidRDefault="004B0618" w:rsidP="00993E61">
            <w:pPr>
              <w:pStyle w:val="Tabletext"/>
              <w:rPr>
                <w:rFonts w:eastAsia="MS Mincho"/>
                <w:rtl/>
                <w:lang w:val="en-GB" w:eastAsia="zh-CN" w:bidi="fa-IR"/>
              </w:rPr>
            </w:pPr>
            <w:r>
              <w:t>Service de recherche spatiale</w:t>
            </w:r>
          </w:p>
        </w:tc>
        <w:tc>
          <w:tcPr>
            <w:tcW w:w="995" w:type="dxa"/>
            <w:vAlign w:val="center"/>
          </w:tcPr>
          <w:p w:rsidR="004B0618" w:rsidRPr="00A108A3" w:rsidRDefault="004B0618" w:rsidP="00993E61">
            <w:pPr>
              <w:pStyle w:val="Tabletext"/>
              <w:rPr>
                <w:rFonts w:eastAsia="MS Mincho"/>
                <w:lang w:val="en-GB" w:eastAsia="zh-CN" w:bidi="th-TH"/>
              </w:rPr>
            </w:pPr>
            <w:r>
              <w:t>Service de recherche spatiale</w:t>
            </w:r>
          </w:p>
        </w:tc>
        <w:tc>
          <w:tcPr>
            <w:tcW w:w="1584" w:type="dxa"/>
            <w:vMerge/>
            <w:vAlign w:val="center"/>
          </w:tcPr>
          <w:p w:rsidR="004B0618" w:rsidRPr="00A108A3" w:rsidRDefault="004B0618" w:rsidP="00993E61">
            <w:pPr>
              <w:pStyle w:val="Tabletext"/>
              <w:rPr>
                <w:rFonts w:eastAsia="MS Mincho"/>
                <w:b/>
                <w:bCs/>
                <w:rtl/>
                <w:lang w:val="en-GB" w:eastAsia="zh-CN" w:bidi="fa-IR"/>
              </w:rPr>
            </w:pPr>
          </w:p>
        </w:tc>
        <w:tc>
          <w:tcPr>
            <w:tcW w:w="572" w:type="dxa"/>
            <w:vMerge/>
            <w:vAlign w:val="center"/>
          </w:tcPr>
          <w:p w:rsidR="004B0618" w:rsidRPr="00A108A3" w:rsidRDefault="004B0618" w:rsidP="00993E61">
            <w:pPr>
              <w:pStyle w:val="Tabletext"/>
              <w:rPr>
                <w:rFonts w:eastAsia="MS Mincho"/>
                <w:b/>
                <w:bCs/>
                <w:rtl/>
                <w:lang w:val="en-GB" w:eastAsia="zh-CN" w:bidi="fa-IR"/>
              </w:rPr>
            </w:pPr>
          </w:p>
        </w:tc>
      </w:tr>
      <w:tr w:rsidR="004B0618" w:rsidRPr="00A108A3" w:rsidTr="004B0618">
        <w:trPr>
          <w:jc w:val="center"/>
        </w:trPr>
        <w:tc>
          <w:tcPr>
            <w:tcW w:w="2638" w:type="dxa"/>
            <w:vAlign w:val="center"/>
          </w:tcPr>
          <w:p w:rsidR="004B0618" w:rsidRPr="00A108A3" w:rsidRDefault="00CD06DF" w:rsidP="00993E61">
            <w:pPr>
              <w:pStyle w:val="Tabletext"/>
              <w:rPr>
                <w:rFonts w:eastAsia="MS Mincho"/>
                <w:rtl/>
                <w:lang w:val="en-GB" w:eastAsia="zh-CN" w:bidi="fa-IR"/>
              </w:rPr>
            </w:pPr>
            <w:r>
              <w:rPr>
                <w:noProof/>
              </w:rPr>
              <w:t>U/</w:t>
            </w:r>
            <w:r w:rsidR="004B0618">
              <w:rPr>
                <w:noProof/>
              </w:rPr>
              <w:t>D</w:t>
            </w:r>
          </w:p>
        </w:tc>
        <w:tc>
          <w:tcPr>
            <w:tcW w:w="4039" w:type="dxa"/>
            <w:vAlign w:val="center"/>
          </w:tcPr>
          <w:p w:rsidR="004B0618" w:rsidRPr="00A108A3" w:rsidRDefault="004B0618" w:rsidP="00993E61">
            <w:pPr>
              <w:pStyle w:val="Tabletext"/>
              <w:rPr>
                <w:rFonts w:eastAsia="MS Mincho"/>
                <w:rtl/>
                <w:lang w:val="en-GB" w:eastAsia="zh-CN" w:bidi="fa-IR"/>
              </w:rPr>
            </w:pPr>
            <w:r>
              <w:t>Service fixe</w:t>
            </w:r>
          </w:p>
        </w:tc>
        <w:tc>
          <w:tcPr>
            <w:tcW w:w="995" w:type="dxa"/>
            <w:vAlign w:val="center"/>
          </w:tcPr>
          <w:p w:rsidR="004B0618" w:rsidRPr="00A108A3" w:rsidRDefault="004B0618" w:rsidP="00993E61">
            <w:pPr>
              <w:pStyle w:val="Tabletext"/>
              <w:rPr>
                <w:rFonts w:eastAsia="MS Mincho"/>
                <w:rtl/>
                <w:lang w:val="en-GB" w:eastAsia="zh-CN" w:bidi="fa-IR"/>
              </w:rPr>
            </w:pPr>
            <w:r>
              <w:t>SF</w:t>
            </w:r>
          </w:p>
        </w:tc>
        <w:tc>
          <w:tcPr>
            <w:tcW w:w="1584" w:type="dxa"/>
            <w:vMerge/>
            <w:vAlign w:val="center"/>
          </w:tcPr>
          <w:p w:rsidR="004B0618" w:rsidRPr="00A108A3" w:rsidRDefault="004B0618" w:rsidP="00993E61">
            <w:pPr>
              <w:pStyle w:val="Tabletext"/>
              <w:rPr>
                <w:rFonts w:eastAsia="MS Mincho"/>
                <w:b/>
                <w:bCs/>
                <w:rtl/>
                <w:lang w:val="en-GB" w:eastAsia="zh-CN" w:bidi="fa-IR"/>
              </w:rPr>
            </w:pPr>
          </w:p>
        </w:tc>
        <w:tc>
          <w:tcPr>
            <w:tcW w:w="572" w:type="dxa"/>
            <w:vMerge/>
            <w:vAlign w:val="center"/>
          </w:tcPr>
          <w:p w:rsidR="004B0618" w:rsidRPr="00A108A3" w:rsidRDefault="004B0618" w:rsidP="00993E61">
            <w:pPr>
              <w:pStyle w:val="Tabletext"/>
              <w:rPr>
                <w:rFonts w:eastAsia="MS Mincho"/>
                <w:b/>
                <w:bCs/>
                <w:rtl/>
                <w:lang w:val="en-GB" w:eastAsia="zh-CN" w:bidi="fa-IR"/>
              </w:rPr>
            </w:pPr>
          </w:p>
        </w:tc>
      </w:tr>
      <w:tr w:rsidR="004B0618" w:rsidRPr="00A108A3" w:rsidTr="004B0618">
        <w:trPr>
          <w:jc w:val="center"/>
        </w:trPr>
        <w:tc>
          <w:tcPr>
            <w:tcW w:w="2638" w:type="dxa"/>
            <w:vAlign w:val="center"/>
          </w:tcPr>
          <w:p w:rsidR="004B0618" w:rsidRDefault="004B0618" w:rsidP="00993E61">
            <w:pPr>
              <w:pStyle w:val="Tabletext"/>
              <w:rPr>
                <w:rFonts w:asciiTheme="minorHAnsi" w:hAnsiTheme="minorHAnsi"/>
                <w:rtl/>
                <w:lang w:bidi="fa-IR"/>
              </w:rPr>
            </w:pPr>
            <w:r>
              <w:rPr>
                <w:noProof/>
              </w:rPr>
              <w:t>U/D</w:t>
            </w:r>
          </w:p>
        </w:tc>
        <w:tc>
          <w:tcPr>
            <w:tcW w:w="4039" w:type="dxa"/>
            <w:vAlign w:val="center"/>
          </w:tcPr>
          <w:p w:rsidR="004B0618" w:rsidRDefault="004B0618" w:rsidP="00993E61">
            <w:pPr>
              <w:pStyle w:val="Tabletext"/>
              <w:rPr>
                <w:rFonts w:asciiTheme="minorHAnsi" w:hAnsiTheme="minorHAnsi"/>
                <w:rtl/>
              </w:rPr>
            </w:pPr>
            <w:r>
              <w:t>Service d'exploration de la Terre par satellite</w:t>
            </w:r>
          </w:p>
        </w:tc>
        <w:tc>
          <w:tcPr>
            <w:tcW w:w="995" w:type="dxa"/>
            <w:vAlign w:val="center"/>
          </w:tcPr>
          <w:p w:rsidR="004B0618" w:rsidRDefault="004B0618" w:rsidP="00993E61">
            <w:pPr>
              <w:pStyle w:val="Tabletext"/>
              <w:rPr>
                <w:rFonts w:asciiTheme="minorHAnsi" w:hAnsiTheme="minorHAnsi"/>
                <w:rtl/>
              </w:rPr>
            </w:pPr>
            <w:r>
              <w:t>SETS</w:t>
            </w:r>
          </w:p>
        </w:tc>
        <w:tc>
          <w:tcPr>
            <w:tcW w:w="1584" w:type="dxa"/>
            <w:vMerge w:val="restart"/>
            <w:vAlign w:val="center"/>
          </w:tcPr>
          <w:p w:rsidR="004B0618" w:rsidRPr="00FB0EBA" w:rsidRDefault="004B0618" w:rsidP="00993E61">
            <w:pPr>
              <w:pStyle w:val="Tabletext"/>
              <w:rPr>
                <w:rFonts w:asciiTheme="minorHAnsi" w:hAnsiTheme="minorHAnsi"/>
                <w:b/>
                <w:rtl/>
                <w:lang w:bidi="fa-IR"/>
              </w:rPr>
            </w:pPr>
            <w:r w:rsidRPr="00FB0EBA">
              <w:rPr>
                <w:b/>
              </w:rPr>
              <w:t>13</w:t>
            </w:r>
            <w:r>
              <w:rPr>
                <w:b/>
              </w:rPr>
              <w:t>,</w:t>
            </w:r>
            <w:r w:rsidRPr="00FB0EBA">
              <w:rPr>
                <w:b/>
              </w:rPr>
              <w:t>4-13</w:t>
            </w:r>
            <w:r>
              <w:rPr>
                <w:b/>
              </w:rPr>
              <w:t>,</w:t>
            </w:r>
            <w:r w:rsidRPr="00FB0EBA">
              <w:rPr>
                <w:b/>
              </w:rPr>
              <w:t>75</w:t>
            </w:r>
          </w:p>
        </w:tc>
        <w:tc>
          <w:tcPr>
            <w:tcW w:w="572" w:type="dxa"/>
            <w:vMerge w:val="restart"/>
            <w:vAlign w:val="center"/>
          </w:tcPr>
          <w:p w:rsidR="004B0618" w:rsidRDefault="004B0618" w:rsidP="00993E61">
            <w:pPr>
              <w:pStyle w:val="Tabletext"/>
              <w:rPr>
                <w:b/>
              </w:rPr>
            </w:pPr>
            <w:r>
              <w:rPr>
                <w:b/>
              </w:rPr>
              <w:t>2</w:t>
            </w: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rtl/>
                <w:lang w:val="en-GB" w:eastAsia="zh-CN" w:bidi="fa-IR"/>
              </w:rPr>
            </w:pPr>
            <w:r>
              <w:t>Service de recherche spatiale</w:t>
            </w:r>
          </w:p>
        </w:tc>
        <w:tc>
          <w:tcPr>
            <w:tcW w:w="995" w:type="dxa"/>
            <w:vAlign w:val="center"/>
          </w:tcPr>
          <w:p w:rsidR="004B0618" w:rsidRPr="00A108A3" w:rsidRDefault="004B0618" w:rsidP="00993E61">
            <w:pPr>
              <w:pStyle w:val="Tabletext"/>
              <w:rPr>
                <w:rFonts w:eastAsia="MS Mincho"/>
                <w:lang w:val="en-GB" w:eastAsia="zh-CN" w:bidi="th-TH"/>
              </w:rPr>
            </w:pPr>
            <w:r>
              <w:t>Service de recherche spatiale</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lang w:val="en-GB" w:eastAsia="zh-CN" w:bidi="th-TH"/>
              </w:rPr>
            </w:pPr>
            <w:r>
              <w:t>Service de radiolocalisation</w:t>
            </w:r>
          </w:p>
        </w:tc>
        <w:tc>
          <w:tcPr>
            <w:tcW w:w="995" w:type="dxa"/>
            <w:vAlign w:val="center"/>
          </w:tcPr>
          <w:p w:rsidR="004B0618" w:rsidRPr="00A108A3" w:rsidRDefault="004B0618" w:rsidP="00993E61">
            <w:pPr>
              <w:pStyle w:val="Tabletext"/>
              <w:rPr>
                <w:rFonts w:eastAsia="MS Mincho"/>
                <w:lang w:val="en-GB" w:eastAsia="zh-CN" w:bidi="th-TH"/>
              </w:rPr>
            </w:pPr>
            <w:r>
              <w:t>SRL</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lang w:val="en-GB" w:eastAsia="zh-CN" w:bidi="th-TH"/>
              </w:rPr>
            </w:pPr>
            <w:r>
              <w:t>Service de radionavigation</w:t>
            </w:r>
          </w:p>
        </w:tc>
        <w:tc>
          <w:tcPr>
            <w:tcW w:w="995" w:type="dxa"/>
            <w:vAlign w:val="center"/>
          </w:tcPr>
          <w:p w:rsidR="004B0618" w:rsidRPr="00A108A3" w:rsidRDefault="004B0618" w:rsidP="00993E61">
            <w:pPr>
              <w:pStyle w:val="Tabletext"/>
              <w:rPr>
                <w:rFonts w:eastAsia="MS Mincho"/>
                <w:lang w:val="en-GB" w:eastAsia="zh-CN" w:bidi="th-TH"/>
              </w:rPr>
            </w:pPr>
            <w:r>
              <w:t>SRN</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rtl/>
                <w:lang w:val="en-GB" w:eastAsia="zh-CN" w:bidi="fa-IR"/>
              </w:rPr>
            </w:pPr>
            <w:r>
              <w:t>Service fixe</w:t>
            </w:r>
          </w:p>
        </w:tc>
        <w:tc>
          <w:tcPr>
            <w:tcW w:w="995" w:type="dxa"/>
            <w:vAlign w:val="center"/>
          </w:tcPr>
          <w:p w:rsidR="004B0618" w:rsidRPr="00A108A3" w:rsidRDefault="004B0618" w:rsidP="00993E61">
            <w:pPr>
              <w:pStyle w:val="Tabletext"/>
              <w:rPr>
                <w:rFonts w:eastAsia="MS Mincho"/>
                <w:lang w:val="en-GB" w:eastAsia="zh-CN" w:bidi="th-TH"/>
              </w:rPr>
            </w:pPr>
            <w:r>
              <w:rPr>
                <w:noProof/>
              </w:rPr>
              <w:t>SF</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lang w:val="en-GB" w:eastAsia="zh-CN" w:bidi="th-TH"/>
              </w:rPr>
            </w:pPr>
            <w:r>
              <w:t>Service mobile</w:t>
            </w:r>
          </w:p>
        </w:tc>
        <w:tc>
          <w:tcPr>
            <w:tcW w:w="995" w:type="dxa"/>
            <w:vAlign w:val="center"/>
          </w:tcPr>
          <w:p w:rsidR="004B0618" w:rsidRPr="00A108A3" w:rsidRDefault="004B0618" w:rsidP="00993E61">
            <w:pPr>
              <w:pStyle w:val="Tabletext"/>
              <w:rPr>
                <w:rFonts w:eastAsia="MS Mincho"/>
                <w:lang w:val="en-GB" w:eastAsia="zh-CN" w:bidi="th-TH"/>
              </w:rPr>
            </w:pPr>
            <w:r>
              <w:rPr>
                <w:noProof/>
              </w:rPr>
              <w:t>SM</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4B0618" w:rsidRDefault="004B0618" w:rsidP="00993E61">
            <w:pPr>
              <w:pStyle w:val="Tabletext"/>
              <w:rPr>
                <w:rFonts w:eastAsia="MS Mincho"/>
                <w:lang w:eastAsia="zh-CN" w:bidi="th-TH"/>
              </w:rPr>
            </w:pPr>
            <w:r>
              <w:t>Service des fréquences étalon et des signaux horaires par satellite</w:t>
            </w:r>
          </w:p>
        </w:tc>
        <w:tc>
          <w:tcPr>
            <w:tcW w:w="995" w:type="dxa"/>
            <w:vAlign w:val="center"/>
          </w:tcPr>
          <w:p w:rsidR="004B0618" w:rsidRPr="00A108A3" w:rsidRDefault="004B0618" w:rsidP="00993E61">
            <w:pPr>
              <w:pStyle w:val="Tabletext"/>
              <w:rPr>
                <w:rFonts w:eastAsia="MS Mincho"/>
                <w:lang w:val="en-GB" w:eastAsia="zh-CN" w:bidi="th-TH"/>
              </w:rPr>
            </w:pPr>
            <w:r w:rsidRPr="00FB0EBA">
              <w:t>SFTSSS</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bl>
    <w:p w:rsidR="000516F4" w:rsidRDefault="000516F4">
      <w:pPr>
        <w:bidi/>
      </w:pPr>
      <w:r>
        <w:br w:type="page"/>
      </w:r>
    </w:p>
    <w:tbl>
      <w:tblPr>
        <w:bidiVisual/>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4039"/>
        <w:gridCol w:w="995"/>
        <w:gridCol w:w="1584"/>
        <w:gridCol w:w="572"/>
      </w:tblGrid>
      <w:tr w:rsidR="004B0618" w:rsidRPr="00A108A3" w:rsidTr="004B0618">
        <w:trPr>
          <w:jc w:val="center"/>
        </w:trPr>
        <w:tc>
          <w:tcPr>
            <w:tcW w:w="2638" w:type="dxa"/>
            <w:vAlign w:val="center"/>
          </w:tcPr>
          <w:p w:rsidR="004B0618" w:rsidRDefault="004B0618" w:rsidP="00993E61">
            <w:pPr>
              <w:pStyle w:val="Tabletext"/>
              <w:rPr>
                <w:rFonts w:asciiTheme="minorHAnsi" w:hAnsiTheme="minorHAnsi"/>
                <w:rtl/>
                <w:lang w:bidi="fa-IR"/>
              </w:rPr>
            </w:pPr>
            <w:r>
              <w:rPr>
                <w:noProof/>
              </w:rPr>
              <w:lastRenderedPageBreak/>
              <w:t>U (Plan, Liste)</w:t>
            </w:r>
          </w:p>
        </w:tc>
        <w:tc>
          <w:tcPr>
            <w:tcW w:w="4039" w:type="dxa"/>
            <w:vAlign w:val="center"/>
          </w:tcPr>
          <w:p w:rsidR="004B0618" w:rsidRDefault="004B0618" w:rsidP="00993E61">
            <w:pPr>
              <w:pStyle w:val="Tabletext"/>
              <w:rPr>
                <w:rFonts w:ascii="MS Mincho" w:eastAsia="MS Mincho" w:hAnsiTheme="minorHAnsi"/>
              </w:rPr>
            </w:pPr>
            <w:r>
              <w:t>Service de radiodiffusion par satellite</w:t>
            </w:r>
          </w:p>
        </w:tc>
        <w:tc>
          <w:tcPr>
            <w:tcW w:w="995" w:type="dxa"/>
            <w:vAlign w:val="center"/>
          </w:tcPr>
          <w:p w:rsidR="004B0618" w:rsidRDefault="004B0618" w:rsidP="00993E61">
            <w:pPr>
              <w:pStyle w:val="Tabletext"/>
              <w:rPr>
                <w:rFonts w:ascii="MS Mincho" w:eastAsia="MS Mincho" w:hAnsiTheme="minorHAnsi"/>
              </w:rPr>
            </w:pPr>
            <w:r>
              <w:t xml:space="preserve">SRS </w:t>
            </w:r>
          </w:p>
        </w:tc>
        <w:tc>
          <w:tcPr>
            <w:tcW w:w="1584" w:type="dxa"/>
            <w:vMerge w:val="restart"/>
            <w:vAlign w:val="center"/>
          </w:tcPr>
          <w:p w:rsidR="004B0618" w:rsidRDefault="004B0618" w:rsidP="00993E61">
            <w:pPr>
              <w:pStyle w:val="Tabletext"/>
              <w:rPr>
                <w:b/>
              </w:rPr>
            </w:pPr>
            <w:r>
              <w:rPr>
                <w:b/>
              </w:rPr>
              <w:t>14,5-14,8</w:t>
            </w:r>
          </w:p>
        </w:tc>
        <w:tc>
          <w:tcPr>
            <w:tcW w:w="572" w:type="dxa"/>
            <w:vMerge w:val="restart"/>
            <w:vAlign w:val="center"/>
          </w:tcPr>
          <w:p w:rsidR="004B0618" w:rsidRDefault="004B0618" w:rsidP="00993E61">
            <w:pPr>
              <w:pStyle w:val="Tabletext"/>
              <w:rPr>
                <w:b/>
              </w:rPr>
            </w:pPr>
            <w:r>
              <w:rPr>
                <w:b/>
              </w:rPr>
              <w:t>3</w:t>
            </w: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rtl/>
                <w:lang w:val="en-GB" w:eastAsia="zh-CN" w:bidi="fa-IR"/>
              </w:rPr>
            </w:pPr>
            <w:r>
              <w:t>Service fixe</w:t>
            </w:r>
          </w:p>
        </w:tc>
        <w:tc>
          <w:tcPr>
            <w:tcW w:w="995" w:type="dxa"/>
            <w:vAlign w:val="center"/>
          </w:tcPr>
          <w:p w:rsidR="004B0618" w:rsidRPr="00A108A3" w:rsidRDefault="004B0618" w:rsidP="00993E61">
            <w:pPr>
              <w:pStyle w:val="Tabletext"/>
              <w:rPr>
                <w:rFonts w:eastAsia="MS Mincho"/>
                <w:lang w:val="en-GB" w:eastAsia="zh-CN" w:bidi="th-TH"/>
              </w:rPr>
            </w:pPr>
            <w:r>
              <w:rPr>
                <w:noProof/>
              </w:rPr>
              <w:t>SF</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lang w:eastAsia="zh-CN" w:bidi="th-TH"/>
              </w:rPr>
            </w:pPr>
            <w:r>
              <w:t>Service mobile / Service mobile aéronautique</w:t>
            </w:r>
          </w:p>
        </w:tc>
        <w:tc>
          <w:tcPr>
            <w:tcW w:w="995" w:type="dxa"/>
            <w:vAlign w:val="center"/>
          </w:tcPr>
          <w:p w:rsidR="004B0618" w:rsidRPr="00A108A3" w:rsidRDefault="004B0618" w:rsidP="00993E61">
            <w:pPr>
              <w:pStyle w:val="Tabletext"/>
              <w:rPr>
                <w:rFonts w:eastAsia="MS Mincho"/>
                <w:lang w:val="en-GB" w:eastAsia="zh-CN" w:bidi="th-TH"/>
              </w:rPr>
            </w:pPr>
            <w:r>
              <w:t>SM/SMA</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rtl/>
                <w:lang w:val="en-GB" w:eastAsia="zh-CN" w:bidi="fa-IR"/>
              </w:rPr>
            </w:pPr>
            <w:r>
              <w:t>Service de recherche spatiale</w:t>
            </w:r>
          </w:p>
        </w:tc>
        <w:tc>
          <w:tcPr>
            <w:tcW w:w="995" w:type="dxa"/>
            <w:vAlign w:val="center"/>
          </w:tcPr>
          <w:p w:rsidR="004B0618" w:rsidRPr="00A108A3" w:rsidRDefault="004B0618" w:rsidP="00993E61">
            <w:pPr>
              <w:pStyle w:val="Tabletext"/>
              <w:rPr>
                <w:rFonts w:eastAsia="MS Mincho"/>
                <w:lang w:val="en-GB" w:eastAsia="zh-CN" w:bidi="th-TH"/>
              </w:rPr>
            </w:pPr>
            <w:r>
              <w:t>Service de recherche spatiale</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Default="004B0618" w:rsidP="00993E61">
            <w:pPr>
              <w:pStyle w:val="Tabletext"/>
            </w:pPr>
            <w:r>
              <w:t>Bande du SRA adjacente</w:t>
            </w:r>
          </w:p>
          <w:p w:rsidR="004B0618" w:rsidRPr="00A108A3" w:rsidRDefault="004B0618" w:rsidP="00993E61">
            <w:pPr>
              <w:pStyle w:val="Tabletext"/>
              <w:rPr>
                <w:rFonts w:eastAsia="MS Mincho"/>
                <w:rtl/>
                <w:lang w:val="en-GB" w:eastAsia="zh-CN" w:bidi="fa-IR"/>
              </w:rPr>
            </w:pPr>
            <w:r>
              <w:t>(15,35-15,40</w:t>
            </w:r>
            <w:r w:rsidR="00CD06DF">
              <w:t> </w:t>
            </w:r>
            <w:r>
              <w:t>GHz)</w:t>
            </w:r>
          </w:p>
        </w:tc>
        <w:tc>
          <w:tcPr>
            <w:tcW w:w="4039" w:type="dxa"/>
            <w:vAlign w:val="center"/>
          </w:tcPr>
          <w:p w:rsidR="004B0618" w:rsidRPr="00A108A3" w:rsidRDefault="004B0618" w:rsidP="00993E61">
            <w:pPr>
              <w:pStyle w:val="Tabletext"/>
              <w:rPr>
                <w:rFonts w:eastAsia="MS Mincho"/>
                <w:lang w:val="en-GB" w:eastAsia="zh-CN" w:bidi="th-TH"/>
              </w:rPr>
            </w:pPr>
            <w:r>
              <w:t>Service de radioastronomie</w:t>
            </w:r>
          </w:p>
        </w:tc>
        <w:tc>
          <w:tcPr>
            <w:tcW w:w="995" w:type="dxa"/>
            <w:vAlign w:val="center"/>
          </w:tcPr>
          <w:p w:rsidR="004B0618" w:rsidRPr="00A108A3" w:rsidRDefault="004B0618" w:rsidP="00993E61">
            <w:pPr>
              <w:pStyle w:val="Tabletext"/>
              <w:rPr>
                <w:rFonts w:eastAsia="MS Mincho"/>
                <w:lang w:val="en-GB" w:eastAsia="zh-CN" w:bidi="th-TH"/>
              </w:rPr>
            </w:pPr>
            <w:r>
              <w:t>SRA</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Default="004B0618" w:rsidP="00993E61">
            <w:pPr>
              <w:pStyle w:val="Tabletext"/>
              <w:rPr>
                <w:rFonts w:asciiTheme="minorHAnsi" w:hAnsiTheme="minorHAnsi"/>
                <w:rtl/>
                <w:lang w:bidi="fa-IR"/>
              </w:rPr>
            </w:pPr>
            <w:r>
              <w:rPr>
                <w:noProof/>
              </w:rPr>
              <w:t>U/D</w:t>
            </w:r>
          </w:p>
        </w:tc>
        <w:tc>
          <w:tcPr>
            <w:tcW w:w="4039" w:type="dxa"/>
            <w:vAlign w:val="center"/>
          </w:tcPr>
          <w:p w:rsidR="004B0618" w:rsidRDefault="004B0618" w:rsidP="00993E61">
            <w:pPr>
              <w:pStyle w:val="Tabletext"/>
              <w:rPr>
                <w:rFonts w:ascii="MS Mincho" w:eastAsia="MS Mincho" w:hAnsiTheme="minorHAnsi"/>
              </w:rPr>
            </w:pPr>
            <w:r>
              <w:t>Service mobile / Service mobile aéronautique</w:t>
            </w:r>
          </w:p>
        </w:tc>
        <w:tc>
          <w:tcPr>
            <w:tcW w:w="995" w:type="dxa"/>
            <w:vAlign w:val="center"/>
          </w:tcPr>
          <w:p w:rsidR="004B0618" w:rsidRDefault="004B0618" w:rsidP="00993E61">
            <w:pPr>
              <w:pStyle w:val="Tabletext"/>
              <w:rPr>
                <w:rFonts w:ascii="MS Mincho" w:eastAsia="MS Mincho" w:hAnsiTheme="minorHAnsi"/>
              </w:rPr>
            </w:pPr>
            <w:r>
              <w:t>SM/SMA</w:t>
            </w:r>
          </w:p>
        </w:tc>
        <w:tc>
          <w:tcPr>
            <w:tcW w:w="1584" w:type="dxa"/>
            <w:vMerge w:val="restart"/>
            <w:vAlign w:val="center"/>
          </w:tcPr>
          <w:p w:rsidR="004B0618" w:rsidRDefault="004B0618" w:rsidP="00993E61">
            <w:pPr>
              <w:pStyle w:val="Tabletext"/>
              <w:rPr>
                <w:b/>
              </w:rPr>
            </w:pPr>
            <w:r>
              <w:rPr>
                <w:b/>
              </w:rPr>
              <w:t>14,8-15,35</w:t>
            </w:r>
          </w:p>
        </w:tc>
        <w:tc>
          <w:tcPr>
            <w:tcW w:w="572" w:type="dxa"/>
            <w:vMerge w:val="restart"/>
            <w:vAlign w:val="center"/>
          </w:tcPr>
          <w:p w:rsidR="004B0618" w:rsidRDefault="004B0618" w:rsidP="00993E61">
            <w:pPr>
              <w:pStyle w:val="Tabletext"/>
              <w:rPr>
                <w:b/>
              </w:rPr>
            </w:pPr>
            <w:r>
              <w:rPr>
                <w:b/>
              </w:rPr>
              <w:t>4</w:t>
            </w: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rtl/>
                <w:lang w:val="en-GB" w:eastAsia="zh-CN" w:bidi="fa-IR"/>
              </w:rPr>
            </w:pPr>
            <w:r>
              <w:t>Service fixe</w:t>
            </w:r>
          </w:p>
        </w:tc>
        <w:tc>
          <w:tcPr>
            <w:tcW w:w="995" w:type="dxa"/>
            <w:vAlign w:val="center"/>
          </w:tcPr>
          <w:p w:rsidR="004B0618" w:rsidRPr="00A108A3" w:rsidRDefault="004B0618" w:rsidP="00993E61">
            <w:pPr>
              <w:pStyle w:val="Tabletext"/>
              <w:rPr>
                <w:rFonts w:eastAsia="MS Mincho"/>
                <w:lang w:val="en-GB" w:eastAsia="zh-CN" w:bidi="th-TH"/>
              </w:rPr>
            </w:pPr>
            <w:r>
              <w:t>SF</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rtl/>
                <w:lang w:val="en-GB" w:eastAsia="zh-CN" w:bidi="fa-IR"/>
              </w:rPr>
            </w:pPr>
            <w:r>
              <w:rPr>
                <w:noProof/>
              </w:rPr>
              <w:t>U/D</w:t>
            </w:r>
          </w:p>
        </w:tc>
        <w:tc>
          <w:tcPr>
            <w:tcW w:w="4039" w:type="dxa"/>
            <w:vAlign w:val="center"/>
          </w:tcPr>
          <w:p w:rsidR="004B0618" w:rsidRPr="00A108A3" w:rsidRDefault="004B0618" w:rsidP="00993E61">
            <w:pPr>
              <w:pStyle w:val="Tabletext"/>
              <w:rPr>
                <w:rFonts w:eastAsia="MS Mincho"/>
                <w:rtl/>
                <w:lang w:val="en-GB" w:eastAsia="zh-CN" w:bidi="fa-IR"/>
              </w:rPr>
            </w:pPr>
            <w:r>
              <w:t>Service de recherche spatiale</w:t>
            </w:r>
          </w:p>
        </w:tc>
        <w:tc>
          <w:tcPr>
            <w:tcW w:w="995" w:type="dxa"/>
            <w:vAlign w:val="center"/>
          </w:tcPr>
          <w:p w:rsidR="004B0618" w:rsidRPr="00A108A3" w:rsidRDefault="004B0618" w:rsidP="00993E61">
            <w:pPr>
              <w:pStyle w:val="Tabletext"/>
              <w:rPr>
                <w:rFonts w:eastAsia="MS Mincho"/>
                <w:lang w:val="en-GB" w:eastAsia="zh-CN" w:bidi="th-TH"/>
              </w:rPr>
            </w:pPr>
            <w:r>
              <w:t>Service de recherche spatiale</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7672" w:type="dxa"/>
            <w:gridSpan w:val="3"/>
            <w:vAlign w:val="center"/>
          </w:tcPr>
          <w:p w:rsidR="004B0618" w:rsidRDefault="004B0618" w:rsidP="00993E61">
            <w:pPr>
              <w:pStyle w:val="Tabletext"/>
              <w:rPr>
                <w:rFonts w:ascii="MS Mincho" w:eastAsia="MS Mincho" w:hAnsiTheme="minorHAnsi"/>
              </w:rPr>
            </w:pPr>
            <w:r>
              <w:t>La bande de fréquences 15,35-15,4</w:t>
            </w:r>
            <w:r w:rsidR="00CD06DF">
              <w:t> </w:t>
            </w:r>
            <w:r>
              <w:t xml:space="preserve">GHz n'a pas été envisagée pour d'éventuelles attributions additionnelles au SFS OSG, conformément à la Résolution 151 (CMR-12) </w:t>
            </w:r>
          </w:p>
        </w:tc>
        <w:tc>
          <w:tcPr>
            <w:tcW w:w="1584" w:type="dxa"/>
            <w:vAlign w:val="center"/>
          </w:tcPr>
          <w:p w:rsidR="004B0618" w:rsidRDefault="004B0618" w:rsidP="00993E61">
            <w:pPr>
              <w:pStyle w:val="Tabletext"/>
              <w:rPr>
                <w:b/>
              </w:rPr>
            </w:pPr>
            <w:r>
              <w:rPr>
                <w:b/>
              </w:rPr>
              <w:t>15.35-15.4</w:t>
            </w:r>
          </w:p>
        </w:tc>
        <w:tc>
          <w:tcPr>
            <w:tcW w:w="572" w:type="dxa"/>
            <w:vAlign w:val="center"/>
          </w:tcPr>
          <w:p w:rsidR="004B0618" w:rsidRDefault="004B0618" w:rsidP="00993E61">
            <w:pPr>
              <w:pStyle w:val="Tabletext"/>
              <w:rPr>
                <w:b/>
              </w:rPr>
            </w:pPr>
            <w:r>
              <w:rPr>
                <w:b/>
              </w:rPr>
              <w:t>5</w:t>
            </w:r>
          </w:p>
        </w:tc>
      </w:tr>
      <w:tr w:rsidR="004B0618" w:rsidRPr="00A108A3" w:rsidTr="004B0618">
        <w:trPr>
          <w:jc w:val="center"/>
        </w:trPr>
        <w:tc>
          <w:tcPr>
            <w:tcW w:w="2638" w:type="dxa"/>
            <w:vAlign w:val="center"/>
          </w:tcPr>
          <w:p w:rsidR="004B0618" w:rsidRDefault="004B0618" w:rsidP="00993E61">
            <w:pPr>
              <w:pStyle w:val="Tabletext"/>
            </w:pPr>
            <w:r>
              <w:rPr>
                <w:noProof/>
              </w:rPr>
              <w:t>U/D</w:t>
            </w:r>
          </w:p>
        </w:tc>
        <w:tc>
          <w:tcPr>
            <w:tcW w:w="4039" w:type="dxa"/>
            <w:vAlign w:val="center"/>
          </w:tcPr>
          <w:p w:rsidR="004B0618" w:rsidRDefault="004B0618" w:rsidP="00993E61">
            <w:pPr>
              <w:pStyle w:val="Tabletext"/>
              <w:rPr>
                <w:rFonts w:ascii="MS Mincho" w:eastAsia="MS Mincho" w:hAnsiTheme="minorHAnsi"/>
              </w:rPr>
            </w:pPr>
            <w:r>
              <w:t>Service de radiolocalisation</w:t>
            </w:r>
          </w:p>
        </w:tc>
        <w:tc>
          <w:tcPr>
            <w:tcW w:w="995" w:type="dxa"/>
            <w:vAlign w:val="center"/>
          </w:tcPr>
          <w:p w:rsidR="004B0618" w:rsidRDefault="004B0618" w:rsidP="00993E61">
            <w:pPr>
              <w:pStyle w:val="Tabletext"/>
              <w:rPr>
                <w:rFonts w:ascii="MS Mincho" w:eastAsia="MS Mincho" w:hAnsiTheme="minorHAnsi"/>
              </w:rPr>
            </w:pPr>
            <w:r>
              <w:t>SRL</w:t>
            </w:r>
          </w:p>
        </w:tc>
        <w:tc>
          <w:tcPr>
            <w:tcW w:w="1584" w:type="dxa"/>
            <w:vMerge w:val="restart"/>
            <w:vAlign w:val="center"/>
          </w:tcPr>
          <w:p w:rsidR="004B0618" w:rsidRDefault="004B0618" w:rsidP="00993E61">
            <w:pPr>
              <w:pStyle w:val="Tabletext"/>
              <w:rPr>
                <w:b/>
              </w:rPr>
            </w:pPr>
            <w:r>
              <w:rPr>
                <w:b/>
              </w:rPr>
              <w:t>15,4-15,7</w:t>
            </w:r>
          </w:p>
        </w:tc>
        <w:tc>
          <w:tcPr>
            <w:tcW w:w="572" w:type="dxa"/>
            <w:vMerge w:val="restart"/>
            <w:vAlign w:val="center"/>
          </w:tcPr>
          <w:p w:rsidR="004B0618" w:rsidRDefault="004B0618" w:rsidP="00993E61">
            <w:pPr>
              <w:pStyle w:val="Tabletext"/>
              <w:rPr>
                <w:b/>
              </w:rPr>
            </w:pPr>
            <w:r>
              <w:rPr>
                <w:b/>
              </w:rPr>
              <w:t>6</w:t>
            </w:r>
          </w:p>
        </w:tc>
      </w:tr>
      <w:tr w:rsidR="004B0618" w:rsidRPr="00A108A3" w:rsidTr="004B0618">
        <w:trPr>
          <w:jc w:val="center"/>
        </w:trPr>
        <w:tc>
          <w:tcPr>
            <w:tcW w:w="2638" w:type="dxa"/>
            <w:vAlign w:val="center"/>
          </w:tcPr>
          <w:p w:rsidR="004B0618" w:rsidRPr="00A108A3" w:rsidRDefault="004B0618" w:rsidP="00993E61">
            <w:pPr>
              <w:pStyle w:val="Tabletext"/>
              <w:rPr>
                <w:rFonts w:eastAsia="MS Mincho"/>
                <w:lang w:val="en-GB" w:eastAsia="zh-CN" w:bidi="th-TH"/>
              </w:rPr>
            </w:pPr>
            <w:r>
              <w:rPr>
                <w:noProof/>
              </w:rPr>
              <w:t>U</w:t>
            </w:r>
          </w:p>
        </w:tc>
        <w:tc>
          <w:tcPr>
            <w:tcW w:w="4039" w:type="dxa"/>
            <w:vAlign w:val="center"/>
          </w:tcPr>
          <w:p w:rsidR="004B0618" w:rsidRPr="00A108A3" w:rsidRDefault="004B0618" w:rsidP="00993E61">
            <w:pPr>
              <w:pStyle w:val="Tabletext"/>
              <w:rPr>
                <w:rFonts w:eastAsia="MS Mincho"/>
                <w:rtl/>
                <w:lang w:val="en-GB" w:eastAsia="zh-CN" w:bidi="fa-IR"/>
              </w:rPr>
            </w:pPr>
            <w:r>
              <w:t>Service de radionavigation aéronautique</w:t>
            </w:r>
          </w:p>
        </w:tc>
        <w:tc>
          <w:tcPr>
            <w:tcW w:w="995" w:type="dxa"/>
            <w:vAlign w:val="center"/>
          </w:tcPr>
          <w:p w:rsidR="004B0618" w:rsidRPr="00A108A3" w:rsidRDefault="004B0618" w:rsidP="00993E61">
            <w:pPr>
              <w:pStyle w:val="Tabletext"/>
              <w:rPr>
                <w:rFonts w:eastAsia="MS Mincho"/>
                <w:lang w:val="en-GB" w:eastAsia="zh-CN" w:bidi="th-TH"/>
              </w:rPr>
            </w:pPr>
            <w:r>
              <w:t>SRNA</w:t>
            </w:r>
          </w:p>
        </w:tc>
        <w:tc>
          <w:tcPr>
            <w:tcW w:w="1584" w:type="dxa"/>
            <w:vMerge/>
            <w:vAlign w:val="center"/>
          </w:tcPr>
          <w:p w:rsidR="004B0618" w:rsidRPr="00A108A3" w:rsidRDefault="004B0618" w:rsidP="00993E61">
            <w:pPr>
              <w:pStyle w:val="Tabletext"/>
              <w:rPr>
                <w:rFonts w:eastAsia="MS Mincho"/>
                <w:b/>
                <w:bCs/>
                <w:lang w:val="en-GB" w:eastAsia="zh-CN" w:bidi="th-TH"/>
              </w:rPr>
            </w:pPr>
          </w:p>
        </w:tc>
        <w:tc>
          <w:tcPr>
            <w:tcW w:w="572" w:type="dxa"/>
            <w:vMerge/>
            <w:vAlign w:val="center"/>
          </w:tcPr>
          <w:p w:rsidR="004B0618" w:rsidRPr="00A108A3" w:rsidRDefault="004B0618" w:rsidP="00993E61">
            <w:pPr>
              <w:pStyle w:val="Tabletext"/>
              <w:rPr>
                <w:rFonts w:eastAsia="MS Mincho"/>
                <w:b/>
                <w:bCs/>
                <w:lang w:val="en-GB" w:eastAsia="zh-CN" w:bidi="th-TH"/>
              </w:rPr>
            </w:pPr>
          </w:p>
        </w:tc>
      </w:tr>
      <w:tr w:rsidR="004B0618" w:rsidRPr="00A108A3" w:rsidTr="004B0618">
        <w:trPr>
          <w:jc w:val="center"/>
        </w:trPr>
        <w:tc>
          <w:tcPr>
            <w:tcW w:w="2638" w:type="dxa"/>
            <w:vAlign w:val="center"/>
          </w:tcPr>
          <w:p w:rsidR="004B0618" w:rsidRDefault="004B0618" w:rsidP="00993E61">
            <w:pPr>
              <w:pStyle w:val="Tabletext"/>
            </w:pPr>
            <w:r>
              <w:rPr>
                <w:noProof/>
              </w:rPr>
              <w:t>U/D</w:t>
            </w:r>
          </w:p>
        </w:tc>
        <w:tc>
          <w:tcPr>
            <w:tcW w:w="4039" w:type="dxa"/>
            <w:vAlign w:val="center"/>
          </w:tcPr>
          <w:p w:rsidR="004B0618" w:rsidRDefault="004B0618" w:rsidP="00993E61">
            <w:pPr>
              <w:pStyle w:val="Tabletext"/>
              <w:rPr>
                <w:rFonts w:ascii="MS Mincho" w:eastAsia="MS Mincho" w:hAnsiTheme="minorHAnsi"/>
              </w:rPr>
            </w:pPr>
            <w:r>
              <w:t>Service de radiolocalisation</w:t>
            </w:r>
          </w:p>
        </w:tc>
        <w:tc>
          <w:tcPr>
            <w:tcW w:w="995" w:type="dxa"/>
            <w:vAlign w:val="center"/>
          </w:tcPr>
          <w:p w:rsidR="004B0618" w:rsidRDefault="004B0618" w:rsidP="00993E61">
            <w:pPr>
              <w:pStyle w:val="Tabletext"/>
              <w:rPr>
                <w:rFonts w:ascii="MS Mincho" w:eastAsia="MS Mincho" w:hAnsiTheme="minorHAnsi"/>
              </w:rPr>
            </w:pPr>
            <w:r>
              <w:t>SRL</w:t>
            </w:r>
          </w:p>
        </w:tc>
        <w:tc>
          <w:tcPr>
            <w:tcW w:w="1584" w:type="dxa"/>
            <w:vAlign w:val="center"/>
          </w:tcPr>
          <w:p w:rsidR="004B0618" w:rsidRDefault="004B0618" w:rsidP="00993E61">
            <w:pPr>
              <w:pStyle w:val="Tabletext"/>
              <w:rPr>
                <w:b/>
              </w:rPr>
            </w:pPr>
            <w:r>
              <w:rPr>
                <w:b/>
              </w:rPr>
              <w:t>15,7-16,6</w:t>
            </w:r>
          </w:p>
        </w:tc>
        <w:tc>
          <w:tcPr>
            <w:tcW w:w="572" w:type="dxa"/>
            <w:vAlign w:val="center"/>
          </w:tcPr>
          <w:p w:rsidR="004B0618" w:rsidRDefault="004B0618" w:rsidP="00993E61">
            <w:pPr>
              <w:pStyle w:val="Tabletext"/>
              <w:rPr>
                <w:b/>
              </w:rPr>
            </w:pPr>
            <w:r>
              <w:rPr>
                <w:b/>
              </w:rPr>
              <w:t>7</w:t>
            </w:r>
          </w:p>
        </w:tc>
      </w:tr>
      <w:tr w:rsidR="004B0618" w:rsidRPr="00A108A3" w:rsidTr="004B0618">
        <w:trPr>
          <w:jc w:val="center"/>
        </w:trPr>
        <w:tc>
          <w:tcPr>
            <w:tcW w:w="2638" w:type="dxa"/>
            <w:vAlign w:val="center"/>
          </w:tcPr>
          <w:p w:rsidR="004B0618" w:rsidRDefault="004B0618" w:rsidP="00993E61">
            <w:pPr>
              <w:pStyle w:val="Tabletext"/>
            </w:pPr>
            <w:r>
              <w:rPr>
                <w:noProof/>
              </w:rPr>
              <w:t>U/D</w:t>
            </w:r>
          </w:p>
        </w:tc>
        <w:tc>
          <w:tcPr>
            <w:tcW w:w="4039" w:type="dxa"/>
            <w:vAlign w:val="center"/>
          </w:tcPr>
          <w:p w:rsidR="004B0618" w:rsidRDefault="004B0618" w:rsidP="00993E61">
            <w:pPr>
              <w:pStyle w:val="Tabletext"/>
              <w:rPr>
                <w:rFonts w:ascii="MS Mincho" w:eastAsia="MS Mincho" w:hAnsiTheme="minorHAnsi"/>
              </w:rPr>
            </w:pPr>
            <w:r>
              <w:t>Service de radiolocalisation</w:t>
            </w:r>
          </w:p>
        </w:tc>
        <w:tc>
          <w:tcPr>
            <w:tcW w:w="995" w:type="dxa"/>
            <w:vAlign w:val="center"/>
          </w:tcPr>
          <w:p w:rsidR="004B0618" w:rsidRDefault="004B0618" w:rsidP="00993E61">
            <w:pPr>
              <w:pStyle w:val="Tabletext"/>
              <w:rPr>
                <w:rFonts w:ascii="MS Mincho" w:eastAsia="MS Mincho" w:hAnsiTheme="minorHAnsi"/>
              </w:rPr>
            </w:pPr>
            <w:r>
              <w:t>SRL</w:t>
            </w:r>
          </w:p>
        </w:tc>
        <w:tc>
          <w:tcPr>
            <w:tcW w:w="1584" w:type="dxa"/>
            <w:vAlign w:val="center"/>
          </w:tcPr>
          <w:p w:rsidR="004B0618" w:rsidRDefault="004B0618" w:rsidP="00993E61">
            <w:pPr>
              <w:pStyle w:val="Tabletext"/>
              <w:rPr>
                <w:b/>
              </w:rPr>
            </w:pPr>
            <w:r>
              <w:rPr>
                <w:b/>
              </w:rPr>
              <w:t>16,6-17</w:t>
            </w:r>
          </w:p>
        </w:tc>
        <w:tc>
          <w:tcPr>
            <w:tcW w:w="572" w:type="dxa"/>
            <w:vAlign w:val="center"/>
          </w:tcPr>
          <w:p w:rsidR="004B0618" w:rsidRDefault="004B0618" w:rsidP="00993E61">
            <w:pPr>
              <w:pStyle w:val="Tabletext"/>
              <w:rPr>
                <w:b/>
              </w:rPr>
            </w:pPr>
            <w:r>
              <w:rPr>
                <w:b/>
              </w:rPr>
              <w:t>8</w:t>
            </w:r>
          </w:p>
        </w:tc>
      </w:tr>
    </w:tbl>
    <w:p w:rsidR="00005A02" w:rsidRDefault="00005A02" w:rsidP="00AA3DA1">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val="en-GB"/>
        </w:rPr>
      </w:pPr>
    </w:p>
    <w:p w:rsidR="00332DA0" w:rsidRPr="004B0618" w:rsidRDefault="004B0618" w:rsidP="00AA3DA1">
      <w:pPr>
        <w:pStyle w:val="Headingb"/>
      </w:pPr>
      <w:r w:rsidRPr="004B0618">
        <w:t>Propositions de l'Iran concernant les points 1.6.1 et 1.6.2</w:t>
      </w:r>
    </w:p>
    <w:p w:rsidR="00332DA0" w:rsidRPr="004B0618" w:rsidRDefault="004B0618" w:rsidP="00004882">
      <w:r w:rsidRPr="004B0618">
        <w:t>Cette administration, ayant suivi les activités de la Commission d'études 4 de l'UIT-R et la RPC15</w:t>
      </w:r>
      <w:r w:rsidR="00004882">
        <w:noBreakHyphen/>
      </w:r>
      <w:r w:rsidRPr="004B0618">
        <w:t>2, estime</w:t>
      </w:r>
      <w:r w:rsidR="00332DA0" w:rsidRPr="004B0618">
        <w:t>:</w:t>
      </w:r>
    </w:p>
    <w:p w:rsidR="00332DA0" w:rsidRPr="00627231" w:rsidRDefault="00627231" w:rsidP="00627231">
      <w:pPr>
        <w:pStyle w:val="enumlev1"/>
      </w:pPr>
      <w:r>
        <w:t>–</w:t>
      </w:r>
      <w:r w:rsidR="00993E61" w:rsidRPr="00627231">
        <w:tab/>
      </w:r>
      <w:r w:rsidR="004B0618" w:rsidRPr="00627231">
        <w:t>que la bande 14,5-14,8</w:t>
      </w:r>
      <w:r w:rsidR="00CD06DF" w:rsidRPr="00627231">
        <w:t> </w:t>
      </w:r>
      <w:r w:rsidR="004B0618" w:rsidRPr="00627231">
        <w:t>GHz est actuellement utilisée pour les liaisons de connexion pour le SRS figurant dans le Plan pour les Régions 1 et 3, à l'exception de l'Europe. (Voir Doc. CPM15-2/41-F)</w:t>
      </w:r>
      <w:r w:rsidR="00004882">
        <w:t>;</w:t>
      </w:r>
    </w:p>
    <w:p w:rsidR="00332DA0" w:rsidRPr="00627231" w:rsidRDefault="00627231" w:rsidP="00627231">
      <w:pPr>
        <w:pStyle w:val="enumlev1"/>
      </w:pPr>
      <w:r>
        <w:t>–</w:t>
      </w:r>
      <w:r w:rsidR="00993E61" w:rsidRPr="00627231">
        <w:tab/>
      </w:r>
      <w:r w:rsidR="004B0618" w:rsidRPr="00627231">
        <w:t>que, pour certains pays, dans la bande 14,5-14,8</w:t>
      </w:r>
      <w:r w:rsidR="00CD06DF" w:rsidRPr="00627231">
        <w:t> </w:t>
      </w:r>
      <w:r w:rsidR="004B0618" w:rsidRPr="00627231">
        <w:t>GHz, les valeurs de MPE actuelles des assignations figurant dans le Plan se sont dégradées et que si les valeurs de MPE sont de nouveau réduites, les réseaux risquent de devenir inutilisables, ce qui va à l'encontre du concept de Planification. (Voir Doc. CPM15-2/41-F)</w:t>
      </w:r>
      <w:r w:rsidR="00004882">
        <w:t>;</w:t>
      </w:r>
    </w:p>
    <w:p w:rsidR="00332DA0" w:rsidRPr="00627231" w:rsidRDefault="00627231" w:rsidP="00627231">
      <w:pPr>
        <w:pStyle w:val="enumlev1"/>
      </w:pPr>
      <w:r>
        <w:t>–</w:t>
      </w:r>
      <w:r w:rsidR="00993E61" w:rsidRPr="00627231">
        <w:tab/>
      </w:r>
      <w:r w:rsidR="004B0618" w:rsidRPr="00627231">
        <w:t>que les études de faisabilité réalisées par l'UIT-R ne concluent pas à une compatibilité totale permettant le partage de cette bande avec les liaisons de connexion du SFS (voir notamment le cas du partage avec le SMA décrit plus haut)</w:t>
      </w:r>
      <w:r w:rsidR="00004882">
        <w:t>;</w:t>
      </w:r>
    </w:p>
    <w:p w:rsidR="00332DA0" w:rsidRPr="00627231" w:rsidRDefault="00627231" w:rsidP="00004882">
      <w:pPr>
        <w:pStyle w:val="enumlev1"/>
      </w:pPr>
      <w:r>
        <w:t>–</w:t>
      </w:r>
      <w:r w:rsidR="00993E61" w:rsidRPr="00627231">
        <w:tab/>
      </w:r>
      <w:r w:rsidR="004B0618" w:rsidRPr="00627231">
        <w:t>l'attribution additionnelle de cette bande à ce service pourrait être beaucoup plus important que ne le montrent les études portant sur un nombre limité de stations (de 1 à</w:t>
      </w:r>
      <w:r w:rsidR="00004882">
        <w:t> </w:t>
      </w:r>
      <w:r w:rsidR="004B0618" w:rsidRPr="00627231">
        <w:t>6 liaisons de connexion du SFS en service par exemple)</w:t>
      </w:r>
      <w:r w:rsidR="00F3256F" w:rsidRPr="00627231">
        <w:t>.</w:t>
      </w:r>
    </w:p>
    <w:p w:rsidR="00332DA0" w:rsidRPr="004E5DCD" w:rsidRDefault="004E5DCD" w:rsidP="00AA3DA1">
      <w:pPr>
        <w:rPr>
          <w:rFonts w:eastAsia="Batang"/>
          <w:b/>
          <w:bCs/>
        </w:rPr>
      </w:pPr>
      <w:r w:rsidRPr="004E5DCD">
        <w:rPr>
          <w:rFonts w:eastAsia="MS Mincho"/>
          <w:lang w:bidi="th-TH"/>
        </w:rPr>
        <w:t>Au vu de ce qui précède, cette administration est favorable à la Méthode F1(NOC) pour la bande 14,5-14,8</w:t>
      </w:r>
      <w:r w:rsidR="00CD06DF">
        <w:rPr>
          <w:rFonts w:eastAsia="MS Mincho"/>
          <w:lang w:bidi="th-TH"/>
        </w:rPr>
        <w:t> </w:t>
      </w:r>
      <w:r w:rsidRPr="004E5DCD">
        <w:rPr>
          <w:rFonts w:eastAsia="MS Mincho"/>
          <w:lang w:bidi="th-TH"/>
        </w:rPr>
        <w:t>GHz, s'agissant des points 1.6.1 et 1.6.2 de l'ordre du jour</w:t>
      </w:r>
      <w:r w:rsidR="00332DA0" w:rsidRPr="004E5DCD">
        <w:rPr>
          <w:rFonts w:eastAsia="MS Mincho"/>
          <w:lang w:bidi="th-TH"/>
        </w:rPr>
        <w:t>.</w:t>
      </w:r>
    </w:p>
    <w:p w:rsidR="00332DA0" w:rsidRPr="00D0221B" w:rsidRDefault="00332DA0" w:rsidP="00AA3DA1">
      <w:pPr>
        <w:pStyle w:val="Headingb"/>
      </w:pPr>
      <w:r w:rsidRPr="00D0221B">
        <w:t>Propositions</w:t>
      </w:r>
    </w:p>
    <w:p w:rsidR="00332DA0" w:rsidRPr="00D0221B" w:rsidRDefault="00332DA0" w:rsidP="00AA3DA1">
      <w:r w:rsidRPr="00D0221B">
        <w:br w:type="page"/>
      </w:r>
    </w:p>
    <w:p w:rsidR="004A6A8C" w:rsidRDefault="004831BE" w:rsidP="00AA3DA1">
      <w:pPr>
        <w:pStyle w:val="ArtNo"/>
      </w:pPr>
      <w:r>
        <w:lastRenderedPageBreak/>
        <w:t xml:space="preserve">ARTICLE </w:t>
      </w:r>
      <w:r>
        <w:rPr>
          <w:rStyle w:val="href"/>
          <w:color w:val="000000"/>
        </w:rPr>
        <w:t>5</w:t>
      </w:r>
    </w:p>
    <w:p w:rsidR="004A6A8C" w:rsidRDefault="004831BE" w:rsidP="00AA3DA1">
      <w:pPr>
        <w:pStyle w:val="Arttitle"/>
        <w:rPr>
          <w:lang w:val="fr-CH"/>
        </w:rPr>
      </w:pPr>
      <w:r>
        <w:rPr>
          <w:lang w:val="fr-CH"/>
        </w:rPr>
        <w:t>Attribution des bandes de fréquences</w:t>
      </w:r>
    </w:p>
    <w:p w:rsidR="004A6A8C" w:rsidRPr="00375EEA" w:rsidRDefault="004831BE" w:rsidP="00AA3DA1">
      <w:pPr>
        <w:pStyle w:val="Section1"/>
        <w:keepNext/>
      </w:pPr>
      <w:r>
        <w:t>Section IV –</w:t>
      </w:r>
      <w:r w:rsidRPr="00375EEA">
        <w:t xml:space="preserve"> Tableau d'attribution des bandes de fréquences</w:t>
      </w:r>
      <w:r w:rsidRPr="00375EEA">
        <w:br/>
      </w:r>
      <w:r w:rsidRPr="00260AE5">
        <w:t>(</w:t>
      </w:r>
      <w:r w:rsidR="00CD06DF" w:rsidRPr="00993E61">
        <w:rPr>
          <w:b w:val="0"/>
          <w:bCs/>
        </w:rPr>
        <w:t>V</w:t>
      </w:r>
      <w:r w:rsidRPr="00993E61">
        <w:rPr>
          <w:b w:val="0"/>
          <w:bCs/>
        </w:rPr>
        <w:t>oir le numéro</w:t>
      </w:r>
      <w:r w:rsidRPr="00260AE5">
        <w:t xml:space="preserve"> 2.1)</w:t>
      </w:r>
      <w:r>
        <w:rPr>
          <w:b w:val="0"/>
          <w:color w:val="000000"/>
        </w:rPr>
        <w:br/>
      </w:r>
      <w:r>
        <w:rPr>
          <w:b w:val="0"/>
          <w:color w:val="000000"/>
        </w:rPr>
        <w:br/>
      </w:r>
    </w:p>
    <w:p w:rsidR="0012365B" w:rsidRDefault="004831BE" w:rsidP="00AA3DA1">
      <w:pPr>
        <w:pStyle w:val="Proposal"/>
      </w:pPr>
      <w:r>
        <w:rPr>
          <w:u w:val="single"/>
        </w:rPr>
        <w:t>NOC</w:t>
      </w:r>
      <w:r>
        <w:tab/>
        <w:t>IRN/61A6/1</w:t>
      </w:r>
    </w:p>
    <w:p w:rsidR="004A6A8C" w:rsidRDefault="004831BE" w:rsidP="00AA3DA1">
      <w:pPr>
        <w:pStyle w:val="Tabletitle"/>
        <w:rPr>
          <w:color w:val="000000"/>
        </w:rPr>
      </w:pPr>
      <w:r>
        <w:rPr>
          <w:color w:val="000000"/>
        </w:rPr>
        <w:t>14-15,4</w:t>
      </w:r>
      <w:r w:rsidR="00CD06DF">
        <w:rPr>
          <w:color w:val="000000"/>
        </w:rPr>
        <w:t> </w:t>
      </w:r>
      <w:r>
        <w:rPr>
          <w:color w:val="000000"/>
        </w:rPr>
        <w:t>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4831BE" w:rsidP="00AA3DA1">
            <w:pPr>
              <w:pStyle w:val="Tablehead"/>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Default="004831BE" w:rsidP="00AA3DA1">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Default="004831BE" w:rsidP="00AA3DA1">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Default="004831BE" w:rsidP="00AA3DA1">
            <w:pPr>
              <w:pStyle w:val="Tablehead"/>
              <w:rPr>
                <w:color w:val="000000"/>
              </w:rPr>
            </w:pPr>
            <w:r>
              <w:rPr>
                <w:color w:val="000000"/>
              </w:rPr>
              <w:t>Région 3</w:t>
            </w:r>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4831BE" w:rsidP="00AA3DA1">
            <w:pPr>
              <w:pStyle w:val="TableTextS5"/>
              <w:spacing w:before="20" w:after="20"/>
              <w:rPr>
                <w:color w:val="000000"/>
              </w:rPr>
            </w:pPr>
            <w:r w:rsidRPr="0046453D">
              <w:rPr>
                <w:rStyle w:val="Tablefreq"/>
              </w:rPr>
              <w:t>14,5-14,8</w:t>
            </w:r>
            <w:r>
              <w:rPr>
                <w:color w:val="000000"/>
              </w:rPr>
              <w:tab/>
              <w:t>FIXE</w:t>
            </w:r>
          </w:p>
          <w:p w:rsidR="004A6A8C" w:rsidRDefault="004831BE" w:rsidP="00AA3DA1">
            <w:pPr>
              <w:pStyle w:val="TableTextS5"/>
              <w:spacing w:before="20" w:after="20"/>
              <w:rPr>
                <w:color w:val="000000"/>
              </w:rPr>
            </w:pPr>
            <w:r>
              <w:rPr>
                <w:color w:val="000000"/>
              </w:rPr>
              <w:tab/>
            </w:r>
            <w:r>
              <w:rPr>
                <w:color w:val="000000"/>
              </w:rPr>
              <w:tab/>
            </w:r>
            <w:r>
              <w:rPr>
                <w:color w:val="000000"/>
              </w:rPr>
              <w:tab/>
            </w:r>
            <w:r>
              <w:rPr>
                <w:color w:val="000000"/>
              </w:rPr>
              <w:tab/>
              <w:t xml:space="preserve">FIXE PAR SATELLITE (Terre vers espace)  </w:t>
            </w:r>
            <w:r>
              <w:rPr>
                <w:rStyle w:val="Artref"/>
                <w:color w:val="000000"/>
              </w:rPr>
              <w:t>5.510</w:t>
            </w:r>
          </w:p>
          <w:p w:rsidR="004A6A8C" w:rsidRDefault="004831BE" w:rsidP="00AA3DA1">
            <w:pPr>
              <w:pStyle w:val="TableTextS5"/>
              <w:spacing w:before="20" w:after="20"/>
              <w:rPr>
                <w:color w:val="000000"/>
              </w:rPr>
            </w:pPr>
            <w:r>
              <w:rPr>
                <w:color w:val="000000"/>
              </w:rPr>
              <w:tab/>
            </w:r>
            <w:r>
              <w:rPr>
                <w:color w:val="000000"/>
              </w:rPr>
              <w:tab/>
            </w:r>
            <w:r>
              <w:rPr>
                <w:color w:val="000000"/>
              </w:rPr>
              <w:tab/>
            </w:r>
            <w:r>
              <w:rPr>
                <w:color w:val="000000"/>
              </w:rPr>
              <w:tab/>
              <w:t>MOBILE</w:t>
            </w:r>
          </w:p>
          <w:p w:rsidR="004A6A8C" w:rsidRDefault="004831BE" w:rsidP="00AA3DA1">
            <w:pPr>
              <w:pStyle w:val="TableTextS5"/>
              <w:spacing w:before="20" w:after="20"/>
              <w:rPr>
                <w:color w:val="000000"/>
              </w:rPr>
            </w:pPr>
            <w:r>
              <w:rPr>
                <w:color w:val="000000"/>
              </w:rPr>
              <w:tab/>
            </w:r>
            <w:r>
              <w:rPr>
                <w:color w:val="000000"/>
              </w:rPr>
              <w:tab/>
            </w:r>
            <w:r>
              <w:rPr>
                <w:color w:val="000000"/>
              </w:rPr>
              <w:tab/>
            </w:r>
            <w:r>
              <w:rPr>
                <w:color w:val="000000"/>
              </w:rPr>
              <w:tab/>
              <w:t>Recherche spatiale</w:t>
            </w:r>
          </w:p>
        </w:tc>
      </w:tr>
    </w:tbl>
    <w:p w:rsidR="0012365B" w:rsidRDefault="004831BE" w:rsidP="00AA3DA1">
      <w:pPr>
        <w:pStyle w:val="Reasons"/>
      </w:pPr>
      <w:r>
        <w:rPr>
          <w:b/>
        </w:rPr>
        <w:t>Motifs:</w:t>
      </w:r>
      <w:r>
        <w:tab/>
      </w:r>
      <w:r w:rsidR="00332DA0" w:rsidRPr="003218C5">
        <w:rPr>
          <w:lang w:val="fr-CH" w:eastAsia="en-GB"/>
        </w:rPr>
        <w:t>Il y a autour de chaque station terrienne du SFS un volume dans lequel le critère de protection du SMA est dépassé, comme indiqué dans les études. Ce volume peut aller jusqu'à plusieurs centaines de kilomètres en latitude et en longitude et empêcher l'exploitation du SMA.</w:t>
      </w:r>
    </w:p>
    <w:p w:rsidR="0012365B" w:rsidRDefault="004831BE" w:rsidP="00AA3DA1">
      <w:pPr>
        <w:pStyle w:val="Proposal"/>
      </w:pPr>
      <w:r>
        <w:rPr>
          <w:u w:val="single"/>
        </w:rPr>
        <w:t>NOC</w:t>
      </w:r>
      <w:r>
        <w:tab/>
        <w:t>IRN/61A6/2</w:t>
      </w:r>
    </w:p>
    <w:p w:rsidR="004A6A8C" w:rsidRDefault="004831BE" w:rsidP="00AA3DA1">
      <w:pPr>
        <w:pStyle w:val="Tabletitle"/>
        <w:rPr>
          <w:color w:val="000000"/>
        </w:rPr>
      </w:pPr>
      <w:r>
        <w:rPr>
          <w:color w:val="000000"/>
        </w:rPr>
        <w:t>14-15,4</w:t>
      </w:r>
      <w:r w:rsidR="00CD06DF">
        <w:rPr>
          <w:color w:val="000000"/>
        </w:rPr>
        <w:t> </w:t>
      </w:r>
      <w:r>
        <w:rPr>
          <w:color w:val="000000"/>
        </w:rPr>
        <w:t>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4831BE" w:rsidP="00AA3DA1">
            <w:pPr>
              <w:pStyle w:val="Tablehead"/>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Default="004831BE" w:rsidP="00AA3DA1">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Default="004831BE" w:rsidP="00AA3DA1">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Default="004831BE" w:rsidP="00AA3DA1">
            <w:pPr>
              <w:pStyle w:val="Tablehead"/>
              <w:rPr>
                <w:color w:val="000000"/>
              </w:rPr>
            </w:pPr>
            <w:r>
              <w:rPr>
                <w:color w:val="000000"/>
              </w:rPr>
              <w:t>Région 3</w:t>
            </w:r>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4831BE" w:rsidP="00AA3DA1">
            <w:pPr>
              <w:pStyle w:val="TableTextS5"/>
              <w:spacing w:before="20" w:after="20"/>
              <w:rPr>
                <w:color w:val="000000"/>
              </w:rPr>
            </w:pPr>
            <w:r w:rsidRPr="0046453D">
              <w:rPr>
                <w:rStyle w:val="Tablefreq"/>
              </w:rPr>
              <w:t>14,5-14,8</w:t>
            </w:r>
            <w:r>
              <w:rPr>
                <w:color w:val="000000"/>
              </w:rPr>
              <w:tab/>
              <w:t>FIXE</w:t>
            </w:r>
          </w:p>
          <w:p w:rsidR="004A6A8C" w:rsidRDefault="004831BE" w:rsidP="00AA3DA1">
            <w:pPr>
              <w:pStyle w:val="TableTextS5"/>
              <w:spacing w:before="20" w:after="20"/>
              <w:rPr>
                <w:color w:val="000000"/>
              </w:rPr>
            </w:pPr>
            <w:r>
              <w:rPr>
                <w:color w:val="000000"/>
              </w:rPr>
              <w:tab/>
            </w:r>
            <w:r>
              <w:rPr>
                <w:color w:val="000000"/>
              </w:rPr>
              <w:tab/>
            </w:r>
            <w:r>
              <w:rPr>
                <w:color w:val="000000"/>
              </w:rPr>
              <w:tab/>
            </w:r>
            <w:r>
              <w:rPr>
                <w:color w:val="000000"/>
              </w:rPr>
              <w:tab/>
              <w:t xml:space="preserve">FIXE PAR SATELLITE (Terre vers espace)  </w:t>
            </w:r>
            <w:r>
              <w:rPr>
                <w:rStyle w:val="Artref"/>
                <w:color w:val="000000"/>
              </w:rPr>
              <w:t>5.510</w:t>
            </w:r>
          </w:p>
          <w:p w:rsidR="004A6A8C" w:rsidRDefault="004831BE" w:rsidP="00AA3DA1">
            <w:pPr>
              <w:pStyle w:val="TableTextS5"/>
              <w:spacing w:before="20" w:after="20"/>
              <w:rPr>
                <w:color w:val="000000"/>
              </w:rPr>
            </w:pPr>
            <w:r>
              <w:rPr>
                <w:color w:val="000000"/>
              </w:rPr>
              <w:tab/>
            </w:r>
            <w:r>
              <w:rPr>
                <w:color w:val="000000"/>
              </w:rPr>
              <w:tab/>
            </w:r>
            <w:r>
              <w:rPr>
                <w:color w:val="000000"/>
              </w:rPr>
              <w:tab/>
            </w:r>
            <w:r>
              <w:rPr>
                <w:color w:val="000000"/>
              </w:rPr>
              <w:tab/>
              <w:t>MOBILE</w:t>
            </w:r>
          </w:p>
          <w:p w:rsidR="004A6A8C" w:rsidRDefault="004831BE" w:rsidP="00AA3DA1">
            <w:pPr>
              <w:pStyle w:val="TableTextS5"/>
              <w:spacing w:before="20" w:after="20"/>
              <w:rPr>
                <w:color w:val="000000"/>
              </w:rPr>
            </w:pPr>
            <w:r>
              <w:rPr>
                <w:color w:val="000000"/>
              </w:rPr>
              <w:tab/>
            </w:r>
            <w:r>
              <w:rPr>
                <w:color w:val="000000"/>
              </w:rPr>
              <w:tab/>
            </w:r>
            <w:r>
              <w:rPr>
                <w:color w:val="000000"/>
              </w:rPr>
              <w:tab/>
            </w:r>
            <w:r>
              <w:rPr>
                <w:color w:val="000000"/>
              </w:rPr>
              <w:tab/>
              <w:t>Recherche spatiale</w:t>
            </w:r>
          </w:p>
        </w:tc>
      </w:tr>
    </w:tbl>
    <w:p w:rsidR="0012365B" w:rsidRDefault="004831BE" w:rsidP="00AA3DA1">
      <w:pPr>
        <w:pStyle w:val="Reasons"/>
        <w:rPr>
          <w:lang w:val="fr-CH" w:eastAsia="en-GB"/>
        </w:rPr>
      </w:pPr>
      <w:r>
        <w:rPr>
          <w:b/>
        </w:rPr>
        <w:t>Motifs:</w:t>
      </w:r>
      <w:r>
        <w:tab/>
      </w:r>
      <w:r w:rsidR="0015547F" w:rsidRPr="003218C5">
        <w:rPr>
          <w:lang w:val="fr-CH" w:eastAsia="en-GB"/>
        </w:rPr>
        <w:t>Il y a autour de chaque station terrienne du SFS un volume dans lequel le critère de protection du SMA est dépassé, comme indiqué dans les études. Ce volume peut aller jusqu'à plusieurs centaines de kilomètres en latitude et en longitude et empêcher l'exploitation du SMA.</w:t>
      </w:r>
    </w:p>
    <w:p w:rsidR="00553136" w:rsidRDefault="00553136" w:rsidP="00AA3DA1">
      <w:pPr>
        <w:pStyle w:val="Reasons"/>
      </w:pPr>
    </w:p>
    <w:p w:rsidR="00553136" w:rsidRDefault="00553136" w:rsidP="00AA3DA1">
      <w:pPr>
        <w:jc w:val="center"/>
      </w:pPr>
      <w:r>
        <w:t>__</w:t>
      </w:r>
      <w:bookmarkStart w:id="6" w:name="_GoBack"/>
      <w:bookmarkEnd w:id="6"/>
      <w:r>
        <w:t>____________</w:t>
      </w:r>
    </w:p>
    <w:sectPr w:rsidR="00553136">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619" w:rsidRDefault="008D1619">
      <w:r>
        <w:separator/>
      </w:r>
    </w:p>
  </w:endnote>
  <w:endnote w:type="continuationSeparator" w:id="0">
    <w:p w:rsidR="008D1619" w:rsidRDefault="008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E30206">
      <w:rPr>
        <w:noProof/>
        <w:lang w:val="en-US"/>
      </w:rPr>
      <w:t>P:\FRA\ITU-R\CONF-R\CMR15\000\061ADD06F.docx</w:t>
    </w:r>
    <w:r>
      <w:fldChar w:fldCharType="end"/>
    </w:r>
    <w:r>
      <w:rPr>
        <w:lang w:val="en-US"/>
      </w:rPr>
      <w:tab/>
    </w:r>
    <w:r>
      <w:fldChar w:fldCharType="begin"/>
    </w:r>
    <w:r>
      <w:instrText xml:space="preserve"> SAVEDATE \@ DD.MM.YY </w:instrText>
    </w:r>
    <w:r>
      <w:fldChar w:fldCharType="separate"/>
    </w:r>
    <w:r w:rsidR="00D12645">
      <w:rPr>
        <w:noProof/>
      </w:rPr>
      <w:t>21.10.15</w:t>
    </w:r>
    <w:r>
      <w:fldChar w:fldCharType="end"/>
    </w:r>
    <w:r>
      <w:rPr>
        <w:lang w:val="en-US"/>
      </w:rPr>
      <w:tab/>
    </w:r>
    <w:r>
      <w:fldChar w:fldCharType="begin"/>
    </w:r>
    <w:r>
      <w:instrText xml:space="preserve"> PRINTDATE \@ DD.MM.YY </w:instrText>
    </w:r>
    <w:r>
      <w:fldChar w:fldCharType="separate"/>
    </w:r>
    <w:r w:rsidR="00E30206">
      <w:rPr>
        <w:noProof/>
      </w:rPr>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30206">
      <w:rPr>
        <w:lang w:val="en-US"/>
      </w:rPr>
      <w:t>P:\FRA\ITU-R\CONF-R\CMR15\000\061ADD06F.docx</w:t>
    </w:r>
    <w:r>
      <w:fldChar w:fldCharType="end"/>
    </w:r>
    <w:r w:rsidR="004831BE" w:rsidRPr="00D0221B">
      <w:rPr>
        <w:lang w:val="en-GB"/>
      </w:rPr>
      <w:t>(388284)</w:t>
    </w:r>
    <w:r>
      <w:rPr>
        <w:lang w:val="en-US"/>
      </w:rPr>
      <w:tab/>
    </w:r>
    <w:r>
      <w:fldChar w:fldCharType="begin"/>
    </w:r>
    <w:r>
      <w:instrText xml:space="preserve"> SAVEDATE \@ DD.MM.YY </w:instrText>
    </w:r>
    <w:r>
      <w:fldChar w:fldCharType="separate"/>
    </w:r>
    <w:r w:rsidR="00D12645">
      <w:t>21.10.15</w:t>
    </w:r>
    <w:r>
      <w:fldChar w:fldCharType="end"/>
    </w:r>
    <w:r>
      <w:rPr>
        <w:lang w:val="en-US"/>
      </w:rPr>
      <w:tab/>
    </w:r>
    <w:r>
      <w:fldChar w:fldCharType="begin"/>
    </w:r>
    <w:r>
      <w:instrText xml:space="preserve"> PRINTDATE \@ DD.MM.YY </w:instrText>
    </w:r>
    <w:r>
      <w:fldChar w:fldCharType="separate"/>
    </w:r>
    <w:r w:rsidR="00E30206">
      <w:t>21.10.15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30206">
      <w:rPr>
        <w:lang w:val="en-US"/>
      </w:rPr>
      <w:t>P:\FRA\ITU-R\CONF-R\CMR15\000\061ADD06F.docx</w:t>
    </w:r>
    <w:r>
      <w:fldChar w:fldCharType="end"/>
    </w:r>
    <w:r w:rsidR="004831BE" w:rsidRPr="00D0221B">
      <w:rPr>
        <w:lang w:val="en-GB"/>
      </w:rPr>
      <w:t>(388284)</w:t>
    </w:r>
    <w:r>
      <w:rPr>
        <w:lang w:val="en-US"/>
      </w:rPr>
      <w:tab/>
    </w:r>
    <w:r>
      <w:fldChar w:fldCharType="begin"/>
    </w:r>
    <w:r>
      <w:instrText xml:space="preserve"> SAVEDATE \@ DD.MM.YY </w:instrText>
    </w:r>
    <w:r>
      <w:fldChar w:fldCharType="separate"/>
    </w:r>
    <w:r w:rsidR="00D12645">
      <w:t>21.10.15</w:t>
    </w:r>
    <w:r>
      <w:fldChar w:fldCharType="end"/>
    </w:r>
    <w:r>
      <w:rPr>
        <w:lang w:val="en-US"/>
      </w:rPr>
      <w:tab/>
    </w:r>
    <w:r>
      <w:fldChar w:fldCharType="begin"/>
    </w:r>
    <w:r>
      <w:instrText xml:space="preserve"> PRINTDATE \@ DD.MM.YY </w:instrText>
    </w:r>
    <w:r>
      <w:fldChar w:fldCharType="separate"/>
    </w:r>
    <w:r w:rsidR="00E30206">
      <w:t>21.10.15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619" w:rsidRDefault="008D1619">
      <w:r>
        <w:rPr>
          <w:b/>
        </w:rPr>
        <w:t>_______________</w:t>
      </w:r>
    </w:p>
  </w:footnote>
  <w:footnote w:type="continuationSeparator" w:id="0">
    <w:p w:rsidR="008D1619" w:rsidRDefault="008D1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004882">
      <w:rPr>
        <w:noProof/>
      </w:rPr>
      <w:t>5</w:t>
    </w:r>
    <w:r>
      <w:fldChar w:fldCharType="end"/>
    </w:r>
  </w:p>
  <w:p w:rsidR="004F1F8E" w:rsidRDefault="004F1F8E" w:rsidP="002C28A4">
    <w:pPr>
      <w:pStyle w:val="Header"/>
    </w:pPr>
    <w:r>
      <w:t>CMR1</w:t>
    </w:r>
    <w:r w:rsidR="002C28A4">
      <w:t>5</w:t>
    </w:r>
    <w:r>
      <w:t>/</w:t>
    </w:r>
    <w:r w:rsidR="006A4B45">
      <w:t>61(Add.6)-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0177B23"/>
    <w:multiLevelType w:val="hybridMultilevel"/>
    <w:tmpl w:val="A86CCD06"/>
    <w:lvl w:ilvl="0" w:tplc="05F00EA0">
      <w:start w:val="2"/>
      <w:numFmt w:val="bullet"/>
      <w:pStyle w:val="Listpa"/>
      <w:lvlText w:val="-"/>
      <w:lvlJc w:val="left"/>
      <w:pPr>
        <w:ind w:left="644" w:hanging="360"/>
      </w:pPr>
      <w:rPr>
        <w:rFonts w:ascii="Times New Roman" w:eastAsia="BatangChe"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7110CF7-BA84-4AF6-995C-D468D77597D1}"/>
    <w:docVar w:name="dgnword-eventsink" w:val="89911872"/>
  </w:docVars>
  <w:rsids>
    <w:rsidRoot w:val="00BB1D82"/>
    <w:rsid w:val="00004882"/>
    <w:rsid w:val="00005A02"/>
    <w:rsid w:val="00007EC7"/>
    <w:rsid w:val="00010B43"/>
    <w:rsid w:val="00016648"/>
    <w:rsid w:val="0003522F"/>
    <w:rsid w:val="000516F4"/>
    <w:rsid w:val="00080E2C"/>
    <w:rsid w:val="0009052B"/>
    <w:rsid w:val="000A4755"/>
    <w:rsid w:val="000B2E0C"/>
    <w:rsid w:val="000B3D0C"/>
    <w:rsid w:val="001167B9"/>
    <w:rsid w:val="0012365B"/>
    <w:rsid w:val="001267A0"/>
    <w:rsid w:val="0015203F"/>
    <w:rsid w:val="0015547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32DA0"/>
    <w:rsid w:val="003606A6"/>
    <w:rsid w:val="00362B53"/>
    <w:rsid w:val="0036650C"/>
    <w:rsid w:val="00393ACD"/>
    <w:rsid w:val="003A583E"/>
    <w:rsid w:val="003E112B"/>
    <w:rsid w:val="003E1D1C"/>
    <w:rsid w:val="003E7B05"/>
    <w:rsid w:val="00455B1E"/>
    <w:rsid w:val="00466211"/>
    <w:rsid w:val="004831BE"/>
    <w:rsid w:val="004834A9"/>
    <w:rsid w:val="004B0618"/>
    <w:rsid w:val="004D01FC"/>
    <w:rsid w:val="004E28C3"/>
    <w:rsid w:val="004E5DCD"/>
    <w:rsid w:val="004F1F8E"/>
    <w:rsid w:val="00512A32"/>
    <w:rsid w:val="00553136"/>
    <w:rsid w:val="00586CF2"/>
    <w:rsid w:val="005C3768"/>
    <w:rsid w:val="005C6C3F"/>
    <w:rsid w:val="00613635"/>
    <w:rsid w:val="0062093D"/>
    <w:rsid w:val="006260BD"/>
    <w:rsid w:val="00627231"/>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95B36"/>
    <w:rsid w:val="008A3120"/>
    <w:rsid w:val="008D1619"/>
    <w:rsid w:val="008D41BE"/>
    <w:rsid w:val="008D58D3"/>
    <w:rsid w:val="00910250"/>
    <w:rsid w:val="00923064"/>
    <w:rsid w:val="00930FFD"/>
    <w:rsid w:val="00936D25"/>
    <w:rsid w:val="00941EA5"/>
    <w:rsid w:val="00964700"/>
    <w:rsid w:val="00966C16"/>
    <w:rsid w:val="00985EE8"/>
    <w:rsid w:val="0098732F"/>
    <w:rsid w:val="00993E61"/>
    <w:rsid w:val="009A045F"/>
    <w:rsid w:val="009C7E7C"/>
    <w:rsid w:val="00A00473"/>
    <w:rsid w:val="00A03C9B"/>
    <w:rsid w:val="00A108A3"/>
    <w:rsid w:val="00A37105"/>
    <w:rsid w:val="00A606C3"/>
    <w:rsid w:val="00A634A6"/>
    <w:rsid w:val="00A83B09"/>
    <w:rsid w:val="00A84541"/>
    <w:rsid w:val="00AA3DA1"/>
    <w:rsid w:val="00AE36A0"/>
    <w:rsid w:val="00B00294"/>
    <w:rsid w:val="00B551EE"/>
    <w:rsid w:val="00B64FD0"/>
    <w:rsid w:val="00BA5BD0"/>
    <w:rsid w:val="00BB1D82"/>
    <w:rsid w:val="00BF26E7"/>
    <w:rsid w:val="00C53FCA"/>
    <w:rsid w:val="00C76BAF"/>
    <w:rsid w:val="00C814B9"/>
    <w:rsid w:val="00CD06DF"/>
    <w:rsid w:val="00CD516F"/>
    <w:rsid w:val="00D0221B"/>
    <w:rsid w:val="00D119A7"/>
    <w:rsid w:val="00D12645"/>
    <w:rsid w:val="00D25FBA"/>
    <w:rsid w:val="00D32B28"/>
    <w:rsid w:val="00D42954"/>
    <w:rsid w:val="00D66EAC"/>
    <w:rsid w:val="00D730DF"/>
    <w:rsid w:val="00D75811"/>
    <w:rsid w:val="00D772F0"/>
    <w:rsid w:val="00D77BDC"/>
    <w:rsid w:val="00DC402B"/>
    <w:rsid w:val="00DE0932"/>
    <w:rsid w:val="00E03A27"/>
    <w:rsid w:val="00E049F1"/>
    <w:rsid w:val="00E30206"/>
    <w:rsid w:val="00E37A25"/>
    <w:rsid w:val="00E537FF"/>
    <w:rsid w:val="00E6539B"/>
    <w:rsid w:val="00E70A31"/>
    <w:rsid w:val="00EA3F38"/>
    <w:rsid w:val="00EA5AB6"/>
    <w:rsid w:val="00EB223A"/>
    <w:rsid w:val="00EC7615"/>
    <w:rsid w:val="00ED16AA"/>
    <w:rsid w:val="00EF662E"/>
    <w:rsid w:val="00F148F1"/>
    <w:rsid w:val="00F3256F"/>
    <w:rsid w:val="00F65279"/>
    <w:rsid w:val="00FA3BBF"/>
    <w:rsid w:val="00FC41F8"/>
    <w:rsid w:val="00FE4156"/>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5DA0E65-9402-4E29-90F4-D74DA089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enumlev1Char">
    <w:name w:val="enumlev1 Char"/>
    <w:basedOn w:val="DefaultParagraphFont"/>
    <w:link w:val="enumlev1"/>
    <w:locked/>
    <w:rsid w:val="00FE4156"/>
    <w:rPr>
      <w:rFonts w:ascii="Times New Roman" w:hAnsi="Times New Roman"/>
      <w:sz w:val="24"/>
      <w:lang w:val="fr-FR" w:eastAsia="en-US"/>
    </w:rPr>
  </w:style>
  <w:style w:type="paragraph" w:customStyle="1" w:styleId="Listpa">
    <w:name w:val="List pa"/>
    <w:basedOn w:val="Normal"/>
    <w:rsid w:val="00332DA0"/>
    <w:pPr>
      <w:numPr>
        <w:numId w:val="3"/>
      </w:numPr>
      <w:tabs>
        <w:tab w:val="clear" w:pos="1134"/>
        <w:tab w:val="clear" w:pos="1871"/>
        <w:tab w:val="clear" w:pos="2268"/>
      </w:tabs>
      <w:overflowPunct/>
      <w:autoSpaceDE/>
      <w:autoSpaceDN/>
      <w:adjustRightInd/>
      <w:spacing w:line="480" w:lineRule="auto"/>
      <w:ind w:left="714" w:hanging="357"/>
      <w:textAlignment w:val="auto"/>
    </w:pPr>
    <w:rPr>
      <w:rFonts w:eastAsia="MS Mincho"/>
      <w:szCs w:val="24"/>
      <w:lang w:val="en-GB" w:bidi="th-TH"/>
    </w:rPr>
  </w:style>
  <w:style w:type="paragraph" w:styleId="BalloonText">
    <w:name w:val="Balloon Text"/>
    <w:basedOn w:val="Normal"/>
    <w:link w:val="BalloonTextChar"/>
    <w:semiHidden/>
    <w:unhideWhenUsed/>
    <w:rsid w:val="00D0221B"/>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0221B"/>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R15-WRC15-C-0061!A6!MSW-F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16EA-D9CA-4F2B-99ED-5EF57D78C323}">
  <ds:schemaRefs>
    <ds:schemaRef ds:uri="http://schemas.openxmlformats.org/package/2006/metadata/core-properties"/>
    <ds:schemaRef ds:uri="http://purl.org/dc/elements/1.1/"/>
    <ds:schemaRef ds:uri="http://www.w3.org/XML/1998/namespace"/>
    <ds:schemaRef ds:uri="http://schemas.microsoft.com/office/2006/metadata/properties"/>
    <ds:schemaRef ds:uri="996b2e75-67fd-4955-a3b0-5ab9934cb50b"/>
    <ds:schemaRef ds:uri="http://schemas.microsoft.com/office/2006/documentManagement/types"/>
    <ds:schemaRef ds:uri="http://purl.org/dc/terms/"/>
    <ds:schemaRef ds:uri="32a1a8c5-2265-4ebc-b7a0-2071e2c5c9bb"/>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95ADB84E-671C-4594-98F5-11D489CF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1835</Words>
  <Characters>9757</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R15-WRC15-C-0061!A6!MSW-F</vt:lpstr>
      <vt:lpstr>R15-WRC15-C-0061!A6!MSW-F</vt:lpstr>
    </vt:vector>
  </TitlesOfParts>
  <Manager>Secrétariat général - Pool</Manager>
  <Company>Union internationale des télécommunications (UIT)</Company>
  <LinksUpToDate>false</LinksUpToDate>
  <CharactersWithSpaces>11569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R15-WRC15-C-0061!A6!MSW-F</dc:title>
  <dc:subject>Conférence mondiale des radiocommunications - 2015</dc:subject>
  <dc:creator>Documents Proposals Manager (DPM)</dc:creator>
  <cp:keywords>DPM_v5.2015.10.8_prod</cp:keywords>
  <dc:description/>
  <cp:lastModifiedBy>Brice, Corinne</cp:lastModifiedBy>
  <cp:revision>8</cp:revision>
  <cp:lastPrinted>2015-10-21T21:25:00Z</cp:lastPrinted>
  <dcterms:created xsi:type="dcterms:W3CDTF">2015-10-21T20:59:00Z</dcterms:created>
  <dcterms:modified xsi:type="dcterms:W3CDTF">2015-10-26T12:37:00Z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