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RPr="00864CE2" w:rsidTr="003E1608">
        <w:trPr>
          <w:cantSplit/>
          <w:trHeight w:val="20"/>
        </w:trPr>
        <w:tc>
          <w:tcPr>
            <w:tcW w:w="6619" w:type="dxa"/>
          </w:tcPr>
          <w:p w:rsidR="00461FA7" w:rsidRPr="00864CE2" w:rsidRDefault="00461FA7" w:rsidP="00461FA7">
            <w:pPr>
              <w:pStyle w:val="LOGO"/>
              <w:framePr w:hSpace="0" w:wrap="auto" w:xAlign="left" w:yAlign="inline"/>
              <w:rPr>
                <w:rtl/>
              </w:rPr>
            </w:pPr>
            <w:r w:rsidRPr="00864CE2">
              <w:rPr>
                <w:rFonts w:hint="cs"/>
                <w:rtl/>
              </w:rPr>
              <w:t xml:space="preserve">المؤتمر العالمي للاتصالات الراديوية </w:t>
            </w:r>
            <w:r w:rsidRPr="00864CE2">
              <w:t>(WRC-15)</w:t>
            </w:r>
          </w:p>
          <w:p w:rsidR="00280E04" w:rsidRPr="00864CE2" w:rsidRDefault="00461FA7" w:rsidP="00461FA7">
            <w:pPr>
              <w:pStyle w:val="LOGO"/>
              <w:framePr w:hSpace="0" w:wrap="auto" w:xAlign="left" w:yAlign="inline"/>
              <w:spacing w:before="120"/>
              <w:rPr>
                <w:rtl/>
              </w:rPr>
            </w:pPr>
            <w:r w:rsidRPr="00864CE2">
              <w:rPr>
                <w:rFonts w:hint="cs"/>
                <w:sz w:val="25"/>
                <w:szCs w:val="38"/>
                <w:rtl/>
              </w:rPr>
              <w:t xml:space="preserve">جنيف، </w:t>
            </w:r>
            <w:r w:rsidRPr="00864CE2">
              <w:rPr>
                <w:sz w:val="24"/>
                <w:szCs w:val="36"/>
              </w:rPr>
              <w:t>2</w:t>
            </w:r>
            <w:r w:rsidRPr="00864CE2">
              <w:rPr>
                <w:rFonts w:hint="cs"/>
                <w:sz w:val="24"/>
                <w:szCs w:val="36"/>
                <w:rtl/>
              </w:rPr>
              <w:t>-</w:t>
            </w:r>
            <w:r w:rsidRPr="00864CE2">
              <w:rPr>
                <w:sz w:val="24"/>
                <w:szCs w:val="36"/>
              </w:rPr>
              <w:t>27</w:t>
            </w:r>
            <w:r w:rsidRPr="00864CE2">
              <w:rPr>
                <w:rFonts w:hint="cs"/>
                <w:sz w:val="25"/>
                <w:szCs w:val="38"/>
                <w:rtl/>
              </w:rPr>
              <w:t xml:space="preserve"> </w:t>
            </w:r>
            <w:r w:rsidRPr="00864CE2">
              <w:rPr>
                <w:sz w:val="25"/>
                <w:szCs w:val="38"/>
                <w:rtl/>
              </w:rPr>
              <w:t>نوفمبر</w:t>
            </w:r>
            <w:r w:rsidRPr="00864CE2">
              <w:rPr>
                <w:rFonts w:hint="cs"/>
                <w:sz w:val="25"/>
                <w:szCs w:val="38"/>
                <w:rtl/>
              </w:rPr>
              <w:t xml:space="preserve"> </w:t>
            </w:r>
            <w:r w:rsidRPr="00864CE2">
              <w:rPr>
                <w:sz w:val="24"/>
                <w:szCs w:val="36"/>
              </w:rPr>
              <w:t>2015</w:t>
            </w:r>
          </w:p>
        </w:tc>
        <w:tc>
          <w:tcPr>
            <w:tcW w:w="3053" w:type="dxa"/>
          </w:tcPr>
          <w:p w:rsidR="00280E04" w:rsidRPr="00864CE2" w:rsidRDefault="006B0D94" w:rsidP="006B0D94">
            <w:pPr>
              <w:jc w:val="right"/>
              <w:rPr>
                <w:rtl/>
                <w:lang w:bidi="ar-EG"/>
              </w:rPr>
            </w:pPr>
            <w:bookmarkStart w:id="0" w:name="ditulogo"/>
            <w:bookmarkEnd w:id="0"/>
            <w:r w:rsidRPr="00864CE2">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RPr="00864CE2" w:rsidTr="003E1608">
        <w:trPr>
          <w:cantSplit/>
          <w:trHeight w:val="20"/>
        </w:trPr>
        <w:tc>
          <w:tcPr>
            <w:tcW w:w="6619" w:type="dxa"/>
            <w:tcBorders>
              <w:bottom w:val="single" w:sz="12" w:space="0" w:color="auto"/>
            </w:tcBorders>
          </w:tcPr>
          <w:p w:rsidR="00280E04" w:rsidRPr="00864CE2" w:rsidRDefault="006B0D94" w:rsidP="00D44350">
            <w:pPr>
              <w:rPr>
                <w:rtl/>
                <w:lang w:bidi="ar-EG"/>
              </w:rPr>
            </w:pPr>
            <w:r w:rsidRPr="00864CE2">
              <w:rPr>
                <w:b/>
                <w:bCs/>
                <w:sz w:val="24"/>
                <w:szCs w:val="32"/>
                <w:rtl/>
              </w:rPr>
              <w:t>الاتحـ</w:t>
            </w:r>
            <w:r w:rsidRPr="00864CE2">
              <w:rPr>
                <w:rFonts w:hint="cs"/>
                <w:b/>
                <w:bCs/>
                <w:sz w:val="24"/>
                <w:szCs w:val="32"/>
                <w:rtl/>
              </w:rPr>
              <w:t>ـــ</w:t>
            </w:r>
            <w:r w:rsidRPr="00864CE2">
              <w:rPr>
                <w:b/>
                <w:bCs/>
                <w:sz w:val="24"/>
                <w:szCs w:val="32"/>
                <w:rtl/>
              </w:rPr>
              <w:t>اد</w:t>
            </w:r>
            <w:r w:rsidRPr="00864CE2">
              <w:rPr>
                <w:rFonts w:hint="cs"/>
                <w:b/>
                <w:bCs/>
                <w:sz w:val="24"/>
                <w:szCs w:val="32"/>
                <w:rtl/>
              </w:rPr>
              <w:t xml:space="preserve"> </w:t>
            </w:r>
            <w:r w:rsidRPr="00864CE2">
              <w:rPr>
                <w:b/>
                <w:bCs/>
                <w:sz w:val="24"/>
                <w:szCs w:val="32"/>
                <w:rtl/>
              </w:rPr>
              <w:t>ال</w:t>
            </w:r>
            <w:r w:rsidRPr="00864CE2">
              <w:rPr>
                <w:rFonts w:hint="cs"/>
                <w:b/>
                <w:bCs/>
                <w:sz w:val="24"/>
                <w:szCs w:val="32"/>
                <w:rtl/>
              </w:rPr>
              <w:t>ـ</w:t>
            </w:r>
            <w:r w:rsidRPr="00864CE2">
              <w:rPr>
                <w:b/>
                <w:bCs/>
                <w:sz w:val="24"/>
                <w:szCs w:val="32"/>
                <w:rtl/>
              </w:rPr>
              <w:t>دولـ</w:t>
            </w:r>
            <w:r w:rsidRPr="00864CE2">
              <w:rPr>
                <w:rFonts w:hint="cs"/>
                <w:b/>
                <w:bCs/>
                <w:sz w:val="24"/>
                <w:szCs w:val="32"/>
                <w:rtl/>
              </w:rPr>
              <w:t>ـــ</w:t>
            </w:r>
            <w:r w:rsidRPr="00864CE2">
              <w:rPr>
                <w:b/>
                <w:bCs/>
                <w:sz w:val="24"/>
                <w:szCs w:val="32"/>
                <w:rtl/>
              </w:rPr>
              <w:t>ي للاتص</w:t>
            </w:r>
            <w:r w:rsidRPr="00864CE2">
              <w:rPr>
                <w:rFonts w:hint="cs"/>
                <w:b/>
                <w:bCs/>
                <w:sz w:val="24"/>
                <w:szCs w:val="32"/>
                <w:rtl/>
              </w:rPr>
              <w:t>ـ</w:t>
            </w:r>
            <w:r w:rsidRPr="00864CE2">
              <w:rPr>
                <w:b/>
                <w:bCs/>
                <w:sz w:val="24"/>
                <w:szCs w:val="32"/>
                <w:rtl/>
              </w:rPr>
              <w:t>ـ</w:t>
            </w:r>
            <w:r w:rsidRPr="00864CE2">
              <w:rPr>
                <w:rFonts w:hint="cs"/>
                <w:b/>
                <w:bCs/>
                <w:sz w:val="24"/>
                <w:szCs w:val="32"/>
                <w:rtl/>
              </w:rPr>
              <w:t>ــ</w:t>
            </w:r>
            <w:r w:rsidRPr="00864CE2">
              <w:rPr>
                <w:b/>
                <w:bCs/>
                <w:sz w:val="24"/>
                <w:szCs w:val="32"/>
                <w:rtl/>
              </w:rPr>
              <w:t>الات</w:t>
            </w:r>
          </w:p>
        </w:tc>
        <w:tc>
          <w:tcPr>
            <w:tcW w:w="3053" w:type="dxa"/>
            <w:tcBorders>
              <w:bottom w:val="single" w:sz="12" w:space="0" w:color="auto"/>
            </w:tcBorders>
          </w:tcPr>
          <w:p w:rsidR="00280E04" w:rsidRPr="00864CE2" w:rsidRDefault="00280E04" w:rsidP="00D44350">
            <w:pPr>
              <w:rPr>
                <w:lang w:bidi="ar-EG"/>
              </w:rPr>
            </w:pPr>
          </w:p>
        </w:tc>
      </w:tr>
      <w:tr w:rsidR="00280E04" w:rsidRPr="00864CE2" w:rsidTr="003E1608">
        <w:trPr>
          <w:cantSplit/>
          <w:trHeight w:val="20"/>
        </w:trPr>
        <w:tc>
          <w:tcPr>
            <w:tcW w:w="6619" w:type="dxa"/>
            <w:tcBorders>
              <w:top w:val="single" w:sz="12" w:space="0" w:color="auto"/>
            </w:tcBorders>
          </w:tcPr>
          <w:p w:rsidR="00280E04" w:rsidRPr="00864CE2" w:rsidRDefault="00280E04" w:rsidP="00D44350">
            <w:pPr>
              <w:pStyle w:val="Adress"/>
              <w:framePr w:hSpace="0" w:wrap="auto" w:xAlign="left" w:yAlign="inline"/>
              <w:rPr>
                <w:rFonts w:ascii="Verdana" w:hAnsi="Verdana"/>
                <w:rtl/>
              </w:rPr>
            </w:pPr>
          </w:p>
        </w:tc>
        <w:tc>
          <w:tcPr>
            <w:tcW w:w="3053" w:type="dxa"/>
            <w:tcBorders>
              <w:top w:val="single" w:sz="12" w:space="0" w:color="auto"/>
            </w:tcBorders>
          </w:tcPr>
          <w:p w:rsidR="00280E04" w:rsidRPr="00864CE2" w:rsidRDefault="00280E04" w:rsidP="00D44350">
            <w:pPr>
              <w:pStyle w:val="Adress"/>
              <w:framePr w:hSpace="0" w:wrap="auto" w:xAlign="left" w:yAlign="inline"/>
              <w:rPr>
                <w:rFonts w:ascii="Verdana" w:hAnsi="Verdana"/>
              </w:rPr>
            </w:pPr>
          </w:p>
        </w:tc>
      </w:tr>
      <w:tr w:rsidR="003E1608" w:rsidRPr="00864CE2" w:rsidTr="003E1608">
        <w:trPr>
          <w:cantSplit/>
        </w:trPr>
        <w:tc>
          <w:tcPr>
            <w:tcW w:w="6619" w:type="dxa"/>
            <w:shd w:val="clear" w:color="auto" w:fill="auto"/>
          </w:tcPr>
          <w:p w:rsidR="003E1608" w:rsidRPr="00864CE2"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864CE2">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864CE2" w:rsidRDefault="003E1608" w:rsidP="003E1608">
            <w:pPr>
              <w:pStyle w:val="Adress"/>
              <w:framePr w:hSpace="0" w:wrap="auto" w:xAlign="left" w:yAlign="inline"/>
              <w:rPr>
                <w:rFonts w:ascii="Verdana" w:hAnsi="Verdana"/>
                <w:rtl/>
              </w:rPr>
            </w:pPr>
            <w:r w:rsidRPr="00864CE2">
              <w:rPr>
                <w:rFonts w:ascii="Verdana" w:hAnsi="Verdana"/>
                <w:rtl/>
              </w:rPr>
              <w:t xml:space="preserve">الإضافة </w:t>
            </w:r>
            <w:r w:rsidRPr="00864CE2">
              <w:rPr>
                <w:rFonts w:ascii="Verdana" w:hAnsi="Verdana"/>
              </w:rPr>
              <w:t>6</w:t>
            </w:r>
            <w:r w:rsidRPr="00864CE2">
              <w:rPr>
                <w:rFonts w:ascii="Verdana" w:hAnsi="Verdana"/>
              </w:rPr>
              <w:br/>
            </w:r>
            <w:r w:rsidRPr="00864CE2">
              <w:rPr>
                <w:rFonts w:ascii="Verdana" w:hAnsi="Verdana"/>
                <w:rtl/>
              </w:rPr>
              <w:t xml:space="preserve">للوثيقة </w:t>
            </w:r>
            <w:r w:rsidRPr="00864CE2">
              <w:rPr>
                <w:rFonts w:ascii="Verdana" w:hAnsi="Verdana"/>
              </w:rPr>
              <w:t>61-</w:t>
            </w:r>
            <w:r w:rsidR="00455A08" w:rsidRPr="00864CE2">
              <w:rPr>
                <w:rFonts w:ascii="Verdana" w:hAnsi="Verdana"/>
              </w:rPr>
              <w:t>A</w:t>
            </w:r>
          </w:p>
        </w:tc>
      </w:tr>
      <w:tr w:rsidR="00764079" w:rsidRPr="00864CE2" w:rsidTr="003E1608">
        <w:trPr>
          <w:cantSplit/>
        </w:trPr>
        <w:tc>
          <w:tcPr>
            <w:tcW w:w="6619" w:type="dxa"/>
            <w:shd w:val="clear" w:color="auto" w:fill="auto"/>
          </w:tcPr>
          <w:p w:rsidR="00764079" w:rsidRPr="00864CE2"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864CE2" w:rsidRDefault="00764079" w:rsidP="00D44350">
            <w:pPr>
              <w:pStyle w:val="Adress"/>
              <w:framePr w:hSpace="0" w:wrap="auto" w:xAlign="left" w:yAlign="inline"/>
              <w:rPr>
                <w:rFonts w:ascii="Verdana" w:hAnsi="Verdana"/>
                <w:rtl/>
              </w:rPr>
            </w:pPr>
            <w:r w:rsidRPr="00864CE2">
              <w:rPr>
                <w:rFonts w:ascii="Verdana" w:eastAsia="SimSun" w:hAnsi="Verdana"/>
              </w:rPr>
              <w:t>14</w:t>
            </w:r>
            <w:r w:rsidRPr="00864CE2">
              <w:rPr>
                <w:rFonts w:ascii="Verdana" w:eastAsia="SimSun" w:hAnsi="Verdana"/>
                <w:rtl/>
              </w:rPr>
              <w:t xml:space="preserve"> أكتوبر </w:t>
            </w:r>
            <w:r w:rsidRPr="00864CE2">
              <w:rPr>
                <w:rFonts w:ascii="Verdana" w:eastAsia="SimSun" w:hAnsi="Verdana"/>
              </w:rPr>
              <w:t>2015</w:t>
            </w:r>
          </w:p>
        </w:tc>
      </w:tr>
      <w:tr w:rsidR="00764079" w:rsidRPr="00864CE2" w:rsidTr="003E1608">
        <w:trPr>
          <w:cantSplit/>
        </w:trPr>
        <w:tc>
          <w:tcPr>
            <w:tcW w:w="6619" w:type="dxa"/>
          </w:tcPr>
          <w:p w:rsidR="00764079" w:rsidRPr="00864CE2" w:rsidRDefault="00764079" w:rsidP="00D44350">
            <w:pPr>
              <w:pStyle w:val="Adress"/>
              <w:framePr w:hSpace="0" w:wrap="auto" w:xAlign="left" w:yAlign="inline"/>
              <w:rPr>
                <w:rFonts w:ascii="Verdana" w:eastAsia="SimSun" w:hAnsi="Verdana"/>
                <w:rtl/>
              </w:rPr>
            </w:pPr>
          </w:p>
        </w:tc>
        <w:tc>
          <w:tcPr>
            <w:tcW w:w="3053" w:type="dxa"/>
            <w:vAlign w:val="center"/>
          </w:tcPr>
          <w:p w:rsidR="00764079" w:rsidRPr="00864CE2" w:rsidRDefault="00764079" w:rsidP="00D44350">
            <w:pPr>
              <w:pStyle w:val="Adress"/>
              <w:framePr w:hSpace="0" w:wrap="auto" w:xAlign="left" w:yAlign="inline"/>
              <w:rPr>
                <w:rFonts w:ascii="Verdana" w:eastAsia="SimSun" w:hAnsi="Verdana"/>
              </w:rPr>
            </w:pPr>
            <w:r w:rsidRPr="00864CE2">
              <w:rPr>
                <w:rFonts w:ascii="Verdana" w:eastAsia="SimSun" w:hAnsi="Verdana"/>
                <w:rtl/>
              </w:rPr>
              <w:t>الأصل: بالإنكليزية</w:t>
            </w:r>
          </w:p>
        </w:tc>
      </w:tr>
      <w:tr w:rsidR="00764079" w:rsidRPr="00864CE2" w:rsidTr="003E1608">
        <w:trPr>
          <w:cantSplit/>
        </w:trPr>
        <w:tc>
          <w:tcPr>
            <w:tcW w:w="9672" w:type="dxa"/>
            <w:gridSpan w:val="2"/>
          </w:tcPr>
          <w:p w:rsidR="00764079" w:rsidRPr="00864CE2" w:rsidRDefault="00764079" w:rsidP="00D44350">
            <w:pPr>
              <w:pStyle w:val="Adress"/>
              <w:framePr w:hSpace="0" w:wrap="auto" w:xAlign="left" w:yAlign="inline"/>
              <w:rPr>
                <w:rFonts w:ascii="Verdana" w:eastAsia="SimSun" w:hAnsi="Verdana"/>
              </w:rPr>
            </w:pPr>
          </w:p>
        </w:tc>
      </w:tr>
      <w:tr w:rsidR="00764079" w:rsidRPr="00864CE2" w:rsidTr="003E1608">
        <w:trPr>
          <w:cantSplit/>
        </w:trPr>
        <w:tc>
          <w:tcPr>
            <w:tcW w:w="9672" w:type="dxa"/>
            <w:gridSpan w:val="2"/>
          </w:tcPr>
          <w:p w:rsidR="00764079" w:rsidRPr="00864CE2" w:rsidRDefault="00764079" w:rsidP="00D44350">
            <w:pPr>
              <w:pStyle w:val="Source"/>
              <w:rPr>
                <w:rtl/>
              </w:rPr>
            </w:pPr>
            <w:r w:rsidRPr="00864CE2">
              <w:rPr>
                <w:rtl/>
              </w:rPr>
              <w:t>جمهورية إيران الإسلامية</w:t>
            </w:r>
          </w:p>
        </w:tc>
      </w:tr>
      <w:tr w:rsidR="00764079" w:rsidRPr="00864CE2" w:rsidTr="003E1608">
        <w:trPr>
          <w:cantSplit/>
        </w:trPr>
        <w:tc>
          <w:tcPr>
            <w:tcW w:w="9672" w:type="dxa"/>
            <w:gridSpan w:val="2"/>
          </w:tcPr>
          <w:p w:rsidR="00764079" w:rsidRPr="00864CE2" w:rsidRDefault="006F1BAD" w:rsidP="00D44350">
            <w:pPr>
              <w:pStyle w:val="Title1"/>
              <w:spacing w:before="240"/>
              <w:rPr>
                <w:rtl/>
              </w:rPr>
            </w:pPr>
            <w:r>
              <w:rPr>
                <w:rFonts w:hint="eastAsia"/>
                <w:rtl/>
              </w:rPr>
              <w:t>مقترحات</w:t>
            </w:r>
            <w:r>
              <w:rPr>
                <w:rtl/>
              </w:rPr>
              <w:t xml:space="preserve"> بشأن أعمال ال‍مؤت‍مر</w:t>
            </w:r>
          </w:p>
        </w:tc>
      </w:tr>
      <w:tr w:rsidR="00764079" w:rsidRPr="00864CE2" w:rsidTr="003E1608">
        <w:trPr>
          <w:cantSplit/>
        </w:trPr>
        <w:tc>
          <w:tcPr>
            <w:tcW w:w="9672" w:type="dxa"/>
            <w:gridSpan w:val="2"/>
          </w:tcPr>
          <w:p w:rsidR="00764079" w:rsidRPr="00864CE2" w:rsidRDefault="00764079" w:rsidP="00D44350">
            <w:pPr>
              <w:pStyle w:val="Title2"/>
              <w:rPr>
                <w:rtl/>
              </w:rPr>
            </w:pPr>
          </w:p>
        </w:tc>
      </w:tr>
      <w:tr w:rsidR="00764079" w:rsidRPr="00864CE2" w:rsidTr="003E1608">
        <w:trPr>
          <w:cantSplit/>
        </w:trPr>
        <w:tc>
          <w:tcPr>
            <w:tcW w:w="9672" w:type="dxa"/>
            <w:gridSpan w:val="2"/>
          </w:tcPr>
          <w:p w:rsidR="00764079" w:rsidRPr="00864CE2" w:rsidRDefault="00764079" w:rsidP="00CE1ACA">
            <w:pPr>
              <w:pStyle w:val="Agendaitem"/>
              <w:spacing w:before="240" w:line="192" w:lineRule="auto"/>
            </w:pPr>
            <w:r w:rsidRPr="00864CE2">
              <w:rPr>
                <w:rtl/>
              </w:rPr>
              <w:t xml:space="preserve">البنـد </w:t>
            </w:r>
            <w:r w:rsidR="00455A08" w:rsidRPr="00864CE2">
              <w:t>6.1</w:t>
            </w:r>
            <w:r w:rsidRPr="00864CE2">
              <w:rPr>
                <w:rtl/>
              </w:rPr>
              <w:t xml:space="preserve"> من جدول الأعمال</w:t>
            </w:r>
          </w:p>
        </w:tc>
      </w:tr>
    </w:tbl>
    <w:p w:rsidR="00B271A5" w:rsidRPr="00864CE2" w:rsidRDefault="00B271A5" w:rsidP="00455A08">
      <w:pPr>
        <w:pStyle w:val="Normalaftertitle"/>
        <w:rPr>
          <w:rFonts w:eastAsia="SimSun"/>
        </w:rPr>
      </w:pPr>
      <w:r w:rsidRPr="00864CE2">
        <w:rPr>
          <w:rFonts w:eastAsia="SimSun"/>
        </w:rPr>
        <w:t>6.1</w:t>
      </w:r>
      <w:r w:rsidRPr="00864CE2">
        <w:rPr>
          <w:rFonts w:eastAsia="SimSun" w:hint="cs"/>
          <w:rtl/>
        </w:rPr>
        <w:tab/>
      </w:r>
      <w:r w:rsidRPr="00864CE2">
        <w:rPr>
          <w:rFonts w:eastAsia="SimSun"/>
          <w:rtl/>
        </w:rPr>
        <w:t>النظر في إمكانية منح توزيعات إضافية أولية</w:t>
      </w:r>
      <w:r w:rsidRPr="00864CE2">
        <w:rPr>
          <w:rFonts w:eastAsia="SimSun" w:hint="cs"/>
          <w:rtl/>
        </w:rPr>
        <w:t xml:space="preserve"> على النحو التالي:</w:t>
      </w:r>
    </w:p>
    <w:p w:rsidR="00CE1ACA" w:rsidRPr="00864CE2" w:rsidRDefault="00CE1ACA" w:rsidP="00FD2B01">
      <w:pPr>
        <w:rPr>
          <w:rFonts w:eastAsia="SimSun"/>
          <w:rtl/>
          <w:lang w:bidi="ar-EG"/>
        </w:rPr>
      </w:pPr>
      <w:r w:rsidRPr="00864CE2">
        <w:rPr>
          <w:rFonts w:eastAsia="SimSun"/>
          <w:lang w:bidi="ar-EG"/>
        </w:rPr>
        <w:t>1.6.1</w:t>
      </w:r>
      <w:r w:rsidRPr="00864CE2">
        <w:rPr>
          <w:rFonts w:eastAsia="SimSun"/>
          <w:rtl/>
          <w:lang w:bidi="ar-EG"/>
        </w:rPr>
        <w:tab/>
      </w:r>
      <w:r w:rsidRPr="00864CE2">
        <w:rPr>
          <w:rFonts w:eastAsia="SimSun" w:hint="cs"/>
          <w:rtl/>
          <w:lang w:bidi="ar-EG"/>
        </w:rPr>
        <w:t xml:space="preserve">للخدمة الثابتة الساتلية (أرض-فضاء وفضاء-أرض) بمقدار </w:t>
      </w:r>
      <w:r w:rsidRPr="00864CE2">
        <w:rPr>
          <w:rFonts w:eastAsia="SimSun"/>
          <w:lang w:bidi="ar-EG"/>
        </w:rPr>
        <w:t>MHz 250</w:t>
      </w:r>
      <w:r w:rsidRPr="00864CE2">
        <w:rPr>
          <w:rFonts w:eastAsia="SimSun" w:hint="cs"/>
          <w:rtl/>
          <w:lang w:bidi="ar-EG"/>
        </w:rPr>
        <w:t xml:space="preserve"> في المدى بين </w:t>
      </w:r>
      <w:r w:rsidRPr="00864CE2">
        <w:rPr>
          <w:rFonts w:eastAsia="SimSun"/>
          <w:lang w:bidi="ar-EG"/>
        </w:rPr>
        <w:t>GHz</w:t>
      </w:r>
      <w:r w:rsidR="00FD2B01">
        <w:rPr>
          <w:rFonts w:eastAsia="SimSun"/>
          <w:lang w:bidi="ar-EG"/>
        </w:rPr>
        <w:t> </w:t>
      </w:r>
      <w:r w:rsidRPr="00864CE2">
        <w:rPr>
          <w:rFonts w:eastAsia="SimSun"/>
          <w:lang w:bidi="ar-EG"/>
        </w:rPr>
        <w:t>10</w:t>
      </w:r>
      <w:r w:rsidRPr="00864CE2">
        <w:rPr>
          <w:rFonts w:eastAsia="SimSun" w:hint="cs"/>
          <w:rtl/>
          <w:lang w:bidi="ar-EG"/>
        </w:rPr>
        <w:t xml:space="preserve"> و</w:t>
      </w:r>
      <w:r w:rsidRPr="00864CE2">
        <w:rPr>
          <w:rFonts w:eastAsia="SimSun"/>
          <w:lang w:bidi="ar-EG"/>
        </w:rPr>
        <w:t>GHz</w:t>
      </w:r>
      <w:r w:rsidR="00FD2B01">
        <w:rPr>
          <w:rFonts w:eastAsia="SimSun"/>
          <w:lang w:bidi="ar-EG"/>
        </w:rPr>
        <w:t> </w:t>
      </w:r>
      <w:r w:rsidRPr="00864CE2">
        <w:rPr>
          <w:rFonts w:eastAsia="SimSun"/>
          <w:lang w:bidi="ar-EG"/>
        </w:rPr>
        <w:t>17</w:t>
      </w:r>
      <w:r w:rsidRPr="00864CE2">
        <w:rPr>
          <w:rFonts w:eastAsia="SimSun" w:hint="cs"/>
          <w:rtl/>
          <w:lang w:bidi="ar-EG"/>
        </w:rPr>
        <w:t xml:space="preserve"> في</w:t>
      </w:r>
      <w:r w:rsidR="00292F68">
        <w:rPr>
          <w:rFonts w:eastAsia="SimSun" w:hint="eastAsia"/>
          <w:rtl/>
          <w:lang w:bidi="ar-EG"/>
        </w:rPr>
        <w:t> </w:t>
      </w:r>
      <w:r w:rsidRPr="00864CE2">
        <w:rPr>
          <w:rFonts w:eastAsia="SimSun" w:hint="cs"/>
          <w:rtl/>
          <w:lang w:bidi="ar-EG"/>
        </w:rPr>
        <w:t>الإقليم</w:t>
      </w:r>
      <w:r w:rsidR="00FD2B01">
        <w:rPr>
          <w:rFonts w:eastAsia="SimSun" w:hint="eastAsia"/>
          <w:rtl/>
          <w:lang w:bidi="ar-EG"/>
        </w:rPr>
        <w:t> </w:t>
      </w:r>
      <w:r w:rsidR="00ED1CF2" w:rsidRPr="00864CE2">
        <w:rPr>
          <w:rFonts w:eastAsia="SimSun"/>
          <w:lang w:bidi="ar-EG"/>
        </w:rPr>
        <w:t>1</w:t>
      </w:r>
      <w:r w:rsidR="00ED1CF2" w:rsidRPr="00864CE2">
        <w:rPr>
          <w:rFonts w:eastAsia="SimSun" w:hint="cs"/>
          <w:rtl/>
          <w:lang w:bidi="ar-EG"/>
        </w:rPr>
        <w:t>؛</w:t>
      </w:r>
    </w:p>
    <w:p w:rsidR="00B271A5" w:rsidRPr="00864CE2" w:rsidRDefault="00B271A5" w:rsidP="00FD2B01">
      <w:pPr>
        <w:rPr>
          <w:rFonts w:eastAsia="SimSun"/>
          <w:rtl/>
        </w:rPr>
      </w:pPr>
      <w:r w:rsidRPr="00864CE2">
        <w:rPr>
          <w:rFonts w:eastAsia="SimSun"/>
        </w:rPr>
        <w:t>2.6.1</w:t>
      </w:r>
      <w:r w:rsidRPr="00864CE2">
        <w:rPr>
          <w:rFonts w:eastAsia="SimSun" w:hint="cs"/>
          <w:rtl/>
        </w:rPr>
        <w:tab/>
        <w:t>و</w:t>
      </w:r>
      <w:r w:rsidRPr="00864CE2">
        <w:rPr>
          <w:rFonts w:eastAsia="SimSun"/>
          <w:rtl/>
        </w:rPr>
        <w:t xml:space="preserve">للخدمة الثابتة الساتلية (أرض-فضاء) </w:t>
      </w:r>
      <w:r w:rsidRPr="00864CE2">
        <w:rPr>
          <w:rFonts w:eastAsia="SimSun" w:hint="cs"/>
          <w:rtl/>
        </w:rPr>
        <w:t xml:space="preserve">بمقدار </w:t>
      </w:r>
      <w:r w:rsidRPr="00864CE2">
        <w:rPr>
          <w:rFonts w:eastAsia="SimSun"/>
        </w:rPr>
        <w:t>MHz 250</w:t>
      </w:r>
      <w:r w:rsidRPr="00864CE2">
        <w:rPr>
          <w:rFonts w:eastAsia="SimSun" w:hint="cs"/>
          <w:rtl/>
        </w:rPr>
        <w:t xml:space="preserve"> في الإقليم</w:t>
      </w:r>
      <w:r w:rsidR="00455A08" w:rsidRPr="00864CE2">
        <w:rPr>
          <w:rFonts w:eastAsia="SimSun" w:hint="eastAsia"/>
          <w:rtl/>
        </w:rPr>
        <w:t> </w:t>
      </w:r>
      <w:r w:rsidRPr="00864CE2">
        <w:rPr>
          <w:rFonts w:eastAsia="SimSun"/>
        </w:rPr>
        <w:t>2</w:t>
      </w:r>
      <w:r w:rsidRPr="00864CE2">
        <w:rPr>
          <w:rFonts w:eastAsia="SimSun" w:hint="cs"/>
          <w:rtl/>
        </w:rPr>
        <w:t xml:space="preserve"> و</w:t>
      </w:r>
      <w:r w:rsidRPr="00864CE2">
        <w:rPr>
          <w:rFonts w:eastAsia="SimSun"/>
        </w:rPr>
        <w:t xml:space="preserve"> MHz 300</w:t>
      </w:r>
      <w:r w:rsidRPr="00864CE2">
        <w:rPr>
          <w:rFonts w:eastAsia="SimSun" w:hint="cs"/>
          <w:rtl/>
        </w:rPr>
        <w:t>في الإقليم</w:t>
      </w:r>
      <w:r w:rsidR="00455A08" w:rsidRPr="00864CE2">
        <w:rPr>
          <w:rFonts w:eastAsia="SimSun" w:hint="eastAsia"/>
          <w:rtl/>
        </w:rPr>
        <w:t> </w:t>
      </w:r>
      <w:r w:rsidRPr="00864CE2">
        <w:rPr>
          <w:rFonts w:eastAsia="SimSun"/>
        </w:rPr>
        <w:t>3</w:t>
      </w:r>
      <w:r w:rsidRPr="00864CE2">
        <w:rPr>
          <w:rFonts w:eastAsia="SimSun" w:hint="cs"/>
          <w:rtl/>
        </w:rPr>
        <w:t xml:space="preserve"> في المدى بين</w:t>
      </w:r>
      <w:r w:rsidR="00D13641">
        <w:rPr>
          <w:rFonts w:eastAsia="SimSun" w:hint="eastAsia"/>
          <w:rtl/>
          <w:lang w:bidi="ar-SY"/>
        </w:rPr>
        <w:t> </w:t>
      </w:r>
      <w:r w:rsidRPr="00864CE2">
        <w:rPr>
          <w:rFonts w:eastAsia="SimSun"/>
        </w:rPr>
        <w:t>GHz 1</w:t>
      </w:r>
      <w:r w:rsidR="00D13641">
        <w:rPr>
          <w:rFonts w:eastAsia="SimSun"/>
        </w:rPr>
        <w:t>7</w:t>
      </w:r>
      <w:r w:rsidR="00FD2B01">
        <w:rPr>
          <w:rFonts w:eastAsia="SimSun"/>
        </w:rPr>
        <w:noBreakHyphen/>
      </w:r>
      <w:r w:rsidR="00D13641">
        <w:rPr>
          <w:rFonts w:eastAsia="SimSun"/>
        </w:rPr>
        <w:t>13</w:t>
      </w:r>
      <w:r w:rsidRPr="00864CE2">
        <w:rPr>
          <w:rFonts w:eastAsia="SimSun" w:hint="cs"/>
          <w:rtl/>
        </w:rPr>
        <w:t>؛</w:t>
      </w:r>
    </w:p>
    <w:p w:rsidR="00B271A5" w:rsidRPr="00864CE2" w:rsidRDefault="00B271A5" w:rsidP="00FD2B01">
      <w:pPr>
        <w:tabs>
          <w:tab w:val="left" w:pos="1703"/>
        </w:tabs>
        <w:rPr>
          <w:rFonts w:eastAsia="SimSun"/>
          <w:lang w:bidi="ar-SY"/>
        </w:rPr>
      </w:pPr>
      <w:r w:rsidRPr="00864CE2">
        <w:rPr>
          <w:rFonts w:eastAsia="SimSun" w:hint="cs"/>
          <w:rtl/>
        </w:rPr>
        <w:t>و</w:t>
      </w:r>
      <w:r w:rsidRPr="00864CE2">
        <w:rPr>
          <w:rFonts w:eastAsia="SimSun"/>
          <w:rtl/>
        </w:rPr>
        <w:t>إعادة النظر في </w:t>
      </w:r>
      <w:r w:rsidRPr="00864CE2">
        <w:rPr>
          <w:rFonts w:eastAsia="SimSun" w:hint="cs"/>
          <w:rtl/>
        </w:rPr>
        <w:t>الأحكام</w:t>
      </w:r>
      <w:r w:rsidRPr="00864CE2">
        <w:rPr>
          <w:rFonts w:eastAsia="SimSun"/>
          <w:rtl/>
        </w:rPr>
        <w:t xml:space="preserve"> التنظيمية بشأن التوزيعات الحالية للخدمة الثابتة الساتلية في </w:t>
      </w:r>
      <w:r w:rsidRPr="00864CE2">
        <w:rPr>
          <w:rFonts w:eastAsia="SimSun" w:hint="cs"/>
          <w:rtl/>
        </w:rPr>
        <w:t>كل مدى، مع مراعاة نتائج دراسات قطاع الاتصالات الراديوية</w:t>
      </w:r>
      <w:r w:rsidRPr="00864CE2">
        <w:rPr>
          <w:rFonts w:eastAsia="SimSun"/>
          <w:rtl/>
        </w:rPr>
        <w:t xml:space="preserve"> وفقاً للقرار</w:t>
      </w:r>
      <w:r w:rsidRPr="00864CE2">
        <w:rPr>
          <w:rFonts w:eastAsia="SimSun" w:hint="cs"/>
          <w:rtl/>
        </w:rPr>
        <w:t xml:space="preserve">ين </w:t>
      </w:r>
      <w:r w:rsidRPr="00864CE2">
        <w:rPr>
          <w:rFonts w:eastAsia="SimSun"/>
          <w:b/>
          <w:bCs/>
        </w:rPr>
        <w:t>151 (WRC</w:t>
      </w:r>
      <w:r w:rsidRPr="00864CE2">
        <w:rPr>
          <w:rFonts w:eastAsia="SimSun"/>
          <w:b/>
          <w:bCs/>
        </w:rPr>
        <w:noBreakHyphen/>
        <w:t>12)</w:t>
      </w:r>
      <w:r w:rsidRPr="00864CE2">
        <w:rPr>
          <w:rFonts w:eastAsia="SimSun" w:hint="cs"/>
          <w:rtl/>
        </w:rPr>
        <w:t xml:space="preserve"> و</w:t>
      </w:r>
      <w:r w:rsidRPr="00864CE2">
        <w:rPr>
          <w:rFonts w:eastAsia="SimSun"/>
          <w:b/>
          <w:bCs/>
        </w:rPr>
        <w:t>152 (WRC</w:t>
      </w:r>
      <w:r w:rsidRPr="00864CE2">
        <w:rPr>
          <w:rFonts w:eastAsia="SimSun"/>
          <w:b/>
          <w:bCs/>
        </w:rPr>
        <w:noBreakHyphen/>
        <w:t>12)</w:t>
      </w:r>
      <w:r w:rsidRPr="00864CE2">
        <w:rPr>
          <w:rFonts w:eastAsia="SimSun" w:hint="cs"/>
          <w:b/>
          <w:bCs/>
          <w:rtl/>
        </w:rPr>
        <w:t xml:space="preserve"> </w:t>
      </w:r>
      <w:r w:rsidRPr="00864CE2">
        <w:rPr>
          <w:rFonts w:eastAsia="SimSun" w:hint="cs"/>
          <w:rtl/>
        </w:rPr>
        <w:t>على</w:t>
      </w:r>
      <w:r w:rsidR="00FD2B01">
        <w:rPr>
          <w:rFonts w:eastAsia="SimSun" w:hint="eastAsia"/>
          <w:rtl/>
        </w:rPr>
        <w:t> </w:t>
      </w:r>
      <w:r w:rsidRPr="00864CE2">
        <w:rPr>
          <w:rFonts w:eastAsia="SimSun" w:hint="cs"/>
          <w:rtl/>
        </w:rPr>
        <w:t>التوالي؛</w:t>
      </w:r>
    </w:p>
    <w:p w:rsidR="00F16602" w:rsidRPr="00864CE2" w:rsidRDefault="00455A08" w:rsidP="00455A08">
      <w:pPr>
        <w:pStyle w:val="Headingb"/>
        <w:rPr>
          <w:rtl/>
        </w:rPr>
      </w:pPr>
      <w:r w:rsidRPr="00864CE2">
        <w:rPr>
          <w:rFonts w:hint="cs"/>
          <w:rtl/>
        </w:rPr>
        <w:t>معلومات أساسية</w:t>
      </w:r>
    </w:p>
    <w:p w:rsidR="00ED1CF2" w:rsidRPr="00864CE2" w:rsidRDefault="00864CE2" w:rsidP="00FD2B01">
      <w:pPr>
        <w:rPr>
          <w:rtl/>
        </w:rPr>
      </w:pPr>
      <w:r>
        <w:rPr>
          <w:rFonts w:hint="cs"/>
          <w:rtl/>
        </w:rPr>
        <w:t xml:space="preserve">بغية معالجة البند </w:t>
      </w:r>
      <w:r>
        <w:t>1.6.1</w:t>
      </w:r>
      <w:r>
        <w:rPr>
          <w:rFonts w:hint="cs"/>
          <w:rtl/>
          <w:lang w:bidi="ar-EG"/>
        </w:rPr>
        <w:t xml:space="preserve"> من جدول الأعمال، </w:t>
      </w:r>
      <w:r w:rsidR="004F2FAA" w:rsidRPr="00864CE2">
        <w:rPr>
          <w:rFonts w:hint="cs"/>
          <w:rtl/>
        </w:rPr>
        <w:t xml:space="preserve">اضطلع قطاع الاتصالات الراديوية بدراسات للنطاقات الممكنة لتوزيعات أولية جديدة للخدمة الثابتة الساتلية </w:t>
      </w:r>
      <w:r w:rsidR="004F2FAA" w:rsidRPr="00864CE2">
        <w:t>(</w:t>
      </w:r>
      <w:r w:rsidR="004F2FAA" w:rsidRPr="00864CE2">
        <w:rPr>
          <w:rFonts w:hint="cs"/>
        </w:rPr>
        <w:t>FSS</w:t>
      </w:r>
      <w:r w:rsidR="004F2FAA" w:rsidRPr="00864CE2">
        <w:t>)</w:t>
      </w:r>
      <w:r w:rsidR="004F2FAA" w:rsidRPr="00864CE2">
        <w:rPr>
          <w:rFonts w:hint="cs"/>
          <w:rtl/>
        </w:rPr>
        <w:t xml:space="preserve"> في </w:t>
      </w:r>
      <w:r w:rsidR="00ED1CF2" w:rsidRPr="00864CE2">
        <w:rPr>
          <w:rFonts w:hint="cs"/>
          <w:rtl/>
        </w:rPr>
        <w:t>ال</w:t>
      </w:r>
      <w:r w:rsidR="004F2FAA" w:rsidRPr="00864CE2">
        <w:rPr>
          <w:rFonts w:hint="cs"/>
          <w:rtl/>
        </w:rPr>
        <w:t>اتجاهي</w:t>
      </w:r>
      <w:r w:rsidR="00ED1CF2" w:rsidRPr="00864CE2">
        <w:rPr>
          <w:rFonts w:hint="cs"/>
          <w:rtl/>
        </w:rPr>
        <w:t>ن</w:t>
      </w:r>
      <w:r w:rsidR="004F2FAA" w:rsidRPr="00864CE2">
        <w:rPr>
          <w:rFonts w:hint="cs"/>
          <w:rtl/>
        </w:rPr>
        <w:t xml:space="preserve"> أرض-فضاء وفضاء-أرض ضمن مدى التردد </w:t>
      </w:r>
      <w:r w:rsidR="004F2FAA" w:rsidRPr="00864CE2">
        <w:rPr>
          <w:rFonts w:hint="cs"/>
        </w:rPr>
        <w:t>17</w:t>
      </w:r>
      <w:r w:rsidR="00292F68">
        <w:noBreakHyphen/>
      </w:r>
      <w:r w:rsidR="004F2FAA" w:rsidRPr="00864CE2">
        <w:t>10</w:t>
      </w:r>
      <w:r w:rsidR="004F2FAA" w:rsidRPr="00864CE2">
        <w:rPr>
          <w:rFonts w:hint="cs"/>
          <w:rtl/>
        </w:rPr>
        <w:t xml:space="preserve"> </w:t>
      </w:r>
      <w:r w:rsidR="004F2FAA" w:rsidRPr="00864CE2">
        <w:rPr>
          <w:rFonts w:hint="cs"/>
        </w:rPr>
        <w:t>GHz</w:t>
      </w:r>
      <w:r w:rsidR="004F2FAA" w:rsidRPr="00864CE2">
        <w:rPr>
          <w:rFonts w:hint="cs"/>
          <w:rtl/>
        </w:rPr>
        <w:t xml:space="preserve"> من الإقليم</w:t>
      </w:r>
      <w:r w:rsidR="003921DF">
        <w:rPr>
          <w:rFonts w:hint="eastAsia"/>
          <w:rtl/>
        </w:rPr>
        <w:t> </w:t>
      </w:r>
      <w:r w:rsidR="004F2FAA" w:rsidRPr="00864CE2">
        <w:rPr>
          <w:rFonts w:hint="cs"/>
        </w:rPr>
        <w:t>1</w:t>
      </w:r>
      <w:r w:rsidR="004F2FAA" w:rsidRPr="00864CE2">
        <w:rPr>
          <w:rFonts w:hint="cs"/>
          <w:rtl/>
        </w:rPr>
        <w:t xml:space="preserve"> من أقاليم</w:t>
      </w:r>
      <w:r w:rsidR="004F2FAA" w:rsidRPr="00864CE2">
        <w:rPr>
          <w:rtl/>
        </w:rPr>
        <w:t xml:space="preserve"> الاتحاد</w:t>
      </w:r>
      <w:r>
        <w:rPr>
          <w:rFonts w:hint="cs"/>
          <w:rtl/>
        </w:rPr>
        <w:t xml:space="preserve">. </w:t>
      </w:r>
      <w:r w:rsidR="004F2FAA" w:rsidRPr="00864CE2">
        <w:rPr>
          <w:rFonts w:hint="cs"/>
          <w:rtl/>
        </w:rPr>
        <w:t xml:space="preserve">وأجريت الدراسات في </w:t>
      </w:r>
      <w:r w:rsidR="004F2FAA" w:rsidRPr="00864CE2">
        <w:rPr>
          <w:rFonts w:hint="cs"/>
        </w:rPr>
        <w:t>11</w:t>
      </w:r>
      <w:r w:rsidR="004F2FAA" w:rsidRPr="00864CE2">
        <w:rPr>
          <w:rFonts w:hint="eastAsia"/>
          <w:rtl/>
        </w:rPr>
        <w:t> </w:t>
      </w:r>
      <w:r w:rsidR="004F2FAA" w:rsidRPr="00864CE2">
        <w:rPr>
          <w:rFonts w:hint="cs"/>
          <w:rtl/>
        </w:rPr>
        <w:t xml:space="preserve">نطاقاً فرعياً مختلفاً من </w:t>
      </w:r>
      <w:r w:rsidR="004F2FAA" w:rsidRPr="00864CE2">
        <w:rPr>
          <w:rFonts w:hint="cs"/>
        </w:rPr>
        <w:t>10</w:t>
      </w:r>
      <w:r w:rsidR="004F2FAA" w:rsidRPr="00864CE2">
        <w:rPr>
          <w:rFonts w:hint="cs"/>
          <w:rtl/>
        </w:rPr>
        <w:t xml:space="preserve"> إلى </w:t>
      </w:r>
      <w:r w:rsidR="004F2FAA" w:rsidRPr="00864CE2">
        <w:rPr>
          <w:rFonts w:hint="cs"/>
        </w:rPr>
        <w:t>17</w:t>
      </w:r>
      <w:r w:rsidR="004F2FAA" w:rsidRPr="00864CE2">
        <w:rPr>
          <w:rFonts w:hint="cs"/>
          <w:rtl/>
        </w:rPr>
        <w:t xml:space="preserve"> </w:t>
      </w:r>
      <w:r w:rsidR="004F2FAA" w:rsidRPr="00864CE2">
        <w:rPr>
          <w:rFonts w:hint="cs"/>
        </w:rPr>
        <w:t>GHz</w:t>
      </w:r>
      <w:r w:rsidR="004F2FAA" w:rsidRPr="00864CE2">
        <w:rPr>
          <w:rFonts w:hint="cs"/>
          <w:rtl/>
        </w:rPr>
        <w:t>، ويرد في ال</w:t>
      </w:r>
      <w:r w:rsidR="00ED1CF2" w:rsidRPr="00864CE2">
        <w:rPr>
          <w:rFonts w:hint="cs"/>
          <w:rtl/>
        </w:rPr>
        <w:t>قسمين</w:t>
      </w:r>
      <w:r w:rsidR="003921DF">
        <w:rPr>
          <w:rFonts w:hint="eastAsia"/>
          <w:rtl/>
        </w:rPr>
        <w:t> </w:t>
      </w:r>
      <w:r w:rsidR="004F2FAA" w:rsidRPr="00864CE2">
        <w:t>4/1.6.1/1.4</w:t>
      </w:r>
      <w:r w:rsidR="004F2FAA" w:rsidRPr="00864CE2">
        <w:rPr>
          <w:rFonts w:hint="cs"/>
          <w:rtl/>
        </w:rPr>
        <w:t xml:space="preserve"> و</w:t>
      </w:r>
      <w:r w:rsidR="004F2FAA" w:rsidRPr="00864CE2">
        <w:t>5/1.6.1/1.4</w:t>
      </w:r>
      <w:r>
        <w:rPr>
          <w:rFonts w:hint="cs"/>
          <w:rtl/>
        </w:rPr>
        <w:t>،</w:t>
      </w:r>
      <w:r w:rsidR="004F2FAA" w:rsidRPr="00864CE2">
        <w:rPr>
          <w:rFonts w:hint="cs"/>
          <w:rtl/>
        </w:rPr>
        <w:t xml:space="preserve"> على التوالي، تحليل نتائج الدراسات وأساليب الوفاء بهذا البند من جدول الأعمال</w:t>
      </w:r>
      <w:r w:rsidR="00ED1CF2" w:rsidRPr="00864CE2">
        <w:rPr>
          <w:rFonts w:hint="cs"/>
          <w:rtl/>
        </w:rPr>
        <w:t xml:space="preserve">. كما </w:t>
      </w:r>
      <w:r w:rsidR="004F2FAA" w:rsidRPr="00864CE2">
        <w:rPr>
          <w:rtl/>
        </w:rPr>
        <w:t xml:space="preserve">أجرى قطاع الاتصالات الراديوية دراسات للنطاقات </w:t>
      </w:r>
      <w:r w:rsidR="004F2FAA" w:rsidRPr="00864CE2">
        <w:rPr>
          <w:rFonts w:hint="cs"/>
          <w:rtl/>
        </w:rPr>
        <w:t xml:space="preserve">المحتملة من أجل </w:t>
      </w:r>
      <w:r w:rsidR="004F2FAA" w:rsidRPr="00864CE2">
        <w:rPr>
          <w:rtl/>
        </w:rPr>
        <w:t>توزيعات أولية جديدة للخدمة الثابتة الساتلية في</w:t>
      </w:r>
      <w:r w:rsidR="004F2FAA" w:rsidRPr="00864CE2">
        <w:rPr>
          <w:rFonts w:hint="cs"/>
          <w:rtl/>
        </w:rPr>
        <w:t> الاتجاه</w:t>
      </w:r>
      <w:r w:rsidR="004F2FAA" w:rsidRPr="00864CE2">
        <w:rPr>
          <w:rtl/>
        </w:rPr>
        <w:t xml:space="preserve"> أرض</w:t>
      </w:r>
      <w:r w:rsidR="00FD2B01">
        <w:rPr>
          <w:rtl/>
        </w:rPr>
        <w:noBreakHyphen/>
      </w:r>
      <w:r w:rsidR="004F2FAA" w:rsidRPr="00864CE2">
        <w:rPr>
          <w:rtl/>
        </w:rPr>
        <w:t xml:space="preserve">فضاء ضمن المدى الترددي </w:t>
      </w:r>
      <w:r w:rsidR="004F2FAA" w:rsidRPr="00864CE2">
        <w:t>GHz 17</w:t>
      </w:r>
      <w:r w:rsidR="004F2FAA" w:rsidRPr="00864CE2">
        <w:noBreakHyphen/>
        <w:t>13</w:t>
      </w:r>
      <w:r w:rsidR="004F2FAA" w:rsidRPr="00864CE2">
        <w:rPr>
          <w:rtl/>
        </w:rPr>
        <w:t xml:space="preserve"> في إقليمَي الاتحاد</w:t>
      </w:r>
      <w:r w:rsidR="00FD2B01">
        <w:rPr>
          <w:rFonts w:hint="cs"/>
          <w:rtl/>
        </w:rPr>
        <w:t> </w:t>
      </w:r>
      <w:r w:rsidR="004F2FAA" w:rsidRPr="00864CE2">
        <w:t>2</w:t>
      </w:r>
      <w:r w:rsidR="004F2FAA" w:rsidRPr="00864CE2">
        <w:rPr>
          <w:rtl/>
        </w:rPr>
        <w:t xml:space="preserve"> و</w:t>
      </w:r>
      <w:r w:rsidR="004F2FAA" w:rsidRPr="00864CE2">
        <w:t>3</w:t>
      </w:r>
      <w:r w:rsidR="004F2FAA" w:rsidRPr="00864CE2">
        <w:rPr>
          <w:rtl/>
        </w:rPr>
        <w:t>. وأجريت الدراسات في</w:t>
      </w:r>
      <w:r w:rsidR="004F2FAA" w:rsidRPr="00864CE2">
        <w:rPr>
          <w:rFonts w:hint="cs"/>
          <w:rtl/>
        </w:rPr>
        <w:t> </w:t>
      </w:r>
      <w:r w:rsidR="004F2FAA" w:rsidRPr="00864CE2">
        <w:t>8</w:t>
      </w:r>
      <w:r w:rsidR="004F2FAA" w:rsidRPr="00864CE2">
        <w:rPr>
          <w:rtl/>
        </w:rPr>
        <w:t xml:space="preserve"> نطاقات فرعية مختلفة من</w:t>
      </w:r>
      <w:r w:rsidR="004F2FAA" w:rsidRPr="00864CE2">
        <w:rPr>
          <w:rFonts w:hint="cs"/>
          <w:rtl/>
        </w:rPr>
        <w:t> </w:t>
      </w:r>
      <w:r w:rsidR="004F2FAA" w:rsidRPr="00864CE2">
        <w:t>13</w:t>
      </w:r>
      <w:r w:rsidR="004F2FAA" w:rsidRPr="00864CE2">
        <w:rPr>
          <w:rtl/>
        </w:rPr>
        <w:t xml:space="preserve"> إلى</w:t>
      </w:r>
      <w:r w:rsidR="004F2FAA" w:rsidRPr="00864CE2">
        <w:rPr>
          <w:rFonts w:hint="cs"/>
          <w:rtl/>
        </w:rPr>
        <w:t> </w:t>
      </w:r>
      <w:r w:rsidR="004F2FAA" w:rsidRPr="00864CE2">
        <w:t>GHz 17</w:t>
      </w:r>
      <w:r w:rsidR="004F2FAA" w:rsidRPr="00864CE2">
        <w:rPr>
          <w:rtl/>
        </w:rPr>
        <w:t>، ويرد</w:t>
      </w:r>
      <w:r w:rsidR="003921DF">
        <w:rPr>
          <w:rFonts w:hint="cs"/>
          <w:rtl/>
        </w:rPr>
        <w:t> </w:t>
      </w:r>
      <w:r w:rsidR="004F2FAA" w:rsidRPr="00864CE2">
        <w:rPr>
          <w:rtl/>
        </w:rPr>
        <w:t>تحليل نتائج الدراسات وأساليب الوفاء ببند جدول الأعمال</w:t>
      </w:r>
      <w:r w:rsidR="004F2FAA" w:rsidRPr="00864CE2">
        <w:rPr>
          <w:rFonts w:hint="cs"/>
          <w:rtl/>
        </w:rPr>
        <w:t xml:space="preserve"> في</w:t>
      </w:r>
      <w:r w:rsidR="004F2FAA" w:rsidRPr="00864CE2">
        <w:rPr>
          <w:rtl/>
        </w:rPr>
        <w:t xml:space="preserve"> الفقرتين</w:t>
      </w:r>
      <w:r w:rsidR="00FD2B01">
        <w:rPr>
          <w:rFonts w:hint="eastAsia"/>
          <w:rtl/>
        </w:rPr>
        <w:t> </w:t>
      </w:r>
      <w:r w:rsidR="004F2FAA" w:rsidRPr="00864CE2">
        <w:t>4/2.6.1/1.4</w:t>
      </w:r>
      <w:r w:rsidR="004F2FAA" w:rsidRPr="00864CE2">
        <w:rPr>
          <w:rFonts w:hint="cs"/>
          <w:rtl/>
        </w:rPr>
        <w:t xml:space="preserve"> و</w:t>
      </w:r>
      <w:r w:rsidR="004F2FAA" w:rsidRPr="00864CE2">
        <w:t>5/2.6.1/1.4</w:t>
      </w:r>
      <w:r w:rsidR="00ED1CF2" w:rsidRPr="00864CE2">
        <w:rPr>
          <w:rFonts w:hint="cs"/>
          <w:rtl/>
        </w:rPr>
        <w:t xml:space="preserve"> من تقرير الاجتماع التحضيري للمؤتمر،</w:t>
      </w:r>
      <w:r w:rsidR="00ED1CF2" w:rsidRPr="00864CE2">
        <w:rPr>
          <w:rtl/>
        </w:rPr>
        <w:t xml:space="preserve"> على</w:t>
      </w:r>
      <w:r w:rsidR="00FD2B01">
        <w:rPr>
          <w:rFonts w:hint="cs"/>
          <w:rtl/>
        </w:rPr>
        <w:t> </w:t>
      </w:r>
      <w:r w:rsidR="00ED1CF2" w:rsidRPr="00864CE2">
        <w:rPr>
          <w:rtl/>
        </w:rPr>
        <w:t>التوالي</w:t>
      </w:r>
      <w:r>
        <w:rPr>
          <w:rFonts w:hint="cs"/>
          <w:rtl/>
        </w:rPr>
        <w:t>.</w:t>
      </w:r>
    </w:p>
    <w:p w:rsidR="00145EB1" w:rsidRPr="00864CE2" w:rsidRDefault="00ED1CF2" w:rsidP="00FD2B01">
      <w:pPr>
        <w:rPr>
          <w:rtl/>
        </w:rPr>
      </w:pPr>
      <w:r w:rsidRPr="00864CE2">
        <w:rPr>
          <w:rFonts w:hint="cs"/>
          <w:rtl/>
        </w:rPr>
        <w:lastRenderedPageBreak/>
        <w:t>و</w:t>
      </w:r>
      <w:r w:rsidR="00864CE2">
        <w:rPr>
          <w:rFonts w:hint="cs"/>
          <w:rtl/>
        </w:rPr>
        <w:t>وفقاً</w:t>
      </w:r>
      <w:r w:rsidRPr="00864CE2">
        <w:rPr>
          <w:rFonts w:hint="cs"/>
          <w:rtl/>
        </w:rPr>
        <w:t xml:space="preserve"> </w:t>
      </w:r>
      <w:r w:rsidR="00864CE2">
        <w:rPr>
          <w:rFonts w:hint="cs"/>
          <w:rtl/>
        </w:rPr>
        <w:t>ل</w:t>
      </w:r>
      <w:r w:rsidRPr="00864CE2">
        <w:rPr>
          <w:rFonts w:hint="cs"/>
          <w:rtl/>
        </w:rPr>
        <w:t>هذ</w:t>
      </w:r>
      <w:r w:rsidR="00145EB1" w:rsidRPr="00864CE2">
        <w:rPr>
          <w:rFonts w:hint="cs"/>
          <w:rtl/>
        </w:rPr>
        <w:t>ا</w:t>
      </w:r>
      <w:r w:rsidRPr="00864CE2">
        <w:rPr>
          <w:rFonts w:hint="cs"/>
          <w:rtl/>
        </w:rPr>
        <w:t xml:space="preserve"> التقرير، فإن </w:t>
      </w:r>
      <w:r w:rsidR="004F2FAA" w:rsidRPr="00864CE2">
        <w:rPr>
          <w:rtl/>
        </w:rPr>
        <w:t xml:space="preserve">النطاقات الحالية غير المخططة للخدمة الثابتة الساتلية في المدى </w:t>
      </w:r>
      <w:r w:rsidR="004F2FAA" w:rsidRPr="00864CE2">
        <w:t>GHz 1</w:t>
      </w:r>
      <w:r w:rsidR="00864CE2">
        <w:t>7</w:t>
      </w:r>
      <w:r w:rsidR="004F2FAA" w:rsidRPr="00864CE2">
        <w:t>-1</w:t>
      </w:r>
      <w:r w:rsidR="00864CE2">
        <w:t>3</w:t>
      </w:r>
      <w:r w:rsidR="004F2FAA" w:rsidRPr="00864CE2">
        <w:rPr>
          <w:rtl/>
        </w:rPr>
        <w:t xml:space="preserve"> </w:t>
      </w:r>
      <w:r w:rsidR="009C437A">
        <w:rPr>
          <w:rFonts w:hint="cs"/>
          <w:rtl/>
        </w:rPr>
        <w:t xml:space="preserve">في جميع الأقاليم </w:t>
      </w:r>
      <w:r w:rsidRPr="00864CE2">
        <w:rPr>
          <w:rFonts w:hint="cs"/>
          <w:rtl/>
        </w:rPr>
        <w:t xml:space="preserve">تستعمل </w:t>
      </w:r>
      <w:r w:rsidR="004F2FAA" w:rsidRPr="00864CE2">
        <w:rPr>
          <w:rtl/>
        </w:rPr>
        <w:t>استعمالاً كثيفاً في عدد كبير من التطبيقات</w:t>
      </w:r>
      <w:r w:rsidR="00145EB1" w:rsidRPr="00864CE2">
        <w:rPr>
          <w:rFonts w:hint="cs"/>
          <w:rtl/>
        </w:rPr>
        <w:t>. وقد</w:t>
      </w:r>
      <w:r w:rsidR="00145EB1" w:rsidRPr="00864CE2">
        <w:rPr>
          <w:rtl/>
        </w:rPr>
        <w:t xml:space="preserve"> أدى</w:t>
      </w:r>
      <w:r w:rsidR="009C437A">
        <w:rPr>
          <w:rFonts w:hint="cs"/>
          <w:rtl/>
        </w:rPr>
        <w:t xml:space="preserve"> ازدياد</w:t>
      </w:r>
      <w:r w:rsidR="00145EB1" w:rsidRPr="00864CE2">
        <w:rPr>
          <w:rtl/>
        </w:rPr>
        <w:t xml:space="preserve"> الطلب على هذه التطبيقات إلى ارتفاع سريع في</w:t>
      </w:r>
      <w:r w:rsidR="00FD2B01">
        <w:rPr>
          <w:rFonts w:hint="cs"/>
          <w:rtl/>
        </w:rPr>
        <w:t> </w:t>
      </w:r>
      <w:r w:rsidR="00145EB1" w:rsidRPr="00864CE2">
        <w:rPr>
          <w:rtl/>
        </w:rPr>
        <w:t>الطلب على الطيف الترددي.</w:t>
      </w:r>
      <w:r w:rsidR="00145EB1" w:rsidRPr="00864CE2">
        <w:rPr>
          <w:rFonts w:hint="cs"/>
          <w:rtl/>
        </w:rPr>
        <w:t xml:space="preserve"> </w:t>
      </w:r>
      <w:r w:rsidR="004F2FAA" w:rsidRPr="00864CE2">
        <w:rPr>
          <w:rtl/>
        </w:rPr>
        <w:t xml:space="preserve">وعلاوة على ذلك، </w:t>
      </w:r>
      <w:r w:rsidR="009C437A">
        <w:rPr>
          <w:rFonts w:hint="cs"/>
          <w:rtl/>
        </w:rPr>
        <w:t xml:space="preserve">بما أن </w:t>
      </w:r>
      <w:r w:rsidR="004F2FAA" w:rsidRPr="00864CE2">
        <w:rPr>
          <w:rtl/>
        </w:rPr>
        <w:t xml:space="preserve">الحركة الساتلية </w:t>
      </w:r>
      <w:r w:rsidR="009C437A">
        <w:rPr>
          <w:rFonts w:hint="cs"/>
          <w:rtl/>
        </w:rPr>
        <w:t xml:space="preserve">تكون </w:t>
      </w:r>
      <w:r w:rsidR="004F2FAA" w:rsidRPr="00864CE2">
        <w:rPr>
          <w:rtl/>
        </w:rPr>
        <w:t xml:space="preserve">في العادة متناظرة في مجموعة كبيرة ومتنوعة من التطبيقات، </w:t>
      </w:r>
      <w:r w:rsidR="009C437A">
        <w:rPr>
          <w:rFonts w:hint="cs"/>
          <w:rtl/>
        </w:rPr>
        <w:t xml:space="preserve">فإن </w:t>
      </w:r>
      <w:r w:rsidR="004F2FAA" w:rsidRPr="00864CE2">
        <w:rPr>
          <w:rtl/>
        </w:rPr>
        <w:t xml:space="preserve">مقادير متشابهة من </w:t>
      </w:r>
      <w:r w:rsidR="004F2FAA" w:rsidRPr="00864CE2">
        <w:rPr>
          <w:rFonts w:hint="cs"/>
          <w:rtl/>
        </w:rPr>
        <w:t>ال</w:t>
      </w:r>
      <w:r w:rsidR="004F2FAA" w:rsidRPr="00864CE2">
        <w:rPr>
          <w:rtl/>
        </w:rPr>
        <w:t xml:space="preserve">حركة </w:t>
      </w:r>
      <w:r w:rsidR="009C437A">
        <w:rPr>
          <w:rFonts w:hint="cs"/>
          <w:rtl/>
        </w:rPr>
        <w:t xml:space="preserve">تُرسَل </w:t>
      </w:r>
      <w:r w:rsidR="004F2FAA" w:rsidRPr="00864CE2">
        <w:rPr>
          <w:rFonts w:hint="cs"/>
          <w:rtl/>
        </w:rPr>
        <w:t xml:space="preserve">في الاتجاه </w:t>
      </w:r>
      <w:r w:rsidR="004F2FAA" w:rsidRPr="00864CE2">
        <w:rPr>
          <w:rtl/>
        </w:rPr>
        <w:t>أرض-فضاء (الوصلة الصاعدة) و</w:t>
      </w:r>
      <w:r w:rsidR="004F2FAA" w:rsidRPr="00864CE2">
        <w:rPr>
          <w:rFonts w:hint="cs"/>
          <w:rtl/>
        </w:rPr>
        <w:t xml:space="preserve">في الاتجاه </w:t>
      </w:r>
      <w:r w:rsidR="004F2FAA" w:rsidRPr="00864CE2">
        <w:rPr>
          <w:rtl/>
        </w:rPr>
        <w:t>فضاء-أرض (الوصلة</w:t>
      </w:r>
      <w:r w:rsidR="00FD2B01">
        <w:rPr>
          <w:rFonts w:hint="cs"/>
          <w:rtl/>
        </w:rPr>
        <w:t> </w:t>
      </w:r>
      <w:r w:rsidR="004F2FAA" w:rsidRPr="00864CE2">
        <w:rPr>
          <w:rtl/>
        </w:rPr>
        <w:t>الهابطة).</w:t>
      </w:r>
    </w:p>
    <w:p w:rsidR="004F2FAA" w:rsidRPr="00864CE2" w:rsidRDefault="00145EB1" w:rsidP="00145EB1">
      <w:pPr>
        <w:rPr>
          <w:rtl/>
        </w:rPr>
      </w:pPr>
      <w:r w:rsidRPr="00864CE2">
        <w:rPr>
          <w:spacing w:val="-3"/>
          <w:rtl/>
        </w:rPr>
        <w:t xml:space="preserve">وكان المؤتمر العالمي للاتصالات الراديوية لعام </w:t>
      </w:r>
      <w:r w:rsidRPr="00864CE2">
        <w:rPr>
          <w:spacing w:val="-3"/>
        </w:rPr>
        <w:t>2012</w:t>
      </w:r>
      <w:r w:rsidRPr="00864CE2">
        <w:rPr>
          <w:spacing w:val="-3"/>
          <w:rtl/>
        </w:rPr>
        <w:t xml:space="preserve"> قد اعتمد البند </w:t>
      </w:r>
      <w:r w:rsidRPr="00864CE2">
        <w:rPr>
          <w:spacing w:val="-3"/>
        </w:rPr>
        <w:t>6.1</w:t>
      </w:r>
      <w:r w:rsidRPr="00864CE2">
        <w:rPr>
          <w:spacing w:val="-3"/>
          <w:rtl/>
        </w:rPr>
        <w:t xml:space="preserve"> من جدول أعمال المؤتمر العالمي للاتصالات الراديوية لعام</w:t>
      </w:r>
      <w:r w:rsidRPr="00864CE2">
        <w:rPr>
          <w:rFonts w:hint="cs"/>
          <w:spacing w:val="-3"/>
          <w:rtl/>
        </w:rPr>
        <w:t> </w:t>
      </w:r>
      <w:r w:rsidRPr="00864CE2">
        <w:rPr>
          <w:spacing w:val="-3"/>
        </w:rPr>
        <w:t>2015</w:t>
      </w:r>
      <w:r w:rsidRPr="00864CE2">
        <w:rPr>
          <w:spacing w:val="-3"/>
          <w:rtl/>
        </w:rPr>
        <w:t xml:space="preserve"> من أجل النظر في توزيعات إضافية أولية للخدمة الثابتة الساتلية واستعراض الأحكام التنظيمية بشأن التوزيعات الحالية للخدمة الثابتة الساتلية، مع مراعاة دراسات قطاع الاتصالات الراديوية وفقاً للقرار</w:t>
      </w:r>
      <w:r w:rsidRPr="00864CE2">
        <w:rPr>
          <w:rFonts w:hint="cs"/>
          <w:spacing w:val="-3"/>
          <w:rtl/>
        </w:rPr>
        <w:t> </w:t>
      </w:r>
      <w:r w:rsidRPr="008747FC">
        <w:rPr>
          <w:b/>
          <w:bCs/>
          <w:spacing w:val="-3"/>
        </w:rPr>
        <w:t>152</w:t>
      </w:r>
      <w:r w:rsidRPr="00292F68">
        <w:rPr>
          <w:spacing w:val="-3"/>
        </w:rPr>
        <w:t> </w:t>
      </w:r>
      <w:r w:rsidRPr="008747FC">
        <w:rPr>
          <w:b/>
          <w:bCs/>
          <w:spacing w:val="-3"/>
        </w:rPr>
        <w:t>(WRC</w:t>
      </w:r>
      <w:r w:rsidRPr="008747FC">
        <w:rPr>
          <w:b/>
          <w:bCs/>
          <w:spacing w:val="-3"/>
        </w:rPr>
        <w:noBreakHyphen/>
        <w:t>12)</w:t>
      </w:r>
      <w:r w:rsidRPr="00864CE2">
        <w:rPr>
          <w:spacing w:val="-3"/>
          <w:rtl/>
        </w:rPr>
        <w:t>.</w:t>
      </w:r>
    </w:p>
    <w:p w:rsidR="004F2FAA" w:rsidRPr="00864CE2" w:rsidRDefault="004F2FAA" w:rsidP="004F2FAA">
      <w:pPr>
        <w:pStyle w:val="Headingb"/>
        <w:rPr>
          <w:rtl/>
        </w:rPr>
      </w:pPr>
      <w:r w:rsidRPr="00864CE2">
        <w:rPr>
          <w:rFonts w:hint="cs"/>
          <w:rtl/>
        </w:rPr>
        <w:t>المناقشة</w:t>
      </w:r>
    </w:p>
    <w:p w:rsidR="004F2FAA" w:rsidRPr="00864CE2" w:rsidRDefault="009C437A" w:rsidP="00ED2282">
      <w:pPr>
        <w:rPr>
          <w:rtl/>
          <w:lang w:bidi="ar-EG"/>
        </w:rPr>
      </w:pPr>
      <w:r>
        <w:rPr>
          <w:rFonts w:hint="cs"/>
          <w:rtl/>
        </w:rPr>
        <w:t>وفقاً</w:t>
      </w:r>
      <w:r w:rsidR="00145EB1" w:rsidRPr="00864CE2">
        <w:rPr>
          <w:rFonts w:hint="cs"/>
          <w:rtl/>
        </w:rPr>
        <w:t xml:space="preserve"> </w:t>
      </w:r>
      <w:r>
        <w:rPr>
          <w:rFonts w:hint="cs"/>
          <w:rtl/>
        </w:rPr>
        <w:t>لتصنيف أجري</w:t>
      </w:r>
      <w:r w:rsidR="00145EB1" w:rsidRPr="00864CE2">
        <w:rPr>
          <w:rFonts w:hint="cs"/>
          <w:rtl/>
        </w:rPr>
        <w:t xml:space="preserve"> نطاقات مرشحة محتملة من أجل توزيع أولي جديد للخدمة الثابتة الساتلية</w:t>
      </w:r>
      <w:r>
        <w:rPr>
          <w:rFonts w:hint="cs"/>
          <w:rtl/>
        </w:rPr>
        <w:t>، اقترح تحديد</w:t>
      </w:r>
      <w:r w:rsidR="00145EB1" w:rsidRPr="00864CE2">
        <w:rPr>
          <w:rFonts w:hint="cs"/>
          <w:rtl/>
        </w:rPr>
        <w:t xml:space="preserve"> بعض النطاقات الفرعية لكل بند من بندي جدول الأعمال (</w:t>
      </w:r>
      <w:r w:rsidR="00145EB1" w:rsidRPr="00864CE2">
        <w:t>1.6.1</w:t>
      </w:r>
      <w:r w:rsidR="00145EB1" w:rsidRPr="00864CE2">
        <w:rPr>
          <w:rFonts w:hint="cs"/>
          <w:rtl/>
          <w:lang w:bidi="ar-EG"/>
        </w:rPr>
        <w:t xml:space="preserve"> و</w:t>
      </w:r>
      <w:r w:rsidR="00145EB1" w:rsidRPr="00864CE2">
        <w:rPr>
          <w:lang w:bidi="ar-EG"/>
        </w:rPr>
        <w:t>2.6.1</w:t>
      </w:r>
      <w:r w:rsidR="00145EB1" w:rsidRPr="00864CE2">
        <w:rPr>
          <w:rFonts w:hint="cs"/>
          <w:rtl/>
          <w:lang w:bidi="ar-EG"/>
        </w:rPr>
        <w:t>) وأجريت دراسات التقاسم المتعلقة بكل نطاق فرعي</w:t>
      </w:r>
      <w:r w:rsidR="00DB7D14" w:rsidRPr="00864CE2">
        <w:rPr>
          <w:rFonts w:hint="cs"/>
          <w:rtl/>
          <w:lang w:bidi="ar-EG"/>
        </w:rPr>
        <w:t xml:space="preserve"> </w:t>
      </w:r>
      <w:r w:rsidR="00ED2282">
        <w:rPr>
          <w:rFonts w:hint="cs"/>
          <w:rtl/>
          <w:lang w:bidi="ar-EG"/>
        </w:rPr>
        <w:t>بناءً</w:t>
      </w:r>
      <w:r w:rsidR="00DB7D14" w:rsidRPr="00864CE2">
        <w:rPr>
          <w:rFonts w:hint="cs"/>
          <w:rtl/>
          <w:lang w:bidi="ar-EG"/>
        </w:rPr>
        <w:t xml:space="preserve"> على مميزات كل خدمة محددة. </w:t>
      </w:r>
      <w:r>
        <w:rPr>
          <w:rFonts w:hint="cs"/>
          <w:rtl/>
          <w:lang w:bidi="ar-EG"/>
        </w:rPr>
        <w:t>ففي كل نطاق تردد وزعت مجموعة</w:t>
      </w:r>
      <w:r w:rsidR="00DB7D14" w:rsidRPr="00864CE2">
        <w:rPr>
          <w:rFonts w:hint="cs"/>
          <w:rtl/>
          <w:lang w:bidi="ar-EG"/>
        </w:rPr>
        <w:t xml:space="preserve"> متنوعة </w:t>
      </w:r>
      <w:r w:rsidR="00842461" w:rsidRPr="00864CE2">
        <w:rPr>
          <w:rFonts w:hint="cs"/>
          <w:rtl/>
          <w:lang w:bidi="ar-EG"/>
        </w:rPr>
        <w:t xml:space="preserve">من </w:t>
      </w:r>
      <w:r>
        <w:rPr>
          <w:rFonts w:hint="cs"/>
          <w:rtl/>
          <w:lang w:bidi="ar-EG"/>
        </w:rPr>
        <w:t>الخدمات بما فيها</w:t>
      </w:r>
      <w:r w:rsidR="00842461" w:rsidRPr="00864CE2">
        <w:rPr>
          <w:rFonts w:hint="cs"/>
          <w:rtl/>
          <w:lang w:bidi="ar-EG"/>
        </w:rPr>
        <w:t xml:space="preserve"> خدمة</w:t>
      </w:r>
      <w:r w:rsidR="00842461" w:rsidRPr="00864CE2">
        <w:rPr>
          <w:color w:val="000000"/>
          <w:rtl/>
        </w:rPr>
        <w:t xml:space="preserve"> الملاحة الراديوية للطيران</w:t>
      </w:r>
      <w:r w:rsidR="00ED2282">
        <w:rPr>
          <w:rFonts w:hint="eastAsia"/>
          <w:color w:val="000000"/>
          <w:rtl/>
          <w:lang w:bidi="ar-EG"/>
        </w:rPr>
        <w:t> </w:t>
      </w:r>
      <w:r w:rsidR="00842461" w:rsidRPr="00864CE2">
        <w:rPr>
          <w:color w:val="000000"/>
        </w:rPr>
        <w:t>(ARNS)</w:t>
      </w:r>
      <w:r w:rsidR="00842461" w:rsidRPr="00864CE2">
        <w:rPr>
          <w:rFonts w:hint="cs"/>
          <w:color w:val="000000"/>
          <w:rtl/>
          <w:lang w:bidi="ar-EG"/>
        </w:rPr>
        <w:t xml:space="preserve"> و</w:t>
      </w:r>
      <w:r w:rsidR="00842461" w:rsidRPr="00864CE2">
        <w:rPr>
          <w:color w:val="000000"/>
          <w:rtl/>
        </w:rPr>
        <w:t>الخدمة المتنقلة للطيران</w:t>
      </w:r>
      <w:r w:rsidR="00842461" w:rsidRPr="00864CE2">
        <w:rPr>
          <w:rFonts w:hint="cs"/>
          <w:color w:val="000000"/>
          <w:rtl/>
        </w:rPr>
        <w:t xml:space="preserve"> </w:t>
      </w:r>
      <w:r w:rsidR="00842461" w:rsidRPr="00864CE2">
        <w:rPr>
          <w:color w:val="000000"/>
        </w:rPr>
        <w:t>(AMS)</w:t>
      </w:r>
      <w:r w:rsidR="00842461" w:rsidRPr="00864CE2">
        <w:rPr>
          <w:rFonts w:hint="cs"/>
          <w:color w:val="000000"/>
          <w:rtl/>
          <w:lang w:bidi="ar-EG"/>
        </w:rPr>
        <w:t xml:space="preserve"> والخدمة الإذاعية الساتلية </w:t>
      </w:r>
      <w:r w:rsidR="00842461" w:rsidRPr="00864CE2">
        <w:rPr>
          <w:color w:val="000000"/>
          <w:lang w:bidi="ar-EG"/>
        </w:rPr>
        <w:t>(BSS)</w:t>
      </w:r>
      <w:r w:rsidR="00842461" w:rsidRPr="00864CE2">
        <w:rPr>
          <w:rFonts w:hint="cs"/>
          <w:color w:val="000000"/>
          <w:rtl/>
          <w:lang w:bidi="ar-EG"/>
        </w:rPr>
        <w:t xml:space="preserve"> والخدمة المتنقلة </w:t>
      </w:r>
      <w:r w:rsidR="00842461" w:rsidRPr="00864CE2">
        <w:rPr>
          <w:color w:val="000000"/>
          <w:lang w:bidi="ar-EG"/>
        </w:rPr>
        <w:t>(MS)</w:t>
      </w:r>
      <w:r w:rsidR="00842461" w:rsidRPr="00864CE2">
        <w:rPr>
          <w:rFonts w:hint="cs"/>
          <w:color w:val="000000"/>
          <w:rtl/>
          <w:lang w:bidi="ar-EG"/>
        </w:rPr>
        <w:t xml:space="preserve"> وخدمة استكشاف الأرض الساتلية </w:t>
      </w:r>
      <w:r w:rsidR="00842461" w:rsidRPr="00864CE2">
        <w:rPr>
          <w:color w:val="000000"/>
          <w:lang w:bidi="ar-EG"/>
        </w:rPr>
        <w:t>(ESSS)</w:t>
      </w:r>
      <w:r w:rsidR="00842461" w:rsidRPr="00864CE2">
        <w:rPr>
          <w:rFonts w:hint="cs"/>
          <w:color w:val="000000"/>
          <w:rtl/>
          <w:lang w:bidi="ar-EG"/>
        </w:rPr>
        <w:t xml:space="preserve"> والخدمة الثابتة </w:t>
      </w:r>
      <w:r w:rsidR="00842461" w:rsidRPr="00864CE2">
        <w:rPr>
          <w:color w:val="000000"/>
          <w:lang w:bidi="ar-EG"/>
        </w:rPr>
        <w:t>(FS)</w:t>
      </w:r>
      <w:r w:rsidR="0028528C">
        <w:rPr>
          <w:rFonts w:hint="cs"/>
          <w:color w:val="000000"/>
          <w:rtl/>
          <w:lang w:bidi="ar-EG"/>
        </w:rPr>
        <w:t xml:space="preserve"> وخدمة الأ</w:t>
      </w:r>
      <w:r w:rsidR="00842461" w:rsidRPr="00864CE2">
        <w:rPr>
          <w:rFonts w:hint="cs"/>
          <w:color w:val="000000"/>
          <w:rtl/>
          <w:lang w:bidi="ar-EG"/>
        </w:rPr>
        <w:t xml:space="preserve">بحاث الفضائية </w:t>
      </w:r>
      <w:r w:rsidR="00842461" w:rsidRPr="00864CE2">
        <w:rPr>
          <w:color w:val="000000"/>
          <w:lang w:bidi="ar-EG"/>
        </w:rPr>
        <w:t>(SRS)</w:t>
      </w:r>
      <w:r w:rsidR="00842461" w:rsidRPr="00864CE2">
        <w:rPr>
          <w:rFonts w:hint="cs"/>
          <w:color w:val="000000"/>
          <w:rtl/>
          <w:lang w:bidi="ar-EG"/>
        </w:rPr>
        <w:t>. و</w:t>
      </w:r>
      <w:r w:rsidR="0028528C">
        <w:rPr>
          <w:rFonts w:hint="cs"/>
          <w:color w:val="000000"/>
          <w:rtl/>
          <w:lang w:bidi="ar-EG"/>
        </w:rPr>
        <w:t xml:space="preserve">قد قامت </w:t>
      </w:r>
      <w:r w:rsidR="00842461" w:rsidRPr="00864CE2">
        <w:rPr>
          <w:rFonts w:hint="cs"/>
          <w:color w:val="000000"/>
          <w:rtl/>
          <w:lang w:bidi="ar-EG"/>
        </w:rPr>
        <w:t xml:space="preserve">بعض هذه الخدمات مثل </w:t>
      </w:r>
      <w:r w:rsidR="0028528C" w:rsidRPr="00864CE2">
        <w:rPr>
          <w:rFonts w:hint="cs"/>
          <w:rtl/>
          <w:lang w:bidi="ar-EG"/>
        </w:rPr>
        <w:t>خدمة</w:t>
      </w:r>
      <w:r w:rsidR="0028528C" w:rsidRPr="00864CE2">
        <w:rPr>
          <w:color w:val="000000"/>
          <w:rtl/>
        </w:rPr>
        <w:t xml:space="preserve"> الملاحة الراديوية للطيران</w:t>
      </w:r>
      <w:r w:rsidR="0028528C" w:rsidRPr="00864CE2">
        <w:rPr>
          <w:rFonts w:hint="cs"/>
          <w:color w:val="000000"/>
          <w:rtl/>
        </w:rPr>
        <w:t xml:space="preserve"> </w:t>
      </w:r>
      <w:r w:rsidR="00842461" w:rsidRPr="00864CE2">
        <w:rPr>
          <w:rFonts w:hint="cs"/>
          <w:color w:val="000000"/>
          <w:rtl/>
          <w:lang w:bidi="ar-EG"/>
        </w:rPr>
        <w:t xml:space="preserve">والخدمة </w:t>
      </w:r>
      <w:r w:rsidR="0028528C" w:rsidRPr="00864CE2">
        <w:rPr>
          <w:color w:val="000000"/>
          <w:rtl/>
        </w:rPr>
        <w:t>المتنقلة للطيران</w:t>
      </w:r>
      <w:r w:rsidR="00842461" w:rsidRPr="00864CE2">
        <w:rPr>
          <w:rFonts w:hint="cs"/>
          <w:color w:val="000000"/>
          <w:rtl/>
          <w:lang w:bidi="ar-EG"/>
        </w:rPr>
        <w:t xml:space="preserve"> بدور حيوي في حياة البشر.</w:t>
      </w:r>
      <w:r w:rsidR="00B94AC3" w:rsidRPr="00864CE2">
        <w:rPr>
          <w:rFonts w:hint="cs"/>
          <w:color w:val="000000"/>
          <w:rtl/>
          <w:lang w:bidi="ar-EG"/>
        </w:rPr>
        <w:t xml:space="preserve"> </w:t>
      </w:r>
      <w:r w:rsidR="0028528C">
        <w:rPr>
          <w:rFonts w:hint="cs"/>
          <w:color w:val="000000"/>
          <w:rtl/>
          <w:lang w:bidi="ar-EG"/>
        </w:rPr>
        <w:t>وتعتبر</w:t>
      </w:r>
      <w:r w:rsidR="00B94AC3" w:rsidRPr="00864CE2">
        <w:rPr>
          <w:rFonts w:hint="cs"/>
          <w:color w:val="000000"/>
          <w:rtl/>
          <w:lang w:bidi="ar-EG"/>
        </w:rPr>
        <w:t xml:space="preserve"> الخدمة الإذاعية الساتلية خدمة رئيسية أخرى </w:t>
      </w:r>
      <w:r w:rsidR="0028528C">
        <w:rPr>
          <w:rFonts w:hint="cs"/>
          <w:color w:val="000000"/>
          <w:rtl/>
          <w:lang w:bidi="ar-EG"/>
        </w:rPr>
        <w:t xml:space="preserve"> تحظى ب</w:t>
      </w:r>
      <w:r w:rsidR="00B94AC3" w:rsidRPr="00864CE2">
        <w:rPr>
          <w:rFonts w:hint="cs"/>
          <w:color w:val="000000"/>
          <w:rtl/>
          <w:lang w:bidi="ar-EG"/>
        </w:rPr>
        <w:t xml:space="preserve">الأولوية </w:t>
      </w:r>
      <w:r w:rsidR="0028528C">
        <w:rPr>
          <w:rFonts w:hint="cs"/>
          <w:color w:val="000000"/>
          <w:rtl/>
          <w:lang w:bidi="ar-EG"/>
        </w:rPr>
        <w:t>نظراً</w:t>
      </w:r>
      <w:r w:rsidR="00B94AC3" w:rsidRPr="00864CE2">
        <w:rPr>
          <w:rFonts w:hint="cs"/>
          <w:color w:val="000000"/>
          <w:rtl/>
          <w:lang w:bidi="ar-EG"/>
        </w:rPr>
        <w:t xml:space="preserve"> </w:t>
      </w:r>
      <w:r w:rsidR="0028528C">
        <w:rPr>
          <w:rFonts w:hint="cs"/>
          <w:color w:val="000000"/>
          <w:rtl/>
          <w:lang w:bidi="ar-EG"/>
        </w:rPr>
        <w:t>لأهميتها عند ال</w:t>
      </w:r>
      <w:r w:rsidR="00B94AC3" w:rsidRPr="00864CE2">
        <w:rPr>
          <w:rFonts w:hint="cs"/>
          <w:color w:val="000000"/>
          <w:rtl/>
          <w:lang w:bidi="ar-EG"/>
        </w:rPr>
        <w:t>جمهور</w:t>
      </w:r>
      <w:r w:rsidR="00ED2282">
        <w:rPr>
          <w:rFonts w:hint="eastAsia"/>
          <w:color w:val="000000"/>
          <w:rtl/>
          <w:lang w:bidi="ar-EG"/>
        </w:rPr>
        <w:t> </w:t>
      </w:r>
      <w:r w:rsidR="00B94AC3" w:rsidRPr="00864CE2">
        <w:rPr>
          <w:rFonts w:hint="cs"/>
          <w:color w:val="000000"/>
          <w:rtl/>
          <w:lang w:bidi="ar-EG"/>
        </w:rPr>
        <w:t>الواسع.</w:t>
      </w:r>
    </w:p>
    <w:p w:rsidR="004F2FAA" w:rsidRPr="00864CE2" w:rsidRDefault="00B94AC3" w:rsidP="00ED2282">
      <w:pPr>
        <w:rPr>
          <w:rtl/>
          <w:lang w:bidi="ar-EG"/>
        </w:rPr>
      </w:pPr>
      <w:r w:rsidRPr="00864CE2">
        <w:rPr>
          <w:rFonts w:hint="cs"/>
          <w:rtl/>
        </w:rPr>
        <w:t xml:space="preserve">ويعتبر النطاق </w:t>
      </w:r>
      <w:r w:rsidRPr="00864CE2">
        <w:t>GHz 14,8-14,5</w:t>
      </w:r>
      <w:r w:rsidRPr="00864CE2">
        <w:rPr>
          <w:rFonts w:hint="cs"/>
          <w:rtl/>
          <w:lang w:bidi="ar-EG"/>
        </w:rPr>
        <w:t xml:space="preserve"> </w:t>
      </w:r>
      <w:r w:rsidR="0028528C">
        <w:rPr>
          <w:rFonts w:hint="cs"/>
          <w:rtl/>
          <w:lang w:bidi="ar-EG"/>
        </w:rPr>
        <w:t>الذي جرى توزيعه بالفعل ل</w:t>
      </w:r>
      <w:r w:rsidR="0028528C" w:rsidRPr="00864CE2">
        <w:rPr>
          <w:rFonts w:hint="cs"/>
          <w:color w:val="000000"/>
          <w:rtl/>
          <w:lang w:bidi="ar-EG"/>
        </w:rPr>
        <w:t xml:space="preserve">لخدمة </w:t>
      </w:r>
      <w:r w:rsidR="0028528C" w:rsidRPr="00864CE2">
        <w:rPr>
          <w:color w:val="000000"/>
          <w:rtl/>
        </w:rPr>
        <w:t>المتنقلة للطيران</w:t>
      </w:r>
      <w:r w:rsidRPr="00864CE2">
        <w:rPr>
          <w:rFonts w:hint="cs"/>
          <w:rtl/>
          <w:lang w:bidi="ar-EG"/>
        </w:rPr>
        <w:t xml:space="preserve"> </w:t>
      </w:r>
      <w:r w:rsidR="0028528C" w:rsidRPr="00864CE2">
        <w:rPr>
          <w:rFonts w:hint="cs"/>
          <w:color w:val="000000"/>
          <w:rtl/>
          <w:lang w:bidi="ar-EG"/>
        </w:rPr>
        <w:t>والخدمة الإذاعية الساتلية</w:t>
      </w:r>
      <w:r w:rsidRPr="00864CE2">
        <w:rPr>
          <w:rFonts w:hint="cs"/>
          <w:rtl/>
          <w:lang w:bidi="ar-EG"/>
        </w:rPr>
        <w:t xml:space="preserve"> في بعض المناطق أحد النطاقات المرشحة ل</w:t>
      </w:r>
      <w:r w:rsidR="0028528C">
        <w:rPr>
          <w:rFonts w:hint="cs"/>
          <w:rtl/>
          <w:lang w:bidi="ar-EG"/>
        </w:rPr>
        <w:t>ل</w:t>
      </w:r>
      <w:r w:rsidRPr="00864CE2">
        <w:rPr>
          <w:rFonts w:hint="cs"/>
          <w:rtl/>
          <w:lang w:bidi="ar-EG"/>
        </w:rPr>
        <w:t>بندي</w:t>
      </w:r>
      <w:r w:rsidR="0028528C">
        <w:rPr>
          <w:rFonts w:hint="cs"/>
          <w:rtl/>
          <w:lang w:bidi="ar-EG"/>
        </w:rPr>
        <w:t>ن</w:t>
      </w:r>
      <w:r w:rsidRPr="00864CE2">
        <w:rPr>
          <w:rFonts w:hint="cs"/>
          <w:rtl/>
          <w:lang w:bidi="ar-EG"/>
        </w:rPr>
        <w:t xml:space="preserve"> </w:t>
      </w:r>
      <w:r w:rsidRPr="00864CE2">
        <w:rPr>
          <w:lang w:bidi="ar-EG"/>
        </w:rPr>
        <w:t>1.6.1</w:t>
      </w:r>
      <w:r w:rsidRPr="00864CE2">
        <w:rPr>
          <w:rFonts w:hint="cs"/>
          <w:rtl/>
          <w:lang w:bidi="ar-EG"/>
        </w:rPr>
        <w:t xml:space="preserve"> و</w:t>
      </w:r>
      <w:r w:rsidRPr="00864CE2">
        <w:rPr>
          <w:lang w:bidi="ar-EG"/>
        </w:rPr>
        <w:t>2.6.1</w:t>
      </w:r>
      <w:r w:rsidR="0028528C">
        <w:rPr>
          <w:rFonts w:hint="cs"/>
          <w:rtl/>
          <w:lang w:bidi="ar-EG"/>
        </w:rPr>
        <w:t xml:space="preserve"> معاً من </w:t>
      </w:r>
      <w:r w:rsidR="0028528C" w:rsidRPr="00864CE2">
        <w:rPr>
          <w:rFonts w:hint="cs"/>
          <w:rtl/>
          <w:lang w:bidi="ar-EG"/>
        </w:rPr>
        <w:t>جدول الأعمال</w:t>
      </w:r>
      <w:r w:rsidRPr="00864CE2">
        <w:rPr>
          <w:rFonts w:hint="cs"/>
          <w:rtl/>
          <w:lang w:bidi="ar-EG"/>
        </w:rPr>
        <w:t xml:space="preserve">. وبالرغم من أن لجنة الدراسات </w:t>
      </w:r>
      <w:r w:rsidRPr="00864CE2">
        <w:rPr>
          <w:lang w:bidi="ar-EG"/>
        </w:rPr>
        <w:t>4</w:t>
      </w:r>
      <w:r w:rsidRPr="00864CE2">
        <w:rPr>
          <w:rFonts w:hint="cs"/>
          <w:rtl/>
          <w:lang w:bidi="ar-EG"/>
        </w:rPr>
        <w:t xml:space="preserve"> (فرقة العمل</w:t>
      </w:r>
      <w:r w:rsidR="00ED2282">
        <w:rPr>
          <w:rFonts w:hint="eastAsia"/>
          <w:color w:val="000000"/>
          <w:rtl/>
          <w:lang w:bidi="ar-EG"/>
        </w:rPr>
        <w:t> </w:t>
      </w:r>
      <w:r w:rsidRPr="00864CE2">
        <w:rPr>
          <w:lang w:bidi="ar-EG"/>
        </w:rPr>
        <w:t>4A</w:t>
      </w:r>
      <w:r w:rsidRPr="00864CE2">
        <w:rPr>
          <w:rFonts w:hint="cs"/>
          <w:rtl/>
          <w:lang w:bidi="ar-EG"/>
        </w:rPr>
        <w:t>)</w:t>
      </w:r>
      <w:r w:rsidRPr="00864CE2">
        <w:rPr>
          <w:lang w:bidi="ar-EG"/>
        </w:rPr>
        <w:t xml:space="preserve"> </w:t>
      </w:r>
      <w:r w:rsidRPr="00864CE2">
        <w:rPr>
          <w:rFonts w:hint="cs"/>
          <w:rtl/>
          <w:lang w:bidi="ar-EG"/>
        </w:rPr>
        <w:t xml:space="preserve"> </w:t>
      </w:r>
      <w:r w:rsidR="00A72873" w:rsidRPr="00864CE2">
        <w:rPr>
          <w:rFonts w:hint="cs"/>
          <w:rtl/>
          <w:lang w:bidi="ar-EG"/>
        </w:rPr>
        <w:t>ا</w:t>
      </w:r>
      <w:r w:rsidR="00A72873">
        <w:rPr>
          <w:rFonts w:hint="cs"/>
          <w:rtl/>
          <w:lang w:bidi="ar-EG"/>
        </w:rPr>
        <w:t>ست</w:t>
      </w:r>
      <w:r w:rsidR="00A72873" w:rsidRPr="00864CE2">
        <w:rPr>
          <w:rFonts w:hint="cs"/>
          <w:rtl/>
          <w:lang w:bidi="ar-EG"/>
        </w:rPr>
        <w:t>كملت</w:t>
      </w:r>
      <w:r w:rsidRPr="00864CE2">
        <w:rPr>
          <w:rFonts w:hint="cs"/>
          <w:rtl/>
          <w:lang w:bidi="ar-EG"/>
        </w:rPr>
        <w:t xml:space="preserve"> دراستها المتعلقة بإيجاد توزيع أولي محتمل للخدمة الثابتة الساتلية و</w:t>
      </w:r>
      <w:r w:rsidR="0028528C">
        <w:rPr>
          <w:rFonts w:hint="cs"/>
          <w:rtl/>
          <w:lang w:bidi="ar-EG"/>
        </w:rPr>
        <w:t xml:space="preserve">درست </w:t>
      </w:r>
      <w:r w:rsidRPr="00864CE2">
        <w:rPr>
          <w:rFonts w:hint="cs"/>
          <w:rtl/>
          <w:lang w:bidi="ar-EG"/>
        </w:rPr>
        <w:t>جميع سيناريوهات التقاسم بين الخدمة الثاب</w:t>
      </w:r>
      <w:r w:rsidR="0028528C">
        <w:rPr>
          <w:rFonts w:hint="cs"/>
          <w:rtl/>
          <w:lang w:bidi="ar-EG"/>
        </w:rPr>
        <w:t>ت</w:t>
      </w:r>
      <w:r w:rsidRPr="00864CE2">
        <w:rPr>
          <w:rFonts w:hint="cs"/>
          <w:rtl/>
          <w:lang w:bidi="ar-EG"/>
        </w:rPr>
        <w:t>ة الساتلية القادمة والخدمات المتاحة الأخرى،</w:t>
      </w:r>
      <w:r w:rsidR="0028528C">
        <w:rPr>
          <w:rFonts w:hint="cs"/>
          <w:rtl/>
          <w:lang w:bidi="ar-EG"/>
        </w:rPr>
        <w:t xml:space="preserve"> لا</w:t>
      </w:r>
      <w:r w:rsidRPr="00864CE2">
        <w:rPr>
          <w:rFonts w:hint="cs"/>
          <w:rtl/>
          <w:lang w:bidi="ar-EG"/>
        </w:rPr>
        <w:t xml:space="preserve"> تزال بعض الشواغل المثيرة ل</w:t>
      </w:r>
      <w:r w:rsidR="0028528C">
        <w:rPr>
          <w:rFonts w:hint="cs"/>
          <w:rtl/>
          <w:lang w:bidi="ar-EG"/>
        </w:rPr>
        <w:t>ل</w:t>
      </w:r>
      <w:r w:rsidRPr="00864CE2">
        <w:rPr>
          <w:rFonts w:hint="cs"/>
          <w:rtl/>
          <w:lang w:bidi="ar-EG"/>
        </w:rPr>
        <w:t xml:space="preserve">قلق </w:t>
      </w:r>
      <w:r w:rsidR="0028528C">
        <w:rPr>
          <w:rFonts w:hint="cs"/>
          <w:rtl/>
          <w:lang w:bidi="ar-EG"/>
        </w:rPr>
        <w:t xml:space="preserve">ماثلة </w:t>
      </w:r>
      <w:r w:rsidRPr="00864CE2">
        <w:rPr>
          <w:rFonts w:hint="cs"/>
          <w:rtl/>
          <w:lang w:bidi="ar-EG"/>
        </w:rPr>
        <w:t xml:space="preserve">في النطاق </w:t>
      </w:r>
      <w:r w:rsidRPr="00864CE2">
        <w:rPr>
          <w:lang w:bidi="ar-EG"/>
        </w:rPr>
        <w:t>GHz</w:t>
      </w:r>
      <w:r w:rsidR="00ED2282">
        <w:rPr>
          <w:lang w:bidi="ar-EG"/>
        </w:rPr>
        <w:t> </w:t>
      </w:r>
      <w:r w:rsidRPr="00864CE2">
        <w:rPr>
          <w:lang w:bidi="ar-EG"/>
        </w:rPr>
        <w:t>14,8</w:t>
      </w:r>
      <w:r w:rsidR="00ED2282">
        <w:rPr>
          <w:lang w:bidi="ar-EG"/>
        </w:rPr>
        <w:noBreakHyphen/>
      </w:r>
      <w:r w:rsidRPr="00864CE2">
        <w:rPr>
          <w:lang w:bidi="ar-EG"/>
        </w:rPr>
        <w:t>14,5</w:t>
      </w:r>
      <w:r w:rsidRPr="00864CE2">
        <w:rPr>
          <w:rFonts w:hint="cs"/>
          <w:rtl/>
          <w:lang w:bidi="ar-EG"/>
        </w:rPr>
        <w:t>.</w:t>
      </w:r>
    </w:p>
    <w:p w:rsidR="004F2FAA" w:rsidRPr="00864CE2" w:rsidRDefault="00D94516" w:rsidP="00ED2282">
      <w:pPr>
        <w:rPr>
          <w:rtl/>
          <w:lang w:bidi="ar-EG"/>
        </w:rPr>
      </w:pPr>
      <w:r w:rsidRPr="00864CE2">
        <w:rPr>
          <w:rFonts w:hint="cs"/>
          <w:rtl/>
        </w:rPr>
        <w:t xml:space="preserve">واليوم، وفيما يتعلق بالرقم </w:t>
      </w:r>
      <w:r w:rsidRPr="006E689F">
        <w:rPr>
          <w:b/>
          <w:bCs/>
        </w:rPr>
        <w:t>510.5</w:t>
      </w:r>
      <w:r w:rsidRPr="00BE70F5">
        <w:rPr>
          <w:rFonts w:hint="cs"/>
          <w:rtl/>
          <w:lang w:bidi="ar-EG"/>
        </w:rPr>
        <w:t xml:space="preserve"> </w:t>
      </w:r>
      <w:r w:rsidRPr="00864CE2">
        <w:rPr>
          <w:rFonts w:hint="cs"/>
          <w:rtl/>
          <w:lang w:bidi="ar-EG"/>
        </w:rPr>
        <w:t>من لوائح الراديو، يقتصر استعمال هذا النطاق على وصلات تغذية الخدمة</w:t>
      </w:r>
      <w:r w:rsidR="00ED2282">
        <w:rPr>
          <w:rFonts w:hint="eastAsia"/>
          <w:rtl/>
          <w:lang w:bidi="ar-EG"/>
        </w:rPr>
        <w:t> </w:t>
      </w:r>
      <w:r w:rsidRPr="00864CE2">
        <w:rPr>
          <w:lang w:bidi="ar-EG"/>
        </w:rPr>
        <w:t>BSS</w:t>
      </w:r>
      <w:r w:rsidRPr="00864CE2">
        <w:rPr>
          <w:rFonts w:hint="cs"/>
          <w:rtl/>
          <w:lang w:bidi="ar-EG"/>
        </w:rPr>
        <w:t xml:space="preserve"> خارج أوروبا. وتشير قاعدة بيانات الاتحاد الدولي للاتصالات إلى أن هناك </w:t>
      </w:r>
      <w:r w:rsidRPr="00864CE2">
        <w:rPr>
          <w:lang w:bidi="ar-EG"/>
        </w:rPr>
        <w:t>22</w:t>
      </w:r>
      <w:r w:rsidRPr="00864CE2">
        <w:rPr>
          <w:rFonts w:hint="cs"/>
          <w:rtl/>
          <w:lang w:bidi="ar-EG"/>
        </w:rPr>
        <w:t xml:space="preserve"> تخصيص خطة و</w:t>
      </w:r>
      <w:r w:rsidRPr="00864CE2">
        <w:rPr>
          <w:lang w:bidi="ar-EG"/>
        </w:rPr>
        <w:t>106</w:t>
      </w:r>
      <w:r w:rsidRPr="00864CE2">
        <w:rPr>
          <w:rFonts w:hint="cs"/>
          <w:rtl/>
          <w:lang w:bidi="ar-EG"/>
        </w:rPr>
        <w:t xml:space="preserve"> تخصيصات </w:t>
      </w:r>
      <w:r w:rsidR="00EE6C9A">
        <w:rPr>
          <w:rFonts w:hint="cs"/>
          <w:rtl/>
          <w:lang w:bidi="ar-EG"/>
        </w:rPr>
        <w:t>في</w:t>
      </w:r>
      <w:r w:rsidR="00ED2282">
        <w:rPr>
          <w:rFonts w:hint="eastAsia"/>
          <w:rtl/>
          <w:lang w:bidi="ar-EG"/>
        </w:rPr>
        <w:t> </w:t>
      </w:r>
      <w:r w:rsidR="00EE6C9A">
        <w:rPr>
          <w:lang w:bidi="ar-EG"/>
        </w:rPr>
        <w:t>16</w:t>
      </w:r>
      <w:r w:rsidR="00EE6C9A">
        <w:rPr>
          <w:rFonts w:hint="cs"/>
          <w:rtl/>
          <w:lang w:bidi="ar-EG"/>
        </w:rPr>
        <w:t xml:space="preserve"> </w:t>
      </w:r>
      <w:r w:rsidRPr="00864CE2">
        <w:rPr>
          <w:rFonts w:hint="cs"/>
          <w:rtl/>
          <w:lang w:bidi="ar-EG"/>
        </w:rPr>
        <w:t xml:space="preserve">قائمة للخدمة الإذاعية الساتلية يتعين تنسيقها. </w:t>
      </w:r>
      <w:r w:rsidR="0028528C">
        <w:rPr>
          <w:rFonts w:hint="cs"/>
          <w:rtl/>
          <w:lang w:bidi="ar-EG"/>
        </w:rPr>
        <w:t>كما أن</w:t>
      </w:r>
      <w:r w:rsidRPr="00864CE2">
        <w:rPr>
          <w:rFonts w:hint="cs"/>
          <w:rtl/>
          <w:lang w:bidi="ar-EG"/>
        </w:rPr>
        <w:t xml:space="preserve"> تقرير مدير المكتب (الوثيقة </w:t>
      </w:r>
      <w:r w:rsidRPr="00864CE2">
        <w:rPr>
          <w:lang w:bidi="ar-EG"/>
        </w:rPr>
        <w:t>CPM15-2/41-A</w:t>
      </w:r>
      <w:r w:rsidRPr="00864CE2">
        <w:rPr>
          <w:rFonts w:hint="cs"/>
          <w:rtl/>
          <w:lang w:bidi="ar-EG"/>
        </w:rPr>
        <w:t>) بشأن التغيير في</w:t>
      </w:r>
      <w:r w:rsidR="00ED2282">
        <w:rPr>
          <w:rFonts w:hint="eastAsia"/>
          <w:rtl/>
          <w:lang w:bidi="ar-EG"/>
        </w:rPr>
        <w:t> </w:t>
      </w:r>
      <w:r w:rsidRPr="00864CE2">
        <w:rPr>
          <w:rFonts w:hint="cs"/>
          <w:rtl/>
          <w:lang w:bidi="ar-EG"/>
        </w:rPr>
        <w:t xml:space="preserve">الحالة المرجعية </w:t>
      </w:r>
      <w:r w:rsidRPr="00864CE2">
        <w:rPr>
          <w:color w:val="000000"/>
          <w:rtl/>
        </w:rPr>
        <w:t>فيما</w:t>
      </w:r>
      <w:r w:rsidR="003921DF">
        <w:rPr>
          <w:rFonts w:hint="cs"/>
          <w:color w:val="000000"/>
          <w:rtl/>
        </w:rPr>
        <w:t> </w:t>
      </w:r>
      <w:r w:rsidRPr="00864CE2">
        <w:rPr>
          <w:color w:val="000000"/>
          <w:rtl/>
        </w:rPr>
        <w:t>بين</w:t>
      </w:r>
      <w:r w:rsidR="003921DF">
        <w:rPr>
          <w:rFonts w:hint="cs"/>
          <w:color w:val="000000"/>
          <w:rtl/>
        </w:rPr>
        <w:t> </w:t>
      </w:r>
      <w:r w:rsidRPr="00864CE2">
        <w:rPr>
          <w:color w:val="000000"/>
          <w:rtl/>
        </w:rPr>
        <w:t xml:space="preserve">المؤتمر العالمي للاتصالات الراديوية لعام </w:t>
      </w:r>
      <w:r w:rsidRPr="00864CE2">
        <w:rPr>
          <w:color w:val="000000"/>
        </w:rPr>
        <w:t>2000</w:t>
      </w:r>
      <w:r w:rsidRPr="00864CE2">
        <w:rPr>
          <w:color w:val="000000"/>
          <w:rtl/>
        </w:rPr>
        <w:t xml:space="preserve">، ومارس </w:t>
      </w:r>
      <w:r w:rsidRPr="00864CE2">
        <w:rPr>
          <w:color w:val="000000"/>
        </w:rPr>
        <w:t>2015</w:t>
      </w:r>
      <w:r w:rsidRPr="00864CE2">
        <w:rPr>
          <w:color w:val="000000"/>
          <w:rtl/>
        </w:rPr>
        <w:t xml:space="preserve"> فيما يتعلّق بحزم خطة الإقليمين </w:t>
      </w:r>
      <w:r w:rsidR="00783A4E" w:rsidRPr="00864CE2">
        <w:rPr>
          <w:color w:val="000000"/>
        </w:rPr>
        <w:t>1</w:t>
      </w:r>
      <w:r w:rsidRPr="00864CE2">
        <w:rPr>
          <w:color w:val="000000"/>
          <w:rtl/>
        </w:rPr>
        <w:t xml:space="preserve"> و</w:t>
      </w:r>
      <w:r w:rsidR="00783A4E" w:rsidRPr="00864CE2">
        <w:rPr>
          <w:color w:val="000000"/>
        </w:rPr>
        <w:t>3</w:t>
      </w:r>
      <w:r w:rsidR="00783A4E" w:rsidRPr="00864CE2">
        <w:rPr>
          <w:rFonts w:hint="cs"/>
          <w:color w:val="000000"/>
          <w:rtl/>
          <w:lang w:bidi="ar-EG"/>
        </w:rPr>
        <w:t xml:space="preserve"> </w:t>
      </w:r>
      <w:r w:rsidR="00F219C5" w:rsidRPr="00864CE2">
        <w:rPr>
          <w:color w:val="000000"/>
          <w:rtl/>
        </w:rPr>
        <w:t>التي يتضمنها التذييلان</w:t>
      </w:r>
      <w:r w:rsidR="003921DF">
        <w:rPr>
          <w:rFonts w:hint="cs"/>
          <w:color w:val="000000"/>
          <w:rtl/>
        </w:rPr>
        <w:t> </w:t>
      </w:r>
      <w:r w:rsidR="00F219C5" w:rsidRPr="00864CE2">
        <w:rPr>
          <w:color w:val="000000"/>
        </w:rPr>
        <w:t>30</w:t>
      </w:r>
      <w:r w:rsidR="00F219C5" w:rsidRPr="00864CE2">
        <w:rPr>
          <w:color w:val="000000"/>
          <w:rtl/>
        </w:rPr>
        <w:t xml:space="preserve"> و</w:t>
      </w:r>
      <w:r w:rsidR="00F219C5" w:rsidRPr="00864CE2">
        <w:rPr>
          <w:color w:val="000000"/>
        </w:rPr>
        <w:t>30A</w:t>
      </w:r>
      <w:r w:rsidR="00F219C5" w:rsidRPr="00864CE2">
        <w:rPr>
          <w:rFonts w:hint="cs"/>
          <w:color w:val="000000"/>
          <w:rtl/>
          <w:lang w:bidi="ar-EG"/>
        </w:rPr>
        <w:t xml:space="preserve"> </w:t>
      </w:r>
      <w:r w:rsidR="00F219C5" w:rsidRPr="00864CE2">
        <w:rPr>
          <w:color w:val="000000"/>
        </w:rPr>
        <w:t xml:space="preserve"> </w:t>
      </w:r>
      <w:r w:rsidR="00F219C5" w:rsidRPr="00864CE2">
        <w:rPr>
          <w:color w:val="000000"/>
          <w:rtl/>
        </w:rPr>
        <w:t>من لوائح الراديو</w:t>
      </w:r>
      <w:r w:rsidR="00F219C5" w:rsidRPr="00864CE2">
        <w:rPr>
          <w:rFonts w:hint="cs"/>
          <w:color w:val="000000"/>
          <w:rtl/>
        </w:rPr>
        <w:t xml:space="preserve">، </w:t>
      </w:r>
      <w:r w:rsidR="0028528C">
        <w:rPr>
          <w:rFonts w:hint="cs"/>
          <w:color w:val="000000"/>
          <w:rtl/>
        </w:rPr>
        <w:t xml:space="preserve">يتطرق </w:t>
      </w:r>
      <w:r w:rsidR="00F219C5" w:rsidRPr="00864CE2">
        <w:rPr>
          <w:rFonts w:hint="cs"/>
          <w:color w:val="000000"/>
          <w:rtl/>
        </w:rPr>
        <w:t>إلى الانخفاض الكبير في قيم</w:t>
      </w:r>
      <w:r w:rsidR="00F219C5" w:rsidRPr="00864CE2">
        <w:rPr>
          <w:color w:val="000000"/>
          <w:rtl/>
        </w:rPr>
        <w:t xml:space="preserve"> هامش الحماية المكافئ</w:t>
      </w:r>
      <w:r w:rsidR="00ED2282">
        <w:rPr>
          <w:rFonts w:hint="eastAsia"/>
          <w:rtl/>
          <w:lang w:bidi="ar-EG"/>
        </w:rPr>
        <w:t> </w:t>
      </w:r>
      <w:r w:rsidR="00F219C5" w:rsidRPr="00864CE2">
        <w:rPr>
          <w:color w:val="000000"/>
        </w:rPr>
        <w:t>(EPM)</w:t>
      </w:r>
      <w:r w:rsidR="00F219C5" w:rsidRPr="00864CE2">
        <w:rPr>
          <w:rFonts w:hint="cs"/>
          <w:color w:val="000000"/>
          <w:rtl/>
          <w:lang w:bidi="ar-EG"/>
        </w:rPr>
        <w:t xml:space="preserve"> </w:t>
      </w:r>
      <w:r w:rsidR="0028528C">
        <w:rPr>
          <w:rFonts w:hint="cs"/>
          <w:color w:val="000000"/>
          <w:rtl/>
          <w:lang w:bidi="ar-EG"/>
        </w:rPr>
        <w:t>ل</w:t>
      </w:r>
      <w:r w:rsidR="00F219C5" w:rsidRPr="00864CE2">
        <w:rPr>
          <w:rFonts w:hint="cs"/>
          <w:color w:val="000000"/>
          <w:rtl/>
          <w:lang w:bidi="ar-EG"/>
        </w:rPr>
        <w:t xml:space="preserve">بعض الشبكات في بعض البلدان في النطاق </w:t>
      </w:r>
      <w:r w:rsidR="00F219C5" w:rsidRPr="00864CE2">
        <w:rPr>
          <w:color w:val="000000"/>
          <w:lang w:bidi="ar-EG"/>
        </w:rPr>
        <w:t>GHz</w:t>
      </w:r>
      <w:r w:rsidR="00ED2282">
        <w:rPr>
          <w:color w:val="000000"/>
          <w:lang w:bidi="ar-EG"/>
        </w:rPr>
        <w:t> </w:t>
      </w:r>
      <w:r w:rsidR="00F219C5" w:rsidRPr="00864CE2">
        <w:rPr>
          <w:color w:val="000000"/>
          <w:lang w:bidi="ar-EG"/>
        </w:rPr>
        <w:t>14</w:t>
      </w:r>
      <w:r w:rsidR="0028528C">
        <w:rPr>
          <w:rFonts w:hint="cs"/>
          <w:color w:val="000000"/>
          <w:rtl/>
          <w:lang w:bidi="ar-EG"/>
        </w:rPr>
        <w:t xml:space="preserve">، </w:t>
      </w:r>
      <w:r w:rsidR="00F219C5" w:rsidRPr="00864CE2">
        <w:rPr>
          <w:rFonts w:hint="cs"/>
          <w:color w:val="000000"/>
          <w:rtl/>
          <w:lang w:bidi="ar-EG"/>
        </w:rPr>
        <w:t xml:space="preserve">حيث </w:t>
      </w:r>
      <w:r w:rsidR="0028528C">
        <w:rPr>
          <w:rFonts w:hint="cs"/>
          <w:color w:val="000000"/>
          <w:rtl/>
          <w:lang w:bidi="ar-EG"/>
        </w:rPr>
        <w:t>إن</w:t>
      </w:r>
      <w:r w:rsidR="00F219C5" w:rsidRPr="00864CE2">
        <w:rPr>
          <w:rFonts w:hint="cs"/>
          <w:color w:val="000000"/>
          <w:rtl/>
          <w:lang w:bidi="ar-EG"/>
        </w:rPr>
        <w:t xml:space="preserve"> قيمة </w:t>
      </w:r>
      <w:r w:rsidR="00F219C5" w:rsidRPr="00864CE2">
        <w:rPr>
          <w:color w:val="000000"/>
          <w:lang w:bidi="ar-EG"/>
        </w:rPr>
        <w:t>EPM</w:t>
      </w:r>
      <w:r w:rsidR="00F219C5" w:rsidRPr="00864CE2">
        <w:rPr>
          <w:rFonts w:hint="cs"/>
          <w:color w:val="000000"/>
          <w:rtl/>
          <w:lang w:bidi="ar-EG"/>
        </w:rPr>
        <w:t xml:space="preserve"> المتعلقة بتخصيصات خطة الخدمة </w:t>
      </w:r>
      <w:r w:rsidR="00F219C5" w:rsidRPr="00864CE2">
        <w:rPr>
          <w:color w:val="000000"/>
          <w:lang w:bidi="ar-EG"/>
        </w:rPr>
        <w:t>BSS</w:t>
      </w:r>
      <w:r w:rsidR="00F219C5" w:rsidRPr="00864CE2">
        <w:rPr>
          <w:rFonts w:hint="cs"/>
          <w:color w:val="000000"/>
          <w:rtl/>
          <w:lang w:bidi="ar-EG"/>
        </w:rPr>
        <w:t xml:space="preserve"> </w:t>
      </w:r>
      <w:r w:rsidR="0028528C">
        <w:rPr>
          <w:rFonts w:hint="cs"/>
          <w:color w:val="000000"/>
          <w:rtl/>
          <w:lang w:bidi="ar-EG"/>
        </w:rPr>
        <w:t xml:space="preserve">كانت </w:t>
      </w:r>
      <w:r w:rsidR="00F219C5" w:rsidRPr="00864CE2">
        <w:rPr>
          <w:rFonts w:hint="cs"/>
          <w:color w:val="000000"/>
          <w:rtl/>
          <w:lang w:bidi="ar-EG"/>
        </w:rPr>
        <w:t xml:space="preserve">سالبة في بلدين على الأقل. </w:t>
      </w:r>
      <w:r w:rsidR="0028528C">
        <w:rPr>
          <w:rFonts w:hint="cs"/>
          <w:color w:val="000000"/>
          <w:rtl/>
          <w:lang w:bidi="ar-EG"/>
        </w:rPr>
        <w:t>فانخفاض</w:t>
      </w:r>
      <w:r w:rsidR="00F219C5" w:rsidRPr="00864CE2">
        <w:rPr>
          <w:rFonts w:hint="cs"/>
          <w:color w:val="000000"/>
          <w:rtl/>
          <w:lang w:bidi="ar-EG"/>
        </w:rPr>
        <w:t xml:space="preserve"> قيمة </w:t>
      </w:r>
      <w:r w:rsidR="00F219C5" w:rsidRPr="00864CE2">
        <w:rPr>
          <w:color w:val="000000"/>
          <w:lang w:bidi="ar-EG"/>
        </w:rPr>
        <w:t>EPM</w:t>
      </w:r>
      <w:r w:rsidR="00F219C5" w:rsidRPr="00864CE2">
        <w:rPr>
          <w:rFonts w:hint="cs"/>
          <w:color w:val="000000"/>
          <w:rtl/>
          <w:lang w:bidi="ar-EG"/>
        </w:rPr>
        <w:t xml:space="preserve"> </w:t>
      </w:r>
      <w:r w:rsidR="0028528C">
        <w:rPr>
          <w:rFonts w:hint="cs"/>
          <w:color w:val="000000"/>
          <w:rtl/>
          <w:lang w:bidi="ar-EG"/>
        </w:rPr>
        <w:t xml:space="preserve">يؤدي </w:t>
      </w:r>
      <w:r w:rsidR="00F219C5" w:rsidRPr="00864CE2">
        <w:rPr>
          <w:rFonts w:hint="cs"/>
          <w:color w:val="000000"/>
          <w:rtl/>
          <w:lang w:bidi="ar-EG"/>
        </w:rPr>
        <w:t xml:space="preserve">إلى </w:t>
      </w:r>
      <w:r w:rsidR="0028528C">
        <w:rPr>
          <w:rFonts w:hint="cs"/>
          <w:color w:val="000000"/>
          <w:rtl/>
          <w:lang w:bidi="ar-EG"/>
        </w:rPr>
        <w:t>الكثير من التأ</w:t>
      </w:r>
      <w:r w:rsidR="00F219C5" w:rsidRPr="00864CE2">
        <w:rPr>
          <w:rFonts w:hint="cs"/>
          <w:color w:val="000000"/>
          <w:rtl/>
          <w:lang w:bidi="ar-EG"/>
        </w:rPr>
        <w:t xml:space="preserve">ثيرات غير المؤاتية في شبكات الخدمة </w:t>
      </w:r>
      <w:r w:rsidR="003E33E0">
        <w:rPr>
          <w:rFonts w:hint="cs"/>
          <w:color w:val="000000"/>
          <w:rtl/>
          <w:lang w:bidi="ar-EG"/>
        </w:rPr>
        <w:t>الإذاعية الساتلية</w:t>
      </w:r>
      <w:r w:rsidR="00F219C5" w:rsidRPr="00864CE2">
        <w:rPr>
          <w:rFonts w:hint="cs"/>
          <w:color w:val="000000"/>
          <w:rtl/>
          <w:lang w:bidi="ar-EG"/>
        </w:rPr>
        <w:t xml:space="preserve">. وقد </w:t>
      </w:r>
      <w:r w:rsidR="003E33E0">
        <w:rPr>
          <w:rFonts w:hint="cs"/>
          <w:color w:val="000000"/>
          <w:rtl/>
          <w:lang w:bidi="ar-EG"/>
        </w:rPr>
        <w:t>تحققت</w:t>
      </w:r>
      <w:r w:rsidR="00F219C5" w:rsidRPr="00864CE2">
        <w:rPr>
          <w:rFonts w:hint="cs"/>
          <w:color w:val="000000"/>
          <w:rtl/>
          <w:lang w:bidi="ar-EG"/>
        </w:rPr>
        <w:t xml:space="preserve"> الحالة الراهنة التي </w:t>
      </w:r>
      <w:r w:rsidR="003E33E0">
        <w:rPr>
          <w:rFonts w:hint="cs"/>
          <w:color w:val="000000"/>
          <w:rtl/>
          <w:lang w:bidi="ar-EG"/>
        </w:rPr>
        <w:t>ي</w:t>
      </w:r>
      <w:r w:rsidR="00F219C5" w:rsidRPr="00864CE2">
        <w:rPr>
          <w:rFonts w:hint="cs"/>
          <w:color w:val="000000"/>
          <w:rtl/>
          <w:lang w:bidi="ar-EG"/>
        </w:rPr>
        <w:t>عبر عنها تقرير مدير المكتب</w:t>
      </w:r>
      <w:r w:rsidR="00540AD7" w:rsidRPr="00864CE2">
        <w:rPr>
          <w:rFonts w:hint="cs"/>
          <w:color w:val="000000"/>
          <w:rtl/>
          <w:lang w:bidi="ar-EG"/>
        </w:rPr>
        <w:t xml:space="preserve"> بالرغم من الاستعمال المحدود لهذا النطاق وفقاً لأحكام الرقم</w:t>
      </w:r>
      <w:r w:rsidR="00ED2282">
        <w:rPr>
          <w:rFonts w:hint="eastAsia"/>
          <w:rtl/>
          <w:lang w:bidi="ar-EG"/>
        </w:rPr>
        <w:t> </w:t>
      </w:r>
      <w:r w:rsidR="00540AD7" w:rsidRPr="007723C7">
        <w:rPr>
          <w:b/>
          <w:bCs/>
          <w:color w:val="000000"/>
          <w:lang w:bidi="ar-EG"/>
        </w:rPr>
        <w:t>510.5</w:t>
      </w:r>
      <w:r w:rsidR="00540AD7" w:rsidRPr="00864CE2">
        <w:rPr>
          <w:rFonts w:hint="cs"/>
          <w:color w:val="000000"/>
          <w:rtl/>
          <w:lang w:bidi="ar-EG"/>
        </w:rPr>
        <w:t xml:space="preserve"> من لوائح الراديو. وما</w:t>
      </w:r>
      <w:r w:rsidR="007E784D">
        <w:rPr>
          <w:rFonts w:hint="eastAsia"/>
          <w:color w:val="000000"/>
          <w:rtl/>
          <w:lang w:bidi="ar-EG"/>
        </w:rPr>
        <w:t> </w:t>
      </w:r>
      <w:r w:rsidR="00540AD7" w:rsidRPr="00864CE2">
        <w:rPr>
          <w:rFonts w:hint="cs"/>
          <w:color w:val="000000"/>
          <w:rtl/>
          <w:lang w:bidi="ar-EG"/>
        </w:rPr>
        <w:t>من شك في أن إزالة هذه القيود ستؤدي إلى زيادة ال</w:t>
      </w:r>
      <w:r w:rsidR="003E33E0">
        <w:rPr>
          <w:rFonts w:hint="cs"/>
          <w:color w:val="000000"/>
          <w:rtl/>
          <w:lang w:bidi="ar-EG"/>
        </w:rPr>
        <w:t>ت</w:t>
      </w:r>
      <w:r w:rsidR="00540AD7" w:rsidRPr="00864CE2">
        <w:rPr>
          <w:rFonts w:hint="cs"/>
          <w:color w:val="000000"/>
          <w:rtl/>
          <w:lang w:bidi="ar-EG"/>
        </w:rPr>
        <w:t>أث</w:t>
      </w:r>
      <w:r w:rsidR="003E33E0">
        <w:rPr>
          <w:rFonts w:hint="cs"/>
          <w:color w:val="000000"/>
          <w:rtl/>
          <w:lang w:bidi="ar-EG"/>
        </w:rPr>
        <w:t>ي</w:t>
      </w:r>
      <w:r w:rsidR="00540AD7" w:rsidRPr="00864CE2">
        <w:rPr>
          <w:rFonts w:hint="cs"/>
          <w:color w:val="000000"/>
          <w:rtl/>
          <w:lang w:bidi="ar-EG"/>
        </w:rPr>
        <w:t>ر السلبي التراكمي الناجم عن المحطات الأرضية الجديدة الواردة إلى</w:t>
      </w:r>
      <w:r w:rsidR="007E784D">
        <w:rPr>
          <w:rFonts w:hint="eastAsia"/>
          <w:color w:val="000000"/>
          <w:rtl/>
          <w:lang w:bidi="ar-EG"/>
        </w:rPr>
        <w:t> </w:t>
      </w:r>
      <w:r w:rsidR="00540AD7" w:rsidRPr="00864CE2">
        <w:rPr>
          <w:rFonts w:hint="cs"/>
          <w:color w:val="000000"/>
          <w:rtl/>
          <w:lang w:bidi="ar-EG"/>
        </w:rPr>
        <w:t>الخدمة الثابتة</w:t>
      </w:r>
      <w:r w:rsidR="00ED2282">
        <w:rPr>
          <w:rFonts w:hint="eastAsia"/>
          <w:color w:val="000000"/>
          <w:rtl/>
          <w:lang w:bidi="ar-EG"/>
        </w:rPr>
        <w:t> </w:t>
      </w:r>
      <w:r w:rsidR="00540AD7" w:rsidRPr="00864CE2">
        <w:rPr>
          <w:rFonts w:hint="cs"/>
          <w:color w:val="000000"/>
          <w:rtl/>
          <w:lang w:bidi="ar-EG"/>
        </w:rPr>
        <w:t>الساتلية.</w:t>
      </w:r>
    </w:p>
    <w:p w:rsidR="005445FE" w:rsidRPr="00864CE2" w:rsidRDefault="00540AD7" w:rsidP="005445FE">
      <w:pPr>
        <w:rPr>
          <w:rtl/>
          <w:lang w:bidi="ar-EG"/>
        </w:rPr>
      </w:pPr>
      <w:r w:rsidRPr="00864CE2">
        <w:rPr>
          <w:rFonts w:hint="cs"/>
          <w:rtl/>
        </w:rPr>
        <w:t>وبالتالي</w:t>
      </w:r>
      <w:r w:rsidR="003E33E0">
        <w:rPr>
          <w:rFonts w:hint="cs"/>
          <w:rtl/>
        </w:rPr>
        <w:t>،</w:t>
      </w:r>
      <w:r w:rsidR="005445FE" w:rsidRPr="00864CE2">
        <w:rPr>
          <w:rFonts w:hint="cs"/>
          <w:rtl/>
        </w:rPr>
        <w:t xml:space="preserve"> تصبح مشكلة الإدارات المسؤولة عن تطبيقات الخدمة </w:t>
      </w:r>
      <w:r w:rsidR="005445FE" w:rsidRPr="00864CE2">
        <w:t>BSS</w:t>
      </w:r>
      <w:r w:rsidR="005445FE" w:rsidRPr="00864CE2">
        <w:rPr>
          <w:rFonts w:hint="cs"/>
          <w:rtl/>
          <w:lang w:bidi="ar-EG"/>
        </w:rPr>
        <w:t xml:space="preserve"> أكثر تعقيداً قياساً ب</w:t>
      </w:r>
      <w:r w:rsidR="003E33E0">
        <w:rPr>
          <w:rFonts w:hint="cs"/>
          <w:rtl/>
          <w:lang w:bidi="ar-EG"/>
        </w:rPr>
        <w:t xml:space="preserve">الوضع </w:t>
      </w:r>
      <w:r w:rsidR="005445FE" w:rsidRPr="00864CE2">
        <w:rPr>
          <w:rFonts w:hint="cs"/>
          <w:rtl/>
          <w:lang w:bidi="ar-EG"/>
        </w:rPr>
        <w:t>السابق ويصبح ال</w:t>
      </w:r>
      <w:r w:rsidR="003E33E0">
        <w:rPr>
          <w:rFonts w:hint="cs"/>
          <w:rtl/>
          <w:lang w:bidi="ar-EG"/>
        </w:rPr>
        <w:t>ت</w:t>
      </w:r>
      <w:r w:rsidR="005445FE" w:rsidRPr="00864CE2">
        <w:rPr>
          <w:rFonts w:hint="cs"/>
          <w:rtl/>
          <w:lang w:bidi="ar-EG"/>
        </w:rPr>
        <w:t>أث</w:t>
      </w:r>
      <w:r w:rsidR="003E33E0">
        <w:rPr>
          <w:rFonts w:hint="cs"/>
          <w:rtl/>
          <w:lang w:bidi="ar-EG"/>
        </w:rPr>
        <w:t>ي</w:t>
      </w:r>
      <w:r w:rsidR="005445FE" w:rsidRPr="00864CE2">
        <w:rPr>
          <w:rFonts w:hint="cs"/>
          <w:rtl/>
          <w:lang w:bidi="ar-EG"/>
        </w:rPr>
        <w:t>ر</w:t>
      </w:r>
      <w:r w:rsidR="003E33E0">
        <w:rPr>
          <w:rFonts w:hint="cs"/>
          <w:rtl/>
          <w:lang w:bidi="ar-EG"/>
        </w:rPr>
        <w:t xml:space="preserve"> التراكمي </w:t>
      </w:r>
      <w:r w:rsidR="005445FE" w:rsidRPr="00864CE2">
        <w:rPr>
          <w:rFonts w:hint="cs"/>
          <w:rtl/>
          <w:lang w:bidi="ar-EG"/>
        </w:rPr>
        <w:t xml:space="preserve">لحالات </w:t>
      </w:r>
      <w:r w:rsidR="003E33E0">
        <w:rPr>
          <w:rFonts w:hint="cs"/>
          <w:rtl/>
          <w:lang w:bidi="ar-EG"/>
        </w:rPr>
        <w:t xml:space="preserve">إفرادية غير </w:t>
      </w:r>
      <w:r w:rsidR="005445FE" w:rsidRPr="00864CE2">
        <w:rPr>
          <w:rFonts w:hint="cs"/>
          <w:rtl/>
          <w:lang w:bidi="ar-EG"/>
        </w:rPr>
        <w:t xml:space="preserve">مهمة </w:t>
      </w:r>
      <w:r w:rsidR="003E33E0">
        <w:rPr>
          <w:rFonts w:hint="cs"/>
          <w:rtl/>
          <w:lang w:bidi="ar-EG"/>
        </w:rPr>
        <w:t>من ا</w:t>
      </w:r>
      <w:r w:rsidR="005445FE" w:rsidRPr="00864CE2">
        <w:rPr>
          <w:rFonts w:hint="cs"/>
          <w:rtl/>
          <w:lang w:bidi="ar-EG"/>
        </w:rPr>
        <w:t>لمشاكل غير المحلولة كب</w:t>
      </w:r>
      <w:r w:rsidR="003E33E0">
        <w:rPr>
          <w:rFonts w:hint="cs"/>
          <w:rtl/>
          <w:lang w:bidi="ar-EG"/>
        </w:rPr>
        <w:t>ي</w:t>
      </w:r>
      <w:r w:rsidR="005445FE" w:rsidRPr="00864CE2">
        <w:rPr>
          <w:rFonts w:hint="cs"/>
          <w:rtl/>
          <w:lang w:bidi="ar-EG"/>
        </w:rPr>
        <w:t>راً بشكل</w:t>
      </w:r>
      <w:r w:rsidR="00ED2282">
        <w:rPr>
          <w:rFonts w:hint="eastAsia"/>
          <w:color w:val="000000"/>
          <w:rtl/>
          <w:lang w:bidi="ar-EG"/>
        </w:rPr>
        <w:t> </w:t>
      </w:r>
      <w:r w:rsidR="005445FE" w:rsidRPr="00864CE2">
        <w:rPr>
          <w:rFonts w:hint="cs"/>
          <w:rtl/>
          <w:lang w:bidi="ar-EG"/>
        </w:rPr>
        <w:t>متزايد.</w:t>
      </w:r>
    </w:p>
    <w:p w:rsidR="001B64C8" w:rsidRPr="00864CE2" w:rsidRDefault="005445FE" w:rsidP="003E33E0">
      <w:pPr>
        <w:rPr>
          <w:rtl/>
          <w:lang w:bidi="ar-EG"/>
        </w:rPr>
      </w:pPr>
      <w:r w:rsidRPr="00864CE2">
        <w:rPr>
          <w:rFonts w:hint="cs"/>
          <w:rtl/>
          <w:lang w:bidi="ar-EG"/>
        </w:rPr>
        <w:t>وعلاوة على ذلك، فقد تمت حالياً بالفعل صياغة سيناريوهات التقاسم في لوائح الراديو بين الخدمة الإذاعية الساتلية وا</w:t>
      </w:r>
      <w:r w:rsidR="003E33E0">
        <w:rPr>
          <w:rFonts w:hint="cs"/>
          <w:rtl/>
          <w:lang w:bidi="ar-EG"/>
        </w:rPr>
        <w:t>لخدمة المتنقلة، وخاصة الخد</w:t>
      </w:r>
      <w:r w:rsidRPr="00864CE2">
        <w:rPr>
          <w:rFonts w:hint="cs"/>
          <w:rtl/>
          <w:lang w:bidi="ar-EG"/>
        </w:rPr>
        <w:t>مة المتنقلة للطيران، والخدمتان تعملان معاً دون صعوبة كبيرة. وهذه الحالة تنب</w:t>
      </w:r>
      <w:r w:rsidR="003E33E0">
        <w:rPr>
          <w:rFonts w:hint="cs"/>
          <w:rtl/>
          <w:lang w:bidi="ar-EG"/>
        </w:rPr>
        <w:t>ع</w:t>
      </w:r>
      <w:r w:rsidRPr="00864CE2">
        <w:rPr>
          <w:rFonts w:hint="cs"/>
          <w:rtl/>
          <w:lang w:bidi="ar-EG"/>
        </w:rPr>
        <w:t xml:space="preserve"> من طبيعة الخدمة الإذاعية الساتلية.</w:t>
      </w:r>
      <w:r w:rsidR="003E33E0">
        <w:rPr>
          <w:rFonts w:hint="cs"/>
          <w:rtl/>
          <w:lang w:bidi="ar-EG"/>
        </w:rPr>
        <w:t xml:space="preserve"> ففي هذا النطاق، يكون </w:t>
      </w:r>
      <w:r w:rsidRPr="00864CE2">
        <w:rPr>
          <w:rFonts w:hint="cs"/>
          <w:rtl/>
          <w:lang w:bidi="ar-EG"/>
        </w:rPr>
        <w:t xml:space="preserve">عدد المحطات الأرضية للوصلة الصاعدة الخاصة بتطبيقات الخدمة </w:t>
      </w:r>
      <w:r w:rsidR="003E33E0">
        <w:rPr>
          <w:rFonts w:hint="cs"/>
          <w:rtl/>
          <w:lang w:bidi="ar-EG"/>
        </w:rPr>
        <w:t>الإذاعية الساتلية</w:t>
      </w:r>
      <w:r w:rsidR="001B64C8" w:rsidRPr="00864CE2">
        <w:rPr>
          <w:rFonts w:hint="cs"/>
          <w:rtl/>
          <w:lang w:bidi="ar-EG"/>
        </w:rPr>
        <w:t xml:space="preserve"> أ</w:t>
      </w:r>
      <w:r w:rsidRPr="00864CE2">
        <w:rPr>
          <w:rFonts w:hint="cs"/>
          <w:rtl/>
          <w:lang w:bidi="ar-EG"/>
        </w:rPr>
        <w:t>قل بكثير من عدد المحطات الأرضية للخدمة الثابتة الساتلية التي يمكن است</w:t>
      </w:r>
      <w:r w:rsidR="001B64C8" w:rsidRPr="00864CE2">
        <w:rPr>
          <w:rFonts w:hint="cs"/>
          <w:rtl/>
          <w:lang w:bidi="ar-EG"/>
        </w:rPr>
        <w:t>خدامها فيما لو تمت إزالة القيود. ولذلك لا</w:t>
      </w:r>
      <w:r w:rsidR="00ED2282">
        <w:rPr>
          <w:rFonts w:hint="eastAsia"/>
          <w:rtl/>
          <w:lang w:bidi="ar-EG"/>
        </w:rPr>
        <w:t> </w:t>
      </w:r>
      <w:r w:rsidR="001B64C8" w:rsidRPr="00864CE2">
        <w:rPr>
          <w:rFonts w:hint="cs"/>
          <w:rtl/>
          <w:lang w:bidi="ar-EG"/>
        </w:rPr>
        <w:t xml:space="preserve">يمكن توسيع دراسات التقاسم بين الخدمة </w:t>
      </w:r>
      <w:r w:rsidR="003E33E0">
        <w:rPr>
          <w:rFonts w:hint="cs"/>
          <w:rtl/>
          <w:lang w:bidi="ar-EG"/>
        </w:rPr>
        <w:t>الإذاعية الساتلية</w:t>
      </w:r>
      <w:r w:rsidR="001B64C8" w:rsidRPr="00864CE2">
        <w:rPr>
          <w:rFonts w:hint="cs"/>
          <w:rtl/>
          <w:lang w:bidi="ar-EG"/>
        </w:rPr>
        <w:t xml:space="preserve"> وخدمة معينة لتشمل التقاسم بين الخدمة </w:t>
      </w:r>
      <w:r w:rsidR="003E33E0">
        <w:rPr>
          <w:rFonts w:hint="cs"/>
          <w:rtl/>
          <w:lang w:bidi="ar-EG"/>
        </w:rPr>
        <w:t>الثابتة الساتلية</w:t>
      </w:r>
      <w:r w:rsidR="001B64C8" w:rsidRPr="00864CE2">
        <w:rPr>
          <w:rFonts w:hint="cs"/>
          <w:rtl/>
          <w:lang w:bidi="ar-EG"/>
        </w:rPr>
        <w:t xml:space="preserve"> وتلك</w:t>
      </w:r>
      <w:r w:rsidR="00ED2282">
        <w:rPr>
          <w:rFonts w:hint="eastAsia"/>
          <w:rtl/>
          <w:lang w:bidi="ar-EG"/>
        </w:rPr>
        <w:t> </w:t>
      </w:r>
      <w:r w:rsidR="001B64C8" w:rsidRPr="00864CE2">
        <w:rPr>
          <w:rFonts w:hint="cs"/>
          <w:rtl/>
          <w:lang w:bidi="ar-EG"/>
        </w:rPr>
        <w:t>الخدمة.</w:t>
      </w:r>
    </w:p>
    <w:p w:rsidR="004F2FAA" w:rsidRDefault="001B64C8" w:rsidP="00ED2282">
      <w:pPr>
        <w:rPr>
          <w:rtl/>
          <w:lang w:bidi="ar-EG"/>
        </w:rPr>
      </w:pPr>
      <w:r w:rsidRPr="00864CE2">
        <w:rPr>
          <w:rFonts w:hint="cs"/>
          <w:rtl/>
          <w:lang w:bidi="ar-EG"/>
        </w:rPr>
        <w:lastRenderedPageBreak/>
        <w:t xml:space="preserve">وكما أشير إليه من قبل، تعتبر الخدمة </w:t>
      </w:r>
      <w:r w:rsidR="003E33E0">
        <w:rPr>
          <w:rFonts w:hint="cs"/>
          <w:rtl/>
          <w:lang w:bidi="ar-EG"/>
        </w:rPr>
        <w:t>الإذاعية الساتلية إحدى</w:t>
      </w:r>
      <w:r w:rsidRPr="00864CE2">
        <w:rPr>
          <w:rFonts w:hint="cs"/>
          <w:rtl/>
          <w:lang w:bidi="ar-EG"/>
        </w:rPr>
        <w:t xml:space="preserve"> الخدمات المتأثرة في النطاق </w:t>
      </w:r>
      <w:r w:rsidRPr="00864CE2">
        <w:rPr>
          <w:lang w:bidi="ar-EG"/>
        </w:rPr>
        <w:t>GHz 14,8-14,5</w:t>
      </w:r>
      <w:r w:rsidR="003E33E0">
        <w:rPr>
          <w:rFonts w:hint="cs"/>
          <w:rtl/>
          <w:lang w:bidi="ar-EG"/>
        </w:rPr>
        <w:t xml:space="preserve"> علماً بأن </w:t>
      </w:r>
      <w:r w:rsidRPr="00864CE2">
        <w:rPr>
          <w:rFonts w:hint="cs"/>
          <w:rtl/>
          <w:lang w:bidi="ar-EG"/>
        </w:rPr>
        <w:t>هناك</w:t>
      </w:r>
      <w:r w:rsidR="007E784D">
        <w:rPr>
          <w:rFonts w:hint="eastAsia"/>
          <w:rtl/>
          <w:lang w:bidi="ar-EG"/>
        </w:rPr>
        <w:t> </w:t>
      </w:r>
      <w:r w:rsidRPr="00864CE2">
        <w:rPr>
          <w:rFonts w:hint="cs"/>
          <w:rtl/>
          <w:lang w:bidi="ar-EG"/>
        </w:rPr>
        <w:t xml:space="preserve">خدمات هامة أخرى تتأثر نتيجة تكريس هذا النطاق لأغراض البندين </w:t>
      </w:r>
      <w:r w:rsidRPr="00864CE2">
        <w:rPr>
          <w:lang w:bidi="ar-EG"/>
        </w:rPr>
        <w:t>1.6.1</w:t>
      </w:r>
      <w:r w:rsidRPr="00864CE2">
        <w:rPr>
          <w:rFonts w:hint="cs"/>
          <w:rtl/>
          <w:lang w:bidi="ar-EG"/>
        </w:rPr>
        <w:t xml:space="preserve"> و</w:t>
      </w:r>
      <w:r w:rsidRPr="00864CE2">
        <w:rPr>
          <w:lang w:bidi="ar-EG"/>
        </w:rPr>
        <w:t>2.6.1</w:t>
      </w:r>
      <w:r w:rsidRPr="00864CE2">
        <w:rPr>
          <w:rFonts w:hint="cs"/>
          <w:rtl/>
          <w:lang w:bidi="ar-EG"/>
        </w:rPr>
        <w:t xml:space="preserve"> من جدول الأعمال. وتؤكد </w:t>
      </w:r>
      <w:r w:rsidR="003E33E0">
        <w:rPr>
          <w:rFonts w:hint="cs"/>
          <w:rtl/>
          <w:lang w:bidi="ar-EG"/>
        </w:rPr>
        <w:t>على</w:t>
      </w:r>
      <w:r w:rsidR="007E784D">
        <w:rPr>
          <w:rFonts w:hint="eastAsia"/>
          <w:rtl/>
          <w:lang w:bidi="ar-EG"/>
        </w:rPr>
        <w:t> </w:t>
      </w:r>
      <w:r w:rsidR="003E33E0">
        <w:rPr>
          <w:rFonts w:hint="cs"/>
          <w:rtl/>
          <w:lang w:bidi="ar-EG"/>
        </w:rPr>
        <w:t>ذلك</w:t>
      </w:r>
      <w:r w:rsidRPr="00864CE2">
        <w:rPr>
          <w:rFonts w:hint="cs"/>
          <w:rtl/>
          <w:lang w:bidi="ar-EG"/>
        </w:rPr>
        <w:t xml:space="preserve"> </w:t>
      </w:r>
      <w:r w:rsidR="00A72873" w:rsidRPr="00864CE2">
        <w:rPr>
          <w:rFonts w:hint="cs"/>
          <w:rtl/>
          <w:lang w:bidi="ar-EG"/>
        </w:rPr>
        <w:t>الدراسا</w:t>
      </w:r>
      <w:r w:rsidR="00A72873" w:rsidRPr="00864CE2">
        <w:rPr>
          <w:rFonts w:hint="eastAsia"/>
          <w:rtl/>
          <w:lang w:bidi="ar-EG"/>
        </w:rPr>
        <w:t>ت</w:t>
      </w:r>
      <w:r w:rsidRPr="00864CE2">
        <w:rPr>
          <w:rFonts w:hint="cs"/>
          <w:rtl/>
          <w:lang w:bidi="ar-EG"/>
        </w:rPr>
        <w:t xml:space="preserve"> التي أجرتها فرقة العمل </w:t>
      </w:r>
      <w:r w:rsidRPr="00864CE2">
        <w:rPr>
          <w:lang w:bidi="ar-EG"/>
        </w:rPr>
        <w:t>4A</w:t>
      </w:r>
      <w:r w:rsidRPr="00864CE2">
        <w:rPr>
          <w:rFonts w:hint="cs"/>
          <w:rtl/>
          <w:lang w:bidi="ar-EG"/>
        </w:rPr>
        <w:t xml:space="preserve"> وأبلغت ل</w:t>
      </w:r>
      <w:r w:rsidR="003E33E0">
        <w:rPr>
          <w:rFonts w:hint="cs"/>
          <w:rtl/>
          <w:lang w:bidi="ar-EG"/>
        </w:rPr>
        <w:t>ل</w:t>
      </w:r>
      <w:r w:rsidRPr="00864CE2">
        <w:rPr>
          <w:rFonts w:hint="cs"/>
          <w:rtl/>
          <w:lang w:bidi="ar-EG"/>
        </w:rPr>
        <w:t>اجتماع التحضيري للمؤتمر. و</w:t>
      </w:r>
      <w:r w:rsidR="003E33E0">
        <w:rPr>
          <w:rFonts w:hint="cs"/>
          <w:rtl/>
          <w:lang w:bidi="ar-EG"/>
        </w:rPr>
        <w:t xml:space="preserve">كمثال على ذلك، فقد ورد </w:t>
      </w:r>
      <w:r w:rsidR="003E33E0" w:rsidRPr="00864CE2">
        <w:rPr>
          <w:rFonts w:hint="cs"/>
          <w:rtl/>
          <w:lang w:bidi="ar-EG"/>
        </w:rPr>
        <w:t>في</w:t>
      </w:r>
      <w:r w:rsidR="007E784D">
        <w:rPr>
          <w:rFonts w:hint="eastAsia"/>
          <w:rtl/>
          <w:lang w:bidi="ar-EG"/>
        </w:rPr>
        <w:t> </w:t>
      </w:r>
      <w:r w:rsidR="003E33E0" w:rsidRPr="00864CE2">
        <w:rPr>
          <w:rFonts w:hint="cs"/>
          <w:rtl/>
          <w:lang w:bidi="ar-EG"/>
        </w:rPr>
        <w:t>القسم</w:t>
      </w:r>
      <w:r w:rsidR="007E784D">
        <w:rPr>
          <w:rFonts w:hint="eastAsia"/>
          <w:rtl/>
          <w:lang w:bidi="ar-EG"/>
        </w:rPr>
        <w:t> </w:t>
      </w:r>
      <w:r w:rsidR="003E33E0" w:rsidRPr="00864CE2">
        <w:rPr>
          <w:lang w:bidi="ar-EG"/>
        </w:rPr>
        <w:t>3.6.4/1.6.1/1.4</w:t>
      </w:r>
      <w:r w:rsidR="003E33E0" w:rsidRPr="00864CE2">
        <w:rPr>
          <w:rFonts w:hint="cs"/>
          <w:rtl/>
          <w:lang w:bidi="ar-EG"/>
        </w:rPr>
        <w:t xml:space="preserve"> </w:t>
      </w:r>
      <w:r w:rsidR="003E33E0">
        <w:rPr>
          <w:rFonts w:hint="cs"/>
          <w:rtl/>
          <w:lang w:bidi="ar-EG"/>
        </w:rPr>
        <w:t xml:space="preserve">من </w:t>
      </w:r>
      <w:r w:rsidRPr="00864CE2">
        <w:rPr>
          <w:rFonts w:hint="cs"/>
          <w:rtl/>
          <w:lang w:bidi="ar-EG"/>
        </w:rPr>
        <w:t>تقرير الاجتماع التحضيري للمؤتمر ما</w:t>
      </w:r>
      <w:r w:rsidR="00ED2282">
        <w:rPr>
          <w:rFonts w:hint="eastAsia"/>
          <w:rtl/>
          <w:lang w:bidi="ar-EG"/>
        </w:rPr>
        <w:t> </w:t>
      </w:r>
      <w:r w:rsidRPr="00864CE2">
        <w:rPr>
          <w:rFonts w:hint="cs"/>
          <w:rtl/>
          <w:lang w:bidi="ar-EG"/>
        </w:rPr>
        <w:t>يلي:</w:t>
      </w:r>
    </w:p>
    <w:p w:rsidR="00BE70F5" w:rsidRPr="00BE70F5" w:rsidRDefault="00BE70F5" w:rsidP="003E33E0">
      <w:pPr>
        <w:rPr>
          <w:b/>
          <w:bCs/>
          <w:i/>
          <w:iCs/>
          <w:u w:val="single"/>
          <w:lang w:bidi="ar-EG"/>
        </w:rPr>
      </w:pPr>
      <w:r w:rsidRPr="00BE70F5">
        <w:rPr>
          <w:rFonts w:hint="cs"/>
          <w:b/>
          <w:bCs/>
          <w:i/>
          <w:iCs/>
          <w:u w:val="single"/>
          <w:rtl/>
          <w:lang w:bidi="ar-EG"/>
        </w:rPr>
        <w:t>اقتباس</w:t>
      </w:r>
    </w:p>
    <w:p w:rsidR="004F2FAA" w:rsidRDefault="001B64C8" w:rsidP="004F2FAA">
      <w:pPr>
        <w:rPr>
          <w:rtl/>
          <w:lang w:bidi="ar-EG"/>
        </w:rPr>
      </w:pPr>
      <w:r w:rsidRPr="00864CE2">
        <w:rPr>
          <w:rFonts w:hint="cs"/>
          <w:rtl/>
          <w:lang w:bidi="ar-SY"/>
        </w:rPr>
        <w:t>"</w:t>
      </w:r>
      <w:r w:rsidR="009A7786">
        <w:rPr>
          <w:rFonts w:hint="cs"/>
          <w:rtl/>
          <w:lang w:bidi="ar-SY"/>
        </w:rPr>
        <w:t xml:space="preserve"> </w:t>
      </w:r>
      <w:r w:rsidR="004F2FAA" w:rsidRPr="00864CE2">
        <w:rPr>
          <w:rFonts w:hint="cs"/>
          <w:i/>
          <w:iCs/>
          <w:rtl/>
          <w:lang w:bidi="ar-SY"/>
        </w:rPr>
        <w:t>أظهرت الدراسة رقم</w:t>
      </w:r>
      <w:r w:rsidR="004F2FAA" w:rsidRPr="00864CE2">
        <w:rPr>
          <w:rFonts w:hint="eastAsia"/>
          <w:i/>
          <w:iCs/>
          <w:rtl/>
          <w:lang w:bidi="ar-SY"/>
        </w:rPr>
        <w:t> </w:t>
      </w:r>
      <w:r w:rsidR="004F2FAA" w:rsidRPr="00864CE2">
        <w:rPr>
          <w:rFonts w:hint="cs"/>
          <w:i/>
          <w:iCs/>
        </w:rPr>
        <w:t>1</w:t>
      </w:r>
      <w:r w:rsidR="004F2FAA" w:rsidRPr="00864CE2">
        <w:rPr>
          <w:rFonts w:hint="cs"/>
          <w:i/>
          <w:iCs/>
          <w:rtl/>
          <w:lang w:bidi="ar-SY"/>
        </w:rPr>
        <w:t xml:space="preserve"> (تحليل ساكن) أن المحطات الأرضية بمطراف ذي فتحة صغيرة جداً في الخدمة الثابتة الساتلية تتجاوز معيار حماية </w:t>
      </w:r>
      <w:r w:rsidR="004F2FAA" w:rsidRPr="00864CE2">
        <w:rPr>
          <w:rFonts w:hint="eastAsia"/>
          <w:i/>
          <w:iCs/>
          <w:rtl/>
          <w:lang w:bidi="ar-SY"/>
        </w:rPr>
        <w:t>محطة</w:t>
      </w:r>
      <w:r w:rsidR="004F2FAA" w:rsidRPr="00864CE2">
        <w:rPr>
          <w:i/>
          <w:iCs/>
          <w:rtl/>
          <w:lang w:bidi="ar-SY"/>
        </w:rPr>
        <w:t xml:space="preserve"> </w:t>
      </w:r>
      <w:r w:rsidR="004F2FAA" w:rsidRPr="00864CE2">
        <w:rPr>
          <w:rFonts w:hint="eastAsia"/>
          <w:i/>
          <w:iCs/>
          <w:rtl/>
          <w:lang w:bidi="ar-SY"/>
        </w:rPr>
        <w:t>طائرة</w:t>
      </w:r>
      <w:r w:rsidR="004F2FAA" w:rsidRPr="00864CE2">
        <w:rPr>
          <w:rFonts w:hint="cs"/>
          <w:i/>
          <w:iCs/>
          <w:rtl/>
          <w:lang w:bidi="ar-SY"/>
        </w:rPr>
        <w:t xml:space="preserve"> الخدمة المتنقلة للطيران على مسافات تصل إلى </w:t>
      </w:r>
      <w:r w:rsidR="004F2FAA" w:rsidRPr="00864CE2">
        <w:rPr>
          <w:i/>
          <w:iCs/>
        </w:rPr>
        <w:t>km</w:t>
      </w:r>
      <w:r w:rsidR="004F2FAA" w:rsidRPr="00864CE2">
        <w:rPr>
          <w:rFonts w:hint="eastAsia"/>
          <w:i/>
          <w:iCs/>
        </w:rPr>
        <w:t> </w:t>
      </w:r>
      <w:r w:rsidR="004F2FAA" w:rsidRPr="00864CE2">
        <w:rPr>
          <w:rFonts w:hint="cs"/>
          <w:i/>
          <w:iCs/>
        </w:rPr>
        <w:t>575</w:t>
      </w:r>
      <w:r w:rsidR="004F2FAA" w:rsidRPr="00864CE2">
        <w:rPr>
          <w:rFonts w:hint="cs"/>
          <w:i/>
          <w:iCs/>
          <w:rtl/>
          <w:lang w:bidi="ar-SY"/>
        </w:rPr>
        <w:t xml:space="preserve"> عندما تعمل محطة الطائرة على ارتفاع</w:t>
      </w:r>
      <w:r w:rsidR="004F2FAA" w:rsidRPr="00864CE2">
        <w:rPr>
          <w:rFonts w:hint="eastAsia"/>
          <w:i/>
          <w:iCs/>
          <w:rtl/>
          <w:lang w:bidi="ar-SY"/>
        </w:rPr>
        <w:t> </w:t>
      </w:r>
      <w:r w:rsidR="004F2FAA" w:rsidRPr="00864CE2">
        <w:rPr>
          <w:i/>
          <w:iCs/>
        </w:rPr>
        <w:t>km 19</w:t>
      </w:r>
      <w:r w:rsidR="004F2FAA" w:rsidRPr="00864CE2">
        <w:rPr>
          <w:rFonts w:hint="cs"/>
          <w:rtl/>
          <w:lang w:bidi="ar-SY"/>
        </w:rPr>
        <w:t>.</w:t>
      </w:r>
      <w:r w:rsidRPr="00864CE2">
        <w:rPr>
          <w:rFonts w:hint="cs"/>
          <w:rtl/>
          <w:lang w:bidi="ar-SY"/>
        </w:rPr>
        <w:t>"</w:t>
      </w:r>
    </w:p>
    <w:p w:rsidR="00BE70F5" w:rsidRPr="00BE70F5" w:rsidRDefault="00BE70F5" w:rsidP="004F2FAA">
      <w:pPr>
        <w:rPr>
          <w:b/>
          <w:bCs/>
          <w:i/>
          <w:iCs/>
          <w:u w:val="single"/>
          <w:rtl/>
          <w:lang w:bidi="ar-EG"/>
        </w:rPr>
      </w:pPr>
      <w:r w:rsidRPr="00BE70F5">
        <w:rPr>
          <w:rFonts w:hint="cs"/>
          <w:b/>
          <w:bCs/>
          <w:i/>
          <w:iCs/>
          <w:u w:val="single"/>
          <w:rtl/>
          <w:lang w:bidi="ar-EG"/>
        </w:rPr>
        <w:t>نهاية اقتباس</w:t>
      </w:r>
    </w:p>
    <w:p w:rsidR="004F2FAA" w:rsidRPr="00864CE2" w:rsidRDefault="001B64C8" w:rsidP="003E33E0">
      <w:pPr>
        <w:rPr>
          <w:rtl/>
          <w:lang w:bidi="ar-EG"/>
        </w:rPr>
      </w:pPr>
      <w:r w:rsidRPr="00864CE2">
        <w:rPr>
          <w:rFonts w:hint="cs"/>
          <w:rtl/>
          <w:lang w:bidi="ar-SY"/>
        </w:rPr>
        <w:t xml:space="preserve">ويمكن </w:t>
      </w:r>
      <w:r w:rsidR="00204971" w:rsidRPr="00864CE2">
        <w:rPr>
          <w:rFonts w:hint="cs"/>
          <w:rtl/>
          <w:lang w:bidi="ar-SY"/>
        </w:rPr>
        <w:t>استنتا</w:t>
      </w:r>
      <w:r w:rsidR="00204971" w:rsidRPr="00864CE2">
        <w:rPr>
          <w:rFonts w:hint="eastAsia"/>
          <w:rtl/>
          <w:lang w:bidi="ar-SY"/>
        </w:rPr>
        <w:t>ج</w:t>
      </w:r>
      <w:r w:rsidRPr="00864CE2">
        <w:rPr>
          <w:rFonts w:hint="cs"/>
          <w:rtl/>
          <w:lang w:bidi="ar-SY"/>
        </w:rPr>
        <w:t xml:space="preserve"> </w:t>
      </w:r>
      <w:r w:rsidR="003E33E0">
        <w:rPr>
          <w:rFonts w:hint="cs"/>
          <w:rtl/>
          <w:lang w:bidi="ar-SY"/>
        </w:rPr>
        <w:t>الأمر نفسه</w:t>
      </w:r>
      <w:r w:rsidRPr="00864CE2">
        <w:rPr>
          <w:rFonts w:hint="cs"/>
          <w:rtl/>
          <w:lang w:bidi="ar-SY"/>
        </w:rPr>
        <w:t xml:space="preserve"> بالنسبة للبند </w:t>
      </w:r>
      <w:r w:rsidRPr="00864CE2">
        <w:rPr>
          <w:lang w:bidi="ar-SY"/>
        </w:rPr>
        <w:t>2.6.1</w:t>
      </w:r>
      <w:r w:rsidRPr="00864CE2">
        <w:rPr>
          <w:rFonts w:hint="cs"/>
          <w:rtl/>
          <w:lang w:bidi="ar-EG"/>
        </w:rPr>
        <w:t xml:space="preserve"> من جدول الأعمال. وكما يتضح من الدراسة المشار إليها أعلاه</w:t>
      </w:r>
      <w:r w:rsidR="00846B97" w:rsidRPr="00864CE2">
        <w:rPr>
          <w:rFonts w:hint="cs"/>
          <w:rtl/>
          <w:lang w:bidi="ar-EG"/>
        </w:rPr>
        <w:t xml:space="preserve">، فإن توزيع هذا النطاق صعب </w:t>
      </w:r>
      <w:r w:rsidR="003E33E0">
        <w:rPr>
          <w:rFonts w:hint="cs"/>
          <w:rtl/>
          <w:lang w:bidi="ar-EG"/>
        </w:rPr>
        <w:t>جداً</w:t>
      </w:r>
      <w:r w:rsidR="00846B97" w:rsidRPr="00864CE2">
        <w:rPr>
          <w:rFonts w:hint="cs"/>
          <w:rtl/>
          <w:lang w:bidi="ar-EG"/>
        </w:rPr>
        <w:t xml:space="preserve"> نظراً لمميزات المحطات الأرضية للخدمة </w:t>
      </w:r>
      <w:r w:rsidR="003E33E0">
        <w:rPr>
          <w:rFonts w:hint="cs"/>
          <w:rtl/>
          <w:lang w:bidi="ar-EG"/>
        </w:rPr>
        <w:t>الثابتة الساتلية</w:t>
      </w:r>
      <w:r w:rsidR="00846B97" w:rsidRPr="00864CE2">
        <w:rPr>
          <w:rFonts w:hint="cs"/>
          <w:rtl/>
          <w:lang w:bidi="ar-EG"/>
        </w:rPr>
        <w:t xml:space="preserve"> وعددها.</w:t>
      </w:r>
    </w:p>
    <w:p w:rsidR="004F2FAA" w:rsidRPr="00864CE2" w:rsidRDefault="00846B97" w:rsidP="003E33E0">
      <w:pPr>
        <w:rPr>
          <w:lang w:bidi="ar-EG"/>
        </w:rPr>
      </w:pPr>
      <w:r w:rsidRPr="00864CE2">
        <w:rPr>
          <w:rFonts w:hint="cs"/>
          <w:rtl/>
          <w:lang w:bidi="ar-EG"/>
        </w:rPr>
        <w:t>و</w:t>
      </w:r>
      <w:r w:rsidR="003E33E0">
        <w:rPr>
          <w:rFonts w:hint="cs"/>
          <w:rtl/>
          <w:lang w:bidi="ar-EG"/>
        </w:rPr>
        <w:t>تظهر في</w:t>
      </w:r>
      <w:r w:rsidRPr="00864CE2">
        <w:rPr>
          <w:rFonts w:hint="cs"/>
          <w:rtl/>
          <w:lang w:bidi="ar-EG"/>
        </w:rPr>
        <w:t xml:space="preserve"> الجدول </w:t>
      </w:r>
      <w:r w:rsidRPr="00864CE2">
        <w:rPr>
          <w:lang w:bidi="ar-EG"/>
        </w:rPr>
        <w:t>1</w:t>
      </w:r>
      <w:r w:rsidRPr="00864CE2">
        <w:rPr>
          <w:rFonts w:hint="cs"/>
          <w:rtl/>
          <w:lang w:bidi="ar-EG"/>
        </w:rPr>
        <w:t xml:space="preserve"> أدناه جميع النطاقات المرشحة بالنسبة للبندين </w:t>
      </w:r>
      <w:r w:rsidRPr="00864CE2">
        <w:rPr>
          <w:lang w:bidi="ar-EG"/>
        </w:rPr>
        <w:t>1.6.1</w:t>
      </w:r>
      <w:r w:rsidRPr="00864CE2">
        <w:rPr>
          <w:rFonts w:hint="cs"/>
          <w:rtl/>
          <w:lang w:bidi="ar-EG"/>
        </w:rPr>
        <w:t xml:space="preserve"> و</w:t>
      </w:r>
      <w:r w:rsidRPr="00864CE2">
        <w:rPr>
          <w:lang w:bidi="ar-EG"/>
        </w:rPr>
        <w:t>2.6.1</w:t>
      </w:r>
      <w:r w:rsidRPr="00864CE2">
        <w:rPr>
          <w:rFonts w:hint="cs"/>
          <w:rtl/>
          <w:lang w:bidi="ar-EG"/>
        </w:rPr>
        <w:t xml:space="preserve"> من جدول الأعمال. وكما يتضح من الجدول، ثمة نطاق مرشح آخر يمكن استعماله لأغراض هذين البندين.</w:t>
      </w:r>
    </w:p>
    <w:p w:rsidR="004F2FAA" w:rsidRPr="00864CE2" w:rsidRDefault="0080636E" w:rsidP="00846B97">
      <w:pPr>
        <w:pStyle w:val="TableNo"/>
        <w:rPr>
          <w:rtl/>
          <w:lang w:bidi="ar-EG"/>
        </w:rPr>
      </w:pPr>
      <w:r w:rsidRPr="00864CE2">
        <w:rPr>
          <w:rFonts w:hint="cs"/>
          <w:rtl/>
          <w:lang w:bidi="ar-EG"/>
        </w:rPr>
        <w:t>الجدول </w:t>
      </w:r>
      <w:r w:rsidR="00846B97" w:rsidRPr="00864CE2">
        <w:rPr>
          <w:lang w:bidi="ar-EG"/>
        </w:rPr>
        <w:t>1</w:t>
      </w:r>
    </w:p>
    <w:tbl>
      <w:tblPr>
        <w:tblStyle w:val="TableGrid"/>
        <w:bidiVisual/>
        <w:tblW w:w="9356" w:type="dxa"/>
        <w:jc w:val="center"/>
        <w:tblLayout w:type="fixed"/>
        <w:tblLook w:val="04A0" w:firstRow="1" w:lastRow="0" w:firstColumn="1" w:lastColumn="0" w:noHBand="0" w:noVBand="1"/>
      </w:tblPr>
      <w:tblGrid>
        <w:gridCol w:w="709"/>
        <w:gridCol w:w="1418"/>
        <w:gridCol w:w="1133"/>
        <w:gridCol w:w="4554"/>
        <w:gridCol w:w="1542"/>
      </w:tblGrid>
      <w:tr w:rsidR="004444FF" w:rsidRPr="00864CE2" w:rsidTr="00ED2282">
        <w:trPr>
          <w:tblHeader/>
          <w:jc w:val="center"/>
        </w:trPr>
        <w:tc>
          <w:tcPr>
            <w:tcW w:w="709" w:type="dxa"/>
          </w:tcPr>
          <w:p w:rsidR="004444FF" w:rsidRPr="00864CE2" w:rsidRDefault="00846B97" w:rsidP="000734AC">
            <w:pPr>
              <w:pStyle w:val="Tablehead"/>
              <w:rPr>
                <w:rtl/>
              </w:rPr>
            </w:pPr>
            <w:r w:rsidRPr="00864CE2">
              <w:rPr>
                <w:rFonts w:hint="cs"/>
                <w:rtl/>
              </w:rPr>
              <w:t>الرقم</w:t>
            </w:r>
          </w:p>
        </w:tc>
        <w:tc>
          <w:tcPr>
            <w:tcW w:w="1418" w:type="dxa"/>
          </w:tcPr>
          <w:p w:rsidR="004444FF" w:rsidRPr="00864CE2" w:rsidRDefault="00846B97" w:rsidP="000734AC">
            <w:pPr>
              <w:pStyle w:val="Tablehead"/>
              <w:rPr>
                <w:rtl/>
              </w:rPr>
            </w:pPr>
            <w:r w:rsidRPr="00864CE2">
              <w:rPr>
                <w:rFonts w:hint="cs"/>
                <w:rtl/>
              </w:rPr>
              <w:t xml:space="preserve">النطاق الفرعي </w:t>
            </w:r>
            <w:r w:rsidRPr="00864CE2">
              <w:t>(GHz)</w:t>
            </w:r>
          </w:p>
        </w:tc>
        <w:tc>
          <w:tcPr>
            <w:tcW w:w="1133" w:type="dxa"/>
            <w:vAlign w:val="center"/>
          </w:tcPr>
          <w:p w:rsidR="004444FF" w:rsidRPr="00864CE2" w:rsidRDefault="00846B97" w:rsidP="000734AC">
            <w:pPr>
              <w:pStyle w:val="Tablehead"/>
              <w:rPr>
                <w:rFonts w:ascii="CG Times" w:eastAsia="MS Mincho" w:hAnsi="CG Times" w:cs="Times New Roman"/>
                <w:szCs w:val="20"/>
                <w:lang w:eastAsia="zh-CN"/>
              </w:rPr>
            </w:pPr>
            <w:r w:rsidRPr="00864CE2">
              <w:rPr>
                <w:rFonts w:ascii="CG Times" w:eastAsia="MS Mincho" w:hAnsi="CG Times" w:hint="cs"/>
                <w:rtl/>
                <w:lang w:eastAsia="zh-CN"/>
              </w:rPr>
              <w:t>الخدمة</w:t>
            </w:r>
          </w:p>
        </w:tc>
        <w:tc>
          <w:tcPr>
            <w:tcW w:w="4554" w:type="dxa"/>
          </w:tcPr>
          <w:p w:rsidR="004444FF" w:rsidRPr="00864CE2" w:rsidRDefault="00846B97" w:rsidP="000734AC">
            <w:pPr>
              <w:pStyle w:val="Tablehead"/>
              <w:rPr>
                <w:rtl/>
              </w:rPr>
            </w:pPr>
            <w:r w:rsidRPr="00864CE2">
              <w:rPr>
                <w:rFonts w:hint="cs"/>
                <w:rtl/>
              </w:rPr>
              <w:t>يشير المختصر إلى</w:t>
            </w:r>
          </w:p>
        </w:tc>
        <w:tc>
          <w:tcPr>
            <w:tcW w:w="1542" w:type="dxa"/>
          </w:tcPr>
          <w:p w:rsidR="004444FF" w:rsidRPr="00864CE2" w:rsidRDefault="00846B97" w:rsidP="000734AC">
            <w:pPr>
              <w:pStyle w:val="Tablehead"/>
              <w:rPr>
                <w:rtl/>
              </w:rPr>
            </w:pPr>
            <w:r w:rsidRPr="00864CE2">
              <w:rPr>
                <w:rFonts w:hint="cs"/>
                <w:rtl/>
              </w:rPr>
              <w:t>الاستعمال (وصلة صاعدة/وصلة هابطة)</w:t>
            </w:r>
          </w:p>
        </w:tc>
      </w:tr>
      <w:tr w:rsidR="00CF0A1F" w:rsidRPr="00864CE2" w:rsidTr="00ED2282">
        <w:trPr>
          <w:jc w:val="center"/>
        </w:trPr>
        <w:tc>
          <w:tcPr>
            <w:tcW w:w="709" w:type="dxa"/>
            <w:vMerge w:val="restart"/>
            <w:vAlign w:val="center"/>
          </w:tcPr>
          <w:p w:rsidR="00CF0A1F" w:rsidRPr="00864CE2" w:rsidRDefault="00CF0A1F" w:rsidP="007A26E4">
            <w:pPr>
              <w:pStyle w:val="TabletextS5"/>
              <w:jc w:val="center"/>
              <w:rPr>
                <w:b/>
                <w:bCs/>
                <w:rtl/>
              </w:rPr>
            </w:pPr>
            <w:r w:rsidRPr="00864CE2">
              <w:rPr>
                <w:b/>
                <w:bCs/>
              </w:rPr>
              <w:t>1</w:t>
            </w:r>
          </w:p>
        </w:tc>
        <w:tc>
          <w:tcPr>
            <w:tcW w:w="1418" w:type="dxa"/>
            <w:vMerge w:val="restart"/>
            <w:vAlign w:val="center"/>
          </w:tcPr>
          <w:p w:rsidR="00CF0A1F" w:rsidRPr="00864CE2" w:rsidRDefault="00CF0A1F" w:rsidP="000734AC">
            <w:pPr>
              <w:pStyle w:val="TabletextS5"/>
              <w:jc w:val="center"/>
              <w:rPr>
                <w:b/>
                <w:bCs/>
                <w:rtl/>
              </w:rPr>
            </w:pPr>
            <w:r w:rsidRPr="00864CE2">
              <w:rPr>
                <w:b/>
                <w:bCs/>
              </w:rPr>
              <w:t>13,4</w:t>
            </w:r>
            <w:r w:rsidRPr="00864CE2">
              <w:rPr>
                <w:b/>
                <w:bCs/>
              </w:rPr>
              <w:noBreakHyphen/>
              <w:t>13,25</w:t>
            </w:r>
          </w:p>
        </w:tc>
        <w:tc>
          <w:tcPr>
            <w:tcW w:w="1133" w:type="dxa"/>
            <w:vAlign w:val="center"/>
          </w:tcPr>
          <w:p w:rsidR="00CF0A1F" w:rsidRPr="00864CE2" w:rsidRDefault="00CF0A1F" w:rsidP="007A26E4">
            <w:pPr>
              <w:pStyle w:val="TabletextS5"/>
              <w:rPr>
                <w:rFonts w:ascii="CG Times" w:eastAsia="MS Mincho" w:hAnsi="CG Times"/>
                <w:rtl/>
                <w:lang w:eastAsia="zh-CN" w:bidi="fa-IR"/>
              </w:rPr>
            </w:pPr>
            <w:r w:rsidRPr="00864CE2">
              <w:rPr>
                <w:rFonts w:ascii="CG Times" w:eastAsia="MS Mincho" w:hAnsi="CG Times"/>
                <w:lang w:eastAsia="zh-CN" w:bidi="th-TH"/>
              </w:rPr>
              <w:t>EESS</w:t>
            </w:r>
          </w:p>
        </w:tc>
        <w:tc>
          <w:tcPr>
            <w:tcW w:w="4554" w:type="dxa"/>
          </w:tcPr>
          <w:p w:rsidR="00CF0A1F" w:rsidRPr="00864CE2" w:rsidRDefault="000734AC" w:rsidP="000734AC">
            <w:pPr>
              <w:pStyle w:val="TabletextS5"/>
              <w:rPr>
                <w:rtl/>
              </w:rPr>
            </w:pPr>
            <w:r w:rsidRPr="00864CE2">
              <w:rPr>
                <w:rtl/>
                <w:lang w:bidi="ar-SA"/>
              </w:rPr>
              <w:t>خدمة استكشاف الأرض الساتلية</w:t>
            </w:r>
          </w:p>
        </w:tc>
        <w:tc>
          <w:tcPr>
            <w:tcW w:w="1542" w:type="dxa"/>
            <w:vAlign w:val="center"/>
          </w:tcPr>
          <w:p w:rsidR="00CF0A1F" w:rsidRPr="00864CE2" w:rsidRDefault="00CF0A1F" w:rsidP="007A26E4">
            <w:pPr>
              <w:pStyle w:val="TabletextS5"/>
              <w:bidi w:val="0"/>
              <w:jc w:val="center"/>
              <w:rPr>
                <w:rFonts w:ascii="CG Times" w:eastAsia="MS Mincho" w:hAnsi="CG Times" w:cs="Times New Roman"/>
                <w:szCs w:val="20"/>
                <w:lang w:eastAsia="zh-CN" w:bidi="fa-IR"/>
              </w:rPr>
            </w:pPr>
            <w:r w:rsidRPr="00864CE2">
              <w:rPr>
                <w:rFonts w:ascii="CG Times" w:eastAsia="MS Mincho" w:hAnsi="CG Times"/>
                <w:lang w:eastAsia="zh-CN" w:bidi="th-TH"/>
              </w:rPr>
              <w:t>U/D (Active)</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lang w:eastAsia="zh-CN" w:bidi="fa-IR"/>
              </w:rPr>
            </w:pPr>
            <w:r w:rsidRPr="00864CE2">
              <w:rPr>
                <w:rFonts w:ascii="CG Times" w:eastAsia="MS Mincho" w:hAnsi="CG Times"/>
                <w:lang w:eastAsia="zh-CN" w:bidi="th-TH"/>
              </w:rPr>
              <w:t>ARNS</w:t>
            </w:r>
          </w:p>
        </w:tc>
        <w:tc>
          <w:tcPr>
            <w:tcW w:w="4554" w:type="dxa"/>
          </w:tcPr>
          <w:p w:rsidR="00CF0A1F" w:rsidRPr="00864CE2" w:rsidRDefault="000734AC" w:rsidP="000734AC">
            <w:pPr>
              <w:pStyle w:val="TabletextS5"/>
              <w:rPr>
                <w:rtl/>
              </w:rPr>
            </w:pPr>
            <w:r w:rsidRPr="00864CE2">
              <w:rPr>
                <w:rtl/>
                <w:lang w:bidi="ar-SA"/>
              </w:rPr>
              <w:t>خدمة الملاحة الراديوية للطيران</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SRS</w:t>
            </w:r>
          </w:p>
        </w:tc>
        <w:tc>
          <w:tcPr>
            <w:tcW w:w="4554" w:type="dxa"/>
          </w:tcPr>
          <w:p w:rsidR="00CF0A1F" w:rsidRPr="00864CE2" w:rsidRDefault="000734AC" w:rsidP="000734AC">
            <w:pPr>
              <w:pStyle w:val="TabletextS5"/>
              <w:rPr>
                <w:rtl/>
              </w:rPr>
            </w:pPr>
            <w:r w:rsidRPr="00864CE2">
              <w:rPr>
                <w:rtl/>
                <w:lang w:bidi="ar-SA"/>
              </w:rPr>
              <w:t>خدمة الأبحاث الفضائية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 (Active)</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lang w:eastAsia="zh-CN" w:bidi="fa-IR"/>
              </w:rPr>
            </w:pPr>
            <w:r w:rsidRPr="00864CE2">
              <w:rPr>
                <w:rFonts w:ascii="CG Times" w:eastAsia="MS Mincho" w:hAnsi="CG Times"/>
                <w:lang w:eastAsia="zh-CN" w:bidi="th-TH"/>
              </w:rPr>
              <w:t>FS</w:t>
            </w:r>
          </w:p>
        </w:tc>
        <w:tc>
          <w:tcPr>
            <w:tcW w:w="4554" w:type="dxa"/>
          </w:tcPr>
          <w:p w:rsidR="00CF0A1F" w:rsidRPr="00864CE2" w:rsidRDefault="000734AC" w:rsidP="000734AC">
            <w:pPr>
              <w:pStyle w:val="TabletextS5"/>
              <w:rPr>
                <w:rtl/>
              </w:rPr>
            </w:pPr>
            <w:r w:rsidRPr="00864CE2">
              <w:rPr>
                <w:rtl/>
                <w:lang w:bidi="ar-SA"/>
              </w:rPr>
              <w:t>الخدمة الثابتة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 D</w:t>
            </w:r>
          </w:p>
        </w:tc>
      </w:tr>
      <w:tr w:rsidR="00CF0A1F" w:rsidRPr="00864CE2" w:rsidTr="00ED2282">
        <w:trPr>
          <w:jc w:val="center"/>
        </w:trPr>
        <w:tc>
          <w:tcPr>
            <w:tcW w:w="709" w:type="dxa"/>
            <w:vMerge w:val="restart"/>
            <w:vAlign w:val="center"/>
          </w:tcPr>
          <w:p w:rsidR="00CF0A1F" w:rsidRPr="00864CE2" w:rsidRDefault="00CF0A1F" w:rsidP="007A26E4">
            <w:pPr>
              <w:pStyle w:val="TabletextS5"/>
              <w:jc w:val="center"/>
              <w:rPr>
                <w:b/>
                <w:bCs/>
                <w:rtl/>
              </w:rPr>
            </w:pPr>
            <w:r w:rsidRPr="00864CE2">
              <w:rPr>
                <w:b/>
                <w:bCs/>
              </w:rPr>
              <w:t>2</w:t>
            </w:r>
          </w:p>
        </w:tc>
        <w:tc>
          <w:tcPr>
            <w:tcW w:w="1418" w:type="dxa"/>
            <w:vMerge w:val="restart"/>
            <w:vAlign w:val="center"/>
          </w:tcPr>
          <w:p w:rsidR="00CF0A1F" w:rsidRPr="00864CE2" w:rsidRDefault="0074408A" w:rsidP="000734AC">
            <w:pPr>
              <w:pStyle w:val="TabletextS5"/>
              <w:jc w:val="center"/>
              <w:rPr>
                <w:b/>
                <w:bCs/>
                <w:rtl/>
              </w:rPr>
            </w:pPr>
            <w:r>
              <w:rPr>
                <w:b/>
                <w:bCs/>
              </w:rPr>
              <w:t>13,75</w:t>
            </w:r>
            <w:r>
              <w:rPr>
                <w:b/>
                <w:bCs/>
              </w:rPr>
              <w:noBreakHyphen/>
              <w:t>13,</w:t>
            </w:r>
            <w:r w:rsidR="00CF0A1F" w:rsidRPr="00864CE2">
              <w:rPr>
                <w:b/>
                <w:bCs/>
              </w:rPr>
              <w:t>4</w:t>
            </w:r>
          </w:p>
        </w:tc>
        <w:tc>
          <w:tcPr>
            <w:tcW w:w="1133" w:type="dxa"/>
            <w:vAlign w:val="center"/>
          </w:tcPr>
          <w:p w:rsidR="00CF0A1F" w:rsidRPr="00864CE2" w:rsidRDefault="00CF0A1F" w:rsidP="007A26E4">
            <w:pPr>
              <w:pStyle w:val="TabletextS5"/>
              <w:rPr>
                <w:rFonts w:ascii="CG Times" w:eastAsia="MS Mincho" w:hAnsi="CG Times"/>
                <w:rtl/>
                <w:lang w:eastAsia="zh-CN" w:bidi="fa-IR"/>
              </w:rPr>
            </w:pPr>
            <w:r w:rsidRPr="00864CE2">
              <w:rPr>
                <w:rFonts w:ascii="CG Times" w:eastAsia="MS Mincho" w:hAnsi="CG Times"/>
                <w:lang w:eastAsia="zh-CN" w:bidi="th-TH"/>
              </w:rPr>
              <w:t>EESS</w:t>
            </w:r>
          </w:p>
        </w:tc>
        <w:tc>
          <w:tcPr>
            <w:tcW w:w="4554" w:type="dxa"/>
          </w:tcPr>
          <w:p w:rsidR="00CF0A1F" w:rsidRPr="00864CE2" w:rsidRDefault="000734AC" w:rsidP="007A26E4">
            <w:pPr>
              <w:pStyle w:val="TabletextS5"/>
              <w:rPr>
                <w:rtl/>
              </w:rPr>
            </w:pPr>
            <w:r w:rsidRPr="00864CE2">
              <w:rPr>
                <w:rtl/>
              </w:rPr>
              <w:t>خدمة استكشاف الأرض الساتلية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SRS</w:t>
            </w:r>
          </w:p>
        </w:tc>
        <w:tc>
          <w:tcPr>
            <w:tcW w:w="4554" w:type="dxa"/>
          </w:tcPr>
          <w:p w:rsidR="00CF0A1F" w:rsidRPr="00864CE2" w:rsidRDefault="000734AC" w:rsidP="000734AC">
            <w:pPr>
              <w:pStyle w:val="TabletextS5"/>
              <w:rPr>
                <w:rtl/>
              </w:rPr>
            </w:pPr>
            <w:r w:rsidRPr="00864CE2">
              <w:rPr>
                <w:rtl/>
                <w:lang w:bidi="ar-SA"/>
              </w:rPr>
              <w:t>خدمة الأبحاث الفضائية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RLS</w:t>
            </w:r>
          </w:p>
        </w:tc>
        <w:tc>
          <w:tcPr>
            <w:tcW w:w="4554" w:type="dxa"/>
          </w:tcPr>
          <w:p w:rsidR="00CF0A1F" w:rsidRPr="00864CE2" w:rsidRDefault="000734AC" w:rsidP="000734AC">
            <w:pPr>
              <w:pStyle w:val="TabletextS5"/>
              <w:rPr>
                <w:rtl/>
              </w:rPr>
            </w:pPr>
            <w:r w:rsidRPr="00864CE2">
              <w:rPr>
                <w:rtl/>
                <w:lang w:bidi="ar-SA"/>
              </w:rPr>
              <w:t>خدمة التحديد الراديوي للموقع</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RNS</w:t>
            </w:r>
          </w:p>
        </w:tc>
        <w:tc>
          <w:tcPr>
            <w:tcW w:w="4554" w:type="dxa"/>
          </w:tcPr>
          <w:p w:rsidR="00CF0A1F" w:rsidRPr="00864CE2" w:rsidRDefault="000734AC" w:rsidP="000734AC">
            <w:pPr>
              <w:pStyle w:val="TabletextS5"/>
              <w:rPr>
                <w:rtl/>
              </w:rPr>
            </w:pPr>
            <w:r w:rsidRPr="00864CE2">
              <w:rPr>
                <w:rtl/>
                <w:lang w:bidi="ar-SA"/>
              </w:rPr>
              <w:t>خدمة الملاحة الراديوية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FS</w:t>
            </w:r>
          </w:p>
        </w:tc>
        <w:tc>
          <w:tcPr>
            <w:tcW w:w="4554" w:type="dxa"/>
          </w:tcPr>
          <w:p w:rsidR="00CF0A1F" w:rsidRPr="00864CE2" w:rsidRDefault="000734AC" w:rsidP="007A26E4">
            <w:pPr>
              <w:pStyle w:val="TabletextS5"/>
              <w:rPr>
                <w:rtl/>
              </w:rPr>
            </w:pPr>
            <w:r w:rsidRPr="00864CE2">
              <w:rPr>
                <w:rtl/>
                <w:lang w:bidi="ar-SA"/>
              </w:rPr>
              <w:t>الخدمة الثابتة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MS</w:t>
            </w:r>
          </w:p>
        </w:tc>
        <w:tc>
          <w:tcPr>
            <w:tcW w:w="4554" w:type="dxa"/>
          </w:tcPr>
          <w:p w:rsidR="00CF0A1F" w:rsidRPr="00864CE2" w:rsidRDefault="000734AC" w:rsidP="000734AC">
            <w:pPr>
              <w:pStyle w:val="TabletextS5"/>
              <w:rPr>
                <w:rtl/>
              </w:rPr>
            </w:pPr>
            <w:r w:rsidRPr="00864CE2">
              <w:rPr>
                <w:rtl/>
                <w:lang w:bidi="ar-SA"/>
              </w:rPr>
              <w:t>الخدمة المتنقلة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bCs/>
                <w:lang w:eastAsia="zh-CN" w:bidi="th-TH"/>
              </w:rPr>
              <w:t>SFTSSS</w:t>
            </w:r>
          </w:p>
        </w:tc>
        <w:tc>
          <w:tcPr>
            <w:tcW w:w="4554" w:type="dxa"/>
          </w:tcPr>
          <w:p w:rsidR="00CF0A1F" w:rsidRPr="00864CE2" w:rsidRDefault="000734AC" w:rsidP="000734AC">
            <w:pPr>
              <w:pStyle w:val="TabletextS5"/>
              <w:rPr>
                <w:rtl/>
              </w:rPr>
            </w:pPr>
            <w:r w:rsidRPr="00864CE2">
              <w:rPr>
                <w:rtl/>
                <w:lang w:bidi="ar-SA"/>
              </w:rPr>
              <w:t>خدمة الترددات المعيارية وإشارات التوقيت الساتلية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CF0A1F" w:rsidRPr="00864CE2" w:rsidTr="00ED2282">
        <w:trPr>
          <w:jc w:val="center"/>
        </w:trPr>
        <w:tc>
          <w:tcPr>
            <w:tcW w:w="709" w:type="dxa"/>
            <w:vMerge w:val="restart"/>
            <w:vAlign w:val="center"/>
          </w:tcPr>
          <w:p w:rsidR="00CF0A1F" w:rsidRPr="00864CE2" w:rsidRDefault="00CF0A1F" w:rsidP="007A26E4">
            <w:pPr>
              <w:pStyle w:val="TabletextS5"/>
              <w:jc w:val="center"/>
              <w:rPr>
                <w:b/>
                <w:bCs/>
                <w:rtl/>
              </w:rPr>
            </w:pPr>
            <w:r w:rsidRPr="00864CE2">
              <w:rPr>
                <w:b/>
                <w:bCs/>
              </w:rPr>
              <w:t>3</w:t>
            </w:r>
          </w:p>
        </w:tc>
        <w:tc>
          <w:tcPr>
            <w:tcW w:w="1418" w:type="dxa"/>
            <w:vMerge w:val="restart"/>
            <w:vAlign w:val="center"/>
          </w:tcPr>
          <w:p w:rsidR="00CF0A1F" w:rsidRPr="00864CE2" w:rsidRDefault="00CF0A1F" w:rsidP="000734AC">
            <w:pPr>
              <w:pStyle w:val="TabletextS5"/>
              <w:jc w:val="center"/>
              <w:rPr>
                <w:b/>
                <w:bCs/>
                <w:rtl/>
              </w:rPr>
            </w:pPr>
            <w:r w:rsidRPr="00864CE2">
              <w:rPr>
                <w:b/>
                <w:bCs/>
              </w:rPr>
              <w:t>14,8</w:t>
            </w:r>
            <w:r w:rsidRPr="00864CE2">
              <w:rPr>
                <w:b/>
                <w:bCs/>
              </w:rPr>
              <w:noBreakHyphen/>
              <w:t>14,5</w:t>
            </w: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 xml:space="preserve">BSS </w:t>
            </w:r>
          </w:p>
        </w:tc>
        <w:tc>
          <w:tcPr>
            <w:tcW w:w="4554" w:type="dxa"/>
          </w:tcPr>
          <w:p w:rsidR="00CF0A1F" w:rsidRPr="00864CE2" w:rsidRDefault="000734AC" w:rsidP="007A26E4">
            <w:pPr>
              <w:pStyle w:val="TabletextS5"/>
              <w:rPr>
                <w:rtl/>
              </w:rPr>
            </w:pPr>
            <w:r w:rsidRPr="00864CE2">
              <w:rPr>
                <w:rtl/>
              </w:rPr>
              <w:t>الخدمة الإذاعية الساتلية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 xml:space="preserve">U ( </w:t>
            </w:r>
            <w:proofErr w:type="spellStart"/>
            <w:r w:rsidRPr="00864CE2">
              <w:rPr>
                <w:rFonts w:ascii="CG Times" w:eastAsia="MS Mincho" w:hAnsi="CG Times"/>
                <w:lang w:eastAsia="zh-CN" w:bidi="th-TH"/>
              </w:rPr>
              <w:t>Plan,List</w:t>
            </w:r>
            <w:proofErr w:type="spellEnd"/>
            <w:r w:rsidRPr="00864CE2">
              <w:rPr>
                <w:rFonts w:ascii="CG Times" w:eastAsia="MS Mincho" w:hAnsi="CG Times"/>
                <w:lang w:eastAsia="zh-CN" w:bidi="th-TH"/>
              </w:rPr>
              <w:t>)</w:t>
            </w:r>
          </w:p>
        </w:tc>
      </w:tr>
      <w:tr w:rsidR="00CF0A1F" w:rsidRPr="00864CE2" w:rsidTr="00ED2282">
        <w:trPr>
          <w:jc w:val="center"/>
        </w:trPr>
        <w:tc>
          <w:tcPr>
            <w:tcW w:w="709" w:type="dxa"/>
            <w:vMerge/>
            <w:vAlign w:val="center"/>
          </w:tcPr>
          <w:p w:rsidR="00CF0A1F" w:rsidRPr="00864CE2" w:rsidRDefault="00CF0A1F" w:rsidP="007A26E4">
            <w:pPr>
              <w:pStyle w:val="TabletextS5"/>
              <w:jc w:val="center"/>
              <w:rPr>
                <w:b/>
                <w:bCs/>
                <w:rtl/>
              </w:rPr>
            </w:pPr>
          </w:p>
        </w:tc>
        <w:tc>
          <w:tcPr>
            <w:tcW w:w="1418" w:type="dxa"/>
            <w:vMerge/>
            <w:vAlign w:val="center"/>
          </w:tcPr>
          <w:p w:rsidR="00CF0A1F" w:rsidRPr="00864CE2" w:rsidRDefault="00CF0A1F" w:rsidP="000734AC">
            <w:pPr>
              <w:pStyle w:val="TabletextS5"/>
              <w:jc w:val="center"/>
              <w:rPr>
                <w:b/>
                <w:bCs/>
                <w:rtl/>
              </w:rPr>
            </w:pPr>
          </w:p>
        </w:tc>
        <w:tc>
          <w:tcPr>
            <w:tcW w:w="1133" w:type="dxa"/>
            <w:vAlign w:val="center"/>
          </w:tcPr>
          <w:p w:rsidR="00CF0A1F" w:rsidRPr="00864CE2" w:rsidRDefault="00CF0A1F" w:rsidP="007A26E4">
            <w:pPr>
              <w:pStyle w:val="TabletextS5"/>
              <w:rPr>
                <w:rFonts w:ascii="CG Times" w:eastAsia="MS Mincho" w:hAnsi="CG Times"/>
                <w:rtl/>
                <w:cs/>
                <w:lang w:eastAsia="zh-CN" w:bidi="th-TH"/>
              </w:rPr>
            </w:pPr>
            <w:r w:rsidRPr="00864CE2">
              <w:rPr>
                <w:rFonts w:ascii="CG Times" w:eastAsia="MS Mincho" w:hAnsi="CG Times"/>
                <w:lang w:eastAsia="zh-CN" w:bidi="th-TH"/>
              </w:rPr>
              <w:t>FS</w:t>
            </w:r>
          </w:p>
        </w:tc>
        <w:tc>
          <w:tcPr>
            <w:tcW w:w="4554" w:type="dxa"/>
          </w:tcPr>
          <w:p w:rsidR="00CF0A1F" w:rsidRPr="00864CE2" w:rsidRDefault="000734AC" w:rsidP="007A26E4">
            <w:pPr>
              <w:pStyle w:val="TabletextS5"/>
              <w:rPr>
                <w:rtl/>
              </w:rPr>
            </w:pPr>
            <w:r w:rsidRPr="00864CE2">
              <w:rPr>
                <w:rtl/>
                <w:lang w:bidi="ar-SA"/>
              </w:rPr>
              <w:t>الخدمة الثابتة</w:t>
            </w:r>
          </w:p>
        </w:tc>
        <w:tc>
          <w:tcPr>
            <w:tcW w:w="1542" w:type="dxa"/>
            <w:vAlign w:val="center"/>
          </w:tcPr>
          <w:p w:rsidR="00CF0A1F" w:rsidRPr="00864CE2" w:rsidRDefault="00CF0A1F" w:rsidP="007A26E4">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Merge/>
            <w:vAlign w:val="center"/>
          </w:tcPr>
          <w:p w:rsidR="000734AC" w:rsidRPr="00864CE2" w:rsidRDefault="000734AC" w:rsidP="000734AC">
            <w:pPr>
              <w:pStyle w:val="TabletextS5"/>
              <w:jc w:val="center"/>
              <w:rPr>
                <w:b/>
                <w:bCs/>
                <w:rtl/>
              </w:rPr>
            </w:pPr>
          </w:p>
        </w:tc>
        <w:tc>
          <w:tcPr>
            <w:tcW w:w="1418" w:type="dxa"/>
            <w:vMerge/>
            <w:vAlign w:val="center"/>
          </w:tcPr>
          <w:p w:rsidR="000734AC" w:rsidRPr="00864CE2" w:rsidRDefault="000734AC" w:rsidP="000734AC">
            <w:pPr>
              <w:pStyle w:val="TabletextS5"/>
              <w:jc w:val="center"/>
              <w:rPr>
                <w:b/>
                <w:bCs/>
                <w:rtl/>
              </w:rPr>
            </w:pPr>
          </w:p>
        </w:tc>
        <w:tc>
          <w:tcPr>
            <w:tcW w:w="1133" w:type="dxa"/>
            <w:vAlign w:val="center"/>
          </w:tcPr>
          <w:p w:rsidR="000734AC" w:rsidRPr="00864CE2" w:rsidRDefault="000734AC" w:rsidP="000734AC">
            <w:pPr>
              <w:pStyle w:val="TabletextS5"/>
              <w:rPr>
                <w:rFonts w:ascii="CG Times" w:eastAsia="MS Mincho" w:hAnsi="CG Times"/>
                <w:lang w:eastAsia="zh-CN"/>
              </w:rPr>
            </w:pPr>
            <w:r w:rsidRPr="00864CE2">
              <w:rPr>
                <w:rFonts w:ascii="CG Times" w:eastAsia="MS Mincho" w:hAnsi="CG Times"/>
                <w:lang w:eastAsia="zh-CN" w:bidi="th-TH"/>
              </w:rPr>
              <w:t>AMS/</w:t>
            </w:r>
            <w:r w:rsidRPr="00864CE2">
              <w:rPr>
                <w:rFonts w:ascii="CG Times" w:eastAsia="MS Mincho" w:hAnsi="CG Times"/>
                <w:lang w:eastAsia="zh-CN"/>
              </w:rPr>
              <w:t>MS</w:t>
            </w:r>
          </w:p>
        </w:tc>
        <w:tc>
          <w:tcPr>
            <w:tcW w:w="4554" w:type="dxa"/>
            <w:vAlign w:val="center"/>
          </w:tcPr>
          <w:p w:rsidR="000734AC" w:rsidRPr="00864CE2" w:rsidRDefault="000734AC" w:rsidP="000734AC">
            <w:pPr>
              <w:spacing w:before="40" w:after="40" w:line="260" w:lineRule="exact"/>
              <w:rPr>
                <w:sz w:val="20"/>
                <w:szCs w:val="26"/>
                <w:rtl/>
              </w:rPr>
            </w:pPr>
            <w:r w:rsidRPr="00864CE2">
              <w:rPr>
                <w:sz w:val="20"/>
                <w:szCs w:val="26"/>
                <w:rtl/>
              </w:rPr>
              <w:t>الخدمة المتنقلة</w:t>
            </w:r>
            <w:r w:rsidRPr="00864CE2">
              <w:rPr>
                <w:sz w:val="20"/>
                <w:szCs w:val="26"/>
              </w:rPr>
              <w:t>/</w:t>
            </w:r>
            <w:r w:rsidRPr="00864CE2">
              <w:rPr>
                <w:sz w:val="20"/>
                <w:szCs w:val="26"/>
                <w:rtl/>
              </w:rPr>
              <w:t>الخدمة المتنقلة للطيران</w:t>
            </w:r>
          </w:p>
        </w:tc>
        <w:tc>
          <w:tcPr>
            <w:tcW w:w="1542" w:type="dxa"/>
            <w:vAlign w:val="center"/>
          </w:tcPr>
          <w:p w:rsidR="000734AC" w:rsidRPr="00864CE2" w:rsidRDefault="000734AC" w:rsidP="000734AC">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Merge/>
            <w:vAlign w:val="center"/>
          </w:tcPr>
          <w:p w:rsidR="000734AC" w:rsidRPr="00864CE2" w:rsidRDefault="000734AC" w:rsidP="000734AC">
            <w:pPr>
              <w:pStyle w:val="TabletextS5"/>
              <w:jc w:val="center"/>
              <w:rPr>
                <w:b/>
                <w:bCs/>
                <w:rtl/>
              </w:rPr>
            </w:pPr>
          </w:p>
        </w:tc>
        <w:tc>
          <w:tcPr>
            <w:tcW w:w="1418" w:type="dxa"/>
            <w:vMerge/>
            <w:vAlign w:val="center"/>
          </w:tcPr>
          <w:p w:rsidR="000734AC" w:rsidRPr="00864CE2" w:rsidRDefault="000734AC" w:rsidP="000734AC">
            <w:pPr>
              <w:pStyle w:val="TabletextS5"/>
              <w:jc w:val="center"/>
              <w:rPr>
                <w:b/>
                <w:bCs/>
                <w:rtl/>
              </w:rPr>
            </w:pP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SRS</w:t>
            </w:r>
          </w:p>
        </w:tc>
        <w:tc>
          <w:tcPr>
            <w:tcW w:w="4554" w:type="dxa"/>
          </w:tcPr>
          <w:p w:rsidR="000734AC" w:rsidRPr="00864CE2" w:rsidRDefault="000734AC" w:rsidP="000734AC">
            <w:pPr>
              <w:pStyle w:val="TabletextS5"/>
              <w:rPr>
                <w:rtl/>
              </w:rPr>
            </w:pPr>
            <w:r w:rsidRPr="00864CE2">
              <w:rPr>
                <w:rtl/>
                <w:lang w:bidi="ar-SA"/>
              </w:rPr>
              <w:t>خدمة الأبحاث الفضائية</w:t>
            </w:r>
          </w:p>
        </w:tc>
        <w:tc>
          <w:tcPr>
            <w:tcW w:w="1542" w:type="dxa"/>
            <w:vAlign w:val="center"/>
          </w:tcPr>
          <w:p w:rsidR="000734AC" w:rsidRPr="00864CE2" w:rsidRDefault="000734AC" w:rsidP="000734AC">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Merge/>
            <w:vAlign w:val="center"/>
          </w:tcPr>
          <w:p w:rsidR="000734AC" w:rsidRPr="00864CE2" w:rsidRDefault="000734AC" w:rsidP="000734AC">
            <w:pPr>
              <w:pStyle w:val="TabletextS5"/>
              <w:jc w:val="center"/>
              <w:rPr>
                <w:b/>
                <w:bCs/>
                <w:rtl/>
              </w:rPr>
            </w:pPr>
          </w:p>
        </w:tc>
        <w:tc>
          <w:tcPr>
            <w:tcW w:w="1418" w:type="dxa"/>
            <w:vMerge/>
            <w:vAlign w:val="center"/>
          </w:tcPr>
          <w:p w:rsidR="000734AC" w:rsidRPr="00864CE2" w:rsidRDefault="000734AC" w:rsidP="000734AC">
            <w:pPr>
              <w:pStyle w:val="TabletextS5"/>
              <w:jc w:val="center"/>
              <w:rPr>
                <w:b/>
                <w:bCs/>
                <w:rtl/>
              </w:rPr>
            </w:pP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RAS</w:t>
            </w:r>
          </w:p>
        </w:tc>
        <w:tc>
          <w:tcPr>
            <w:tcW w:w="4554" w:type="dxa"/>
          </w:tcPr>
          <w:p w:rsidR="000734AC" w:rsidRPr="00864CE2" w:rsidRDefault="000734AC" w:rsidP="000734AC">
            <w:pPr>
              <w:pStyle w:val="TabletextS5"/>
              <w:rPr>
                <w:rtl/>
              </w:rPr>
            </w:pPr>
            <w:r w:rsidRPr="00864CE2">
              <w:rPr>
                <w:rtl/>
                <w:lang w:bidi="ar-SA"/>
              </w:rPr>
              <w:t xml:space="preserve">خدمة </w:t>
            </w:r>
            <w:r w:rsidR="00846B97" w:rsidRPr="00864CE2">
              <w:rPr>
                <w:rFonts w:hint="cs"/>
                <w:rtl/>
                <w:lang w:bidi="ar-SA"/>
              </w:rPr>
              <w:t xml:space="preserve">علم </w:t>
            </w:r>
            <w:r w:rsidRPr="00864CE2">
              <w:rPr>
                <w:rtl/>
                <w:lang w:bidi="ar-SA"/>
              </w:rPr>
              <w:t>الفلك الراديوي</w:t>
            </w:r>
          </w:p>
        </w:tc>
        <w:tc>
          <w:tcPr>
            <w:tcW w:w="1542" w:type="dxa"/>
            <w:vAlign w:val="center"/>
          </w:tcPr>
          <w:p w:rsidR="000734AC" w:rsidRPr="00864CE2" w:rsidRDefault="000734AC" w:rsidP="000734AC">
            <w:pPr>
              <w:pStyle w:val="TabletextS5"/>
              <w:bidi w:val="0"/>
              <w:jc w:val="center"/>
              <w:rPr>
                <w:rFonts w:ascii="CG Times" w:eastAsia="MS Mincho" w:hAnsi="CG Times"/>
                <w:rtl/>
                <w:cs/>
                <w:lang w:eastAsia="zh-CN" w:bidi="th-TH"/>
              </w:rPr>
            </w:pPr>
            <w:r w:rsidRPr="00864CE2">
              <w:rPr>
                <w:rFonts w:ascii="CG Times" w:eastAsia="MS Mincho" w:hAnsi="CG Times"/>
                <w:lang w:eastAsia="zh-CN" w:bidi="th-TH"/>
              </w:rPr>
              <w:t>Adjacent RAS band</w:t>
            </w:r>
          </w:p>
          <w:p w:rsidR="000734AC" w:rsidRPr="00864CE2" w:rsidRDefault="000734AC" w:rsidP="000734AC">
            <w:pPr>
              <w:pStyle w:val="TabletextS5"/>
              <w:bidi w:val="0"/>
              <w:jc w:val="center"/>
              <w:rPr>
                <w:rFonts w:ascii="CG Times" w:eastAsia="MS Mincho" w:hAnsi="CG Times"/>
                <w:lang w:eastAsia="zh-CN" w:bidi="fa-IR"/>
              </w:rPr>
            </w:pPr>
            <w:r w:rsidRPr="00864CE2">
              <w:rPr>
                <w:rFonts w:ascii="CG Times" w:eastAsia="MS Mincho" w:hAnsi="CG Times"/>
                <w:lang w:eastAsia="zh-CN" w:bidi="th-TH"/>
              </w:rPr>
              <w:t>(15.35-15.40 GHz)</w:t>
            </w:r>
          </w:p>
        </w:tc>
      </w:tr>
      <w:tr w:rsidR="000734AC" w:rsidRPr="00864CE2" w:rsidTr="00ED2282">
        <w:trPr>
          <w:jc w:val="center"/>
        </w:trPr>
        <w:tc>
          <w:tcPr>
            <w:tcW w:w="709" w:type="dxa"/>
            <w:vMerge w:val="restart"/>
            <w:vAlign w:val="center"/>
          </w:tcPr>
          <w:p w:rsidR="000734AC" w:rsidRPr="00864CE2" w:rsidRDefault="000734AC" w:rsidP="000734AC">
            <w:pPr>
              <w:pStyle w:val="TabletextS5"/>
              <w:jc w:val="center"/>
              <w:rPr>
                <w:b/>
                <w:bCs/>
                <w:rtl/>
              </w:rPr>
            </w:pPr>
            <w:r w:rsidRPr="00864CE2">
              <w:rPr>
                <w:b/>
                <w:bCs/>
              </w:rPr>
              <w:t>4</w:t>
            </w:r>
          </w:p>
        </w:tc>
        <w:tc>
          <w:tcPr>
            <w:tcW w:w="1418" w:type="dxa"/>
            <w:vMerge w:val="restart"/>
            <w:vAlign w:val="center"/>
          </w:tcPr>
          <w:p w:rsidR="000734AC" w:rsidRPr="00864CE2" w:rsidRDefault="000734AC" w:rsidP="000734AC">
            <w:pPr>
              <w:pStyle w:val="TabletextS5"/>
              <w:jc w:val="center"/>
              <w:rPr>
                <w:b/>
                <w:bCs/>
                <w:rtl/>
              </w:rPr>
            </w:pPr>
            <w:r w:rsidRPr="00864CE2">
              <w:rPr>
                <w:b/>
                <w:bCs/>
              </w:rPr>
              <w:t>15,35</w:t>
            </w:r>
            <w:r w:rsidRPr="00864CE2">
              <w:rPr>
                <w:b/>
                <w:bCs/>
              </w:rPr>
              <w:noBreakHyphen/>
              <w:t>14,8</w:t>
            </w:r>
          </w:p>
        </w:tc>
        <w:tc>
          <w:tcPr>
            <w:tcW w:w="1133" w:type="dxa"/>
            <w:vAlign w:val="center"/>
          </w:tcPr>
          <w:p w:rsidR="000734AC" w:rsidRPr="00864CE2" w:rsidRDefault="000734AC" w:rsidP="000734AC">
            <w:pPr>
              <w:pStyle w:val="TabletextS5"/>
              <w:rPr>
                <w:rFonts w:ascii="CG Times" w:eastAsia="MS Mincho" w:hAnsi="CG Times"/>
                <w:lang w:eastAsia="zh-CN"/>
              </w:rPr>
            </w:pPr>
            <w:r w:rsidRPr="00864CE2">
              <w:rPr>
                <w:rFonts w:ascii="CG Times" w:eastAsia="MS Mincho" w:hAnsi="CG Times"/>
                <w:lang w:eastAsia="zh-CN" w:bidi="th-TH"/>
              </w:rPr>
              <w:t>AMS/</w:t>
            </w:r>
            <w:r w:rsidRPr="00864CE2">
              <w:rPr>
                <w:rFonts w:ascii="CG Times" w:eastAsia="MS Mincho" w:hAnsi="CG Times"/>
                <w:lang w:eastAsia="zh-CN"/>
              </w:rPr>
              <w:t>MS</w:t>
            </w:r>
          </w:p>
        </w:tc>
        <w:tc>
          <w:tcPr>
            <w:tcW w:w="4554" w:type="dxa"/>
            <w:vAlign w:val="center"/>
          </w:tcPr>
          <w:p w:rsidR="000734AC" w:rsidRPr="00864CE2" w:rsidRDefault="000734AC" w:rsidP="000734AC">
            <w:pPr>
              <w:spacing w:before="40" w:after="40" w:line="260" w:lineRule="exact"/>
              <w:rPr>
                <w:sz w:val="20"/>
                <w:szCs w:val="26"/>
                <w:rtl/>
              </w:rPr>
            </w:pPr>
            <w:r w:rsidRPr="00864CE2">
              <w:rPr>
                <w:sz w:val="20"/>
                <w:szCs w:val="26"/>
                <w:rtl/>
              </w:rPr>
              <w:t>الخدمة المتنقلة</w:t>
            </w:r>
            <w:r w:rsidRPr="00864CE2">
              <w:rPr>
                <w:sz w:val="20"/>
                <w:szCs w:val="26"/>
              </w:rPr>
              <w:t>/</w:t>
            </w:r>
            <w:r w:rsidRPr="00864CE2">
              <w:rPr>
                <w:sz w:val="20"/>
                <w:szCs w:val="26"/>
                <w:rtl/>
              </w:rPr>
              <w:t>الخدمة المتنقلة للطيران</w:t>
            </w:r>
          </w:p>
        </w:tc>
        <w:tc>
          <w:tcPr>
            <w:tcW w:w="1542" w:type="dxa"/>
            <w:vAlign w:val="center"/>
          </w:tcPr>
          <w:p w:rsidR="000734AC" w:rsidRPr="00864CE2" w:rsidRDefault="000734AC" w:rsidP="000734AC">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Merge/>
            <w:vAlign w:val="center"/>
          </w:tcPr>
          <w:p w:rsidR="000734AC" w:rsidRPr="00864CE2" w:rsidRDefault="000734AC" w:rsidP="000734AC">
            <w:pPr>
              <w:pStyle w:val="TabletextS5"/>
              <w:jc w:val="center"/>
              <w:rPr>
                <w:b/>
                <w:bCs/>
                <w:rtl/>
              </w:rPr>
            </w:pPr>
          </w:p>
        </w:tc>
        <w:tc>
          <w:tcPr>
            <w:tcW w:w="1418" w:type="dxa"/>
            <w:vMerge/>
            <w:vAlign w:val="center"/>
          </w:tcPr>
          <w:p w:rsidR="000734AC" w:rsidRPr="00864CE2" w:rsidRDefault="000734AC" w:rsidP="000734AC">
            <w:pPr>
              <w:pStyle w:val="TabletextS5"/>
              <w:jc w:val="center"/>
              <w:rPr>
                <w:b/>
                <w:bCs/>
                <w:rtl/>
              </w:rPr>
            </w:pP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FS</w:t>
            </w:r>
          </w:p>
        </w:tc>
        <w:tc>
          <w:tcPr>
            <w:tcW w:w="4554" w:type="dxa"/>
          </w:tcPr>
          <w:p w:rsidR="000734AC" w:rsidRPr="00864CE2" w:rsidRDefault="000734AC" w:rsidP="000734AC">
            <w:pPr>
              <w:pStyle w:val="TabletextS5"/>
              <w:rPr>
                <w:rtl/>
              </w:rPr>
            </w:pPr>
            <w:r w:rsidRPr="00864CE2">
              <w:rPr>
                <w:rtl/>
                <w:lang w:bidi="ar-SA"/>
              </w:rPr>
              <w:t>الخدمة الثابتة</w:t>
            </w:r>
          </w:p>
        </w:tc>
        <w:tc>
          <w:tcPr>
            <w:tcW w:w="1542" w:type="dxa"/>
            <w:vAlign w:val="center"/>
          </w:tcPr>
          <w:p w:rsidR="000734AC" w:rsidRPr="00864CE2" w:rsidRDefault="000734AC" w:rsidP="000734AC">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Merge/>
            <w:vAlign w:val="center"/>
          </w:tcPr>
          <w:p w:rsidR="000734AC" w:rsidRPr="00864CE2" w:rsidRDefault="000734AC" w:rsidP="000734AC">
            <w:pPr>
              <w:pStyle w:val="TabletextS5"/>
              <w:jc w:val="center"/>
              <w:rPr>
                <w:b/>
                <w:bCs/>
                <w:rtl/>
              </w:rPr>
            </w:pPr>
          </w:p>
        </w:tc>
        <w:tc>
          <w:tcPr>
            <w:tcW w:w="1418" w:type="dxa"/>
            <w:vMerge/>
            <w:vAlign w:val="center"/>
          </w:tcPr>
          <w:p w:rsidR="000734AC" w:rsidRPr="00864CE2" w:rsidRDefault="000734AC" w:rsidP="000734AC">
            <w:pPr>
              <w:pStyle w:val="TabletextS5"/>
              <w:jc w:val="center"/>
              <w:rPr>
                <w:b/>
                <w:bCs/>
                <w:rtl/>
              </w:rPr>
            </w:pP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SRS</w:t>
            </w:r>
          </w:p>
        </w:tc>
        <w:tc>
          <w:tcPr>
            <w:tcW w:w="4554" w:type="dxa"/>
          </w:tcPr>
          <w:p w:rsidR="000734AC" w:rsidRPr="00864CE2" w:rsidRDefault="000734AC" w:rsidP="000734AC">
            <w:pPr>
              <w:pStyle w:val="TabletextS5"/>
              <w:rPr>
                <w:rtl/>
              </w:rPr>
            </w:pPr>
            <w:r w:rsidRPr="00864CE2">
              <w:rPr>
                <w:rtl/>
                <w:lang w:bidi="ar-SA"/>
              </w:rPr>
              <w:t>خدمة الأبحاث الفضائية</w:t>
            </w:r>
          </w:p>
        </w:tc>
        <w:tc>
          <w:tcPr>
            <w:tcW w:w="1542" w:type="dxa"/>
            <w:vAlign w:val="center"/>
          </w:tcPr>
          <w:p w:rsidR="000734AC" w:rsidRPr="00864CE2" w:rsidRDefault="000734AC" w:rsidP="000734AC">
            <w:pPr>
              <w:pStyle w:val="TabletextS5"/>
              <w:bidi w:val="0"/>
              <w:jc w:val="center"/>
              <w:rPr>
                <w:rFonts w:ascii="CG Times" w:eastAsia="MS Mincho" w:hAnsi="CG Times"/>
                <w:rtl/>
                <w:lang w:eastAsia="zh-CN" w:bidi="fa-IR"/>
              </w:rPr>
            </w:pPr>
            <w:r w:rsidRPr="00864CE2">
              <w:rPr>
                <w:rFonts w:ascii="CG Times" w:eastAsia="MS Mincho" w:hAnsi="CG Times"/>
                <w:lang w:eastAsia="zh-CN" w:bidi="th-TH"/>
              </w:rPr>
              <w:t>U/D</w:t>
            </w:r>
          </w:p>
        </w:tc>
      </w:tr>
      <w:tr w:rsidR="000734AC" w:rsidRPr="00864CE2" w:rsidTr="00ED2282">
        <w:trPr>
          <w:jc w:val="center"/>
        </w:trPr>
        <w:tc>
          <w:tcPr>
            <w:tcW w:w="709" w:type="dxa"/>
            <w:vAlign w:val="center"/>
          </w:tcPr>
          <w:p w:rsidR="000734AC" w:rsidRPr="00864CE2" w:rsidRDefault="000734AC" w:rsidP="000734AC">
            <w:pPr>
              <w:pStyle w:val="TabletextS5"/>
              <w:jc w:val="center"/>
              <w:rPr>
                <w:b/>
                <w:bCs/>
                <w:rtl/>
              </w:rPr>
            </w:pPr>
            <w:r w:rsidRPr="00864CE2">
              <w:rPr>
                <w:b/>
                <w:bCs/>
              </w:rPr>
              <w:lastRenderedPageBreak/>
              <w:t>5</w:t>
            </w:r>
          </w:p>
        </w:tc>
        <w:tc>
          <w:tcPr>
            <w:tcW w:w="1418" w:type="dxa"/>
            <w:vAlign w:val="center"/>
          </w:tcPr>
          <w:p w:rsidR="000734AC" w:rsidRPr="00864CE2" w:rsidRDefault="000734AC" w:rsidP="000734AC">
            <w:pPr>
              <w:pStyle w:val="TabletextS5"/>
              <w:jc w:val="center"/>
              <w:rPr>
                <w:b/>
                <w:bCs/>
                <w:rtl/>
              </w:rPr>
            </w:pPr>
            <w:r w:rsidRPr="00864CE2">
              <w:rPr>
                <w:b/>
                <w:bCs/>
              </w:rPr>
              <w:t>15,4</w:t>
            </w:r>
            <w:r w:rsidRPr="00864CE2">
              <w:rPr>
                <w:b/>
                <w:bCs/>
              </w:rPr>
              <w:noBreakHyphen/>
              <w:t>15,35</w:t>
            </w:r>
          </w:p>
        </w:tc>
        <w:tc>
          <w:tcPr>
            <w:tcW w:w="7229" w:type="dxa"/>
            <w:gridSpan w:val="3"/>
            <w:vAlign w:val="center"/>
          </w:tcPr>
          <w:p w:rsidR="000734AC" w:rsidRPr="00864CE2" w:rsidRDefault="00846B97" w:rsidP="00886C79">
            <w:pPr>
              <w:pStyle w:val="TabletextS5"/>
              <w:jc w:val="both"/>
              <w:rPr>
                <w:rtl/>
              </w:rPr>
            </w:pPr>
            <w:r w:rsidRPr="00864CE2">
              <w:rPr>
                <w:rFonts w:eastAsia="MS Mincho"/>
                <w:rtl/>
                <w:lang w:eastAsia="zh-CN"/>
              </w:rPr>
              <w:t>استُبعِدَ نطاق التردد</w:t>
            </w:r>
            <w:r w:rsidR="000734AC" w:rsidRPr="00864CE2">
              <w:rPr>
                <w:rFonts w:eastAsia="MS Mincho"/>
                <w:rtl/>
                <w:lang w:eastAsia="zh-CN"/>
              </w:rPr>
              <w:t xml:space="preserve"> </w:t>
            </w:r>
            <w:r w:rsidR="000734AC" w:rsidRPr="00864CE2">
              <w:rPr>
                <w:rFonts w:eastAsia="MS Mincho"/>
                <w:lang w:eastAsia="zh-CN" w:bidi="th-TH"/>
              </w:rPr>
              <w:t>GHz 15,4-15,35</w:t>
            </w:r>
            <w:r w:rsidR="000734AC" w:rsidRPr="00864CE2">
              <w:rPr>
                <w:rFonts w:eastAsia="MS Mincho"/>
                <w:rtl/>
                <w:lang w:eastAsia="zh-CN"/>
              </w:rPr>
              <w:t xml:space="preserve"> من دراسة إمكانية توزيع طيف إضافي للخدمة الثابتة الساتلية في</w:t>
            </w:r>
            <w:r w:rsidR="00886C79">
              <w:rPr>
                <w:rFonts w:eastAsia="MS Mincho" w:hint="cs"/>
                <w:rtl/>
                <w:lang w:eastAsia="zh-CN"/>
              </w:rPr>
              <w:t> </w:t>
            </w:r>
            <w:r w:rsidR="000734AC" w:rsidRPr="00864CE2">
              <w:rPr>
                <w:rFonts w:eastAsia="MS Mincho"/>
                <w:rtl/>
                <w:lang w:eastAsia="zh-CN"/>
              </w:rPr>
              <w:t xml:space="preserve">المدار المستقر بالنسبة إلى الأرض وفقاً للقرار </w:t>
            </w:r>
            <w:r w:rsidR="000734AC" w:rsidRPr="00864CE2">
              <w:rPr>
                <w:rFonts w:eastAsia="MS Mincho"/>
                <w:b/>
                <w:bCs/>
                <w:lang w:eastAsia="zh-CN" w:bidi="th-TH"/>
              </w:rPr>
              <w:t>152</w:t>
            </w:r>
            <w:r w:rsidR="00B73F83" w:rsidRPr="00864CE2">
              <w:rPr>
                <w:rFonts w:eastAsia="MS Mincho"/>
                <w:b/>
                <w:bCs/>
                <w:lang w:eastAsia="zh-CN" w:bidi="th-TH"/>
              </w:rPr>
              <w:t> </w:t>
            </w:r>
            <w:r w:rsidR="000734AC" w:rsidRPr="00864CE2">
              <w:rPr>
                <w:rFonts w:eastAsia="MS Mincho"/>
                <w:b/>
                <w:bCs/>
                <w:lang w:eastAsia="zh-CN" w:bidi="th-TH"/>
              </w:rPr>
              <w:t>(WRC-12)</w:t>
            </w:r>
          </w:p>
        </w:tc>
      </w:tr>
      <w:tr w:rsidR="000734AC" w:rsidRPr="00864CE2" w:rsidTr="00ED2282">
        <w:trPr>
          <w:jc w:val="center"/>
        </w:trPr>
        <w:tc>
          <w:tcPr>
            <w:tcW w:w="709" w:type="dxa"/>
            <w:vAlign w:val="center"/>
          </w:tcPr>
          <w:p w:rsidR="000734AC" w:rsidRPr="00864CE2" w:rsidRDefault="000734AC" w:rsidP="000734AC">
            <w:pPr>
              <w:pStyle w:val="TabletextS5"/>
              <w:jc w:val="center"/>
              <w:rPr>
                <w:b/>
                <w:bCs/>
                <w:rtl/>
              </w:rPr>
            </w:pPr>
            <w:r w:rsidRPr="00864CE2">
              <w:rPr>
                <w:b/>
                <w:bCs/>
              </w:rPr>
              <w:t>6</w:t>
            </w:r>
          </w:p>
        </w:tc>
        <w:tc>
          <w:tcPr>
            <w:tcW w:w="1418" w:type="dxa"/>
            <w:vAlign w:val="center"/>
          </w:tcPr>
          <w:p w:rsidR="000734AC" w:rsidRPr="00864CE2" w:rsidRDefault="000734AC" w:rsidP="000734AC">
            <w:pPr>
              <w:pStyle w:val="TabletextS5"/>
              <w:jc w:val="center"/>
              <w:rPr>
                <w:b/>
                <w:bCs/>
                <w:rtl/>
              </w:rPr>
            </w:pPr>
            <w:r w:rsidRPr="00864CE2">
              <w:rPr>
                <w:b/>
                <w:bCs/>
              </w:rPr>
              <w:t>15,7</w:t>
            </w:r>
            <w:r w:rsidRPr="00864CE2">
              <w:rPr>
                <w:b/>
                <w:bCs/>
              </w:rPr>
              <w:noBreakHyphen/>
              <w:t>15,4</w:t>
            </w:r>
          </w:p>
        </w:tc>
        <w:tc>
          <w:tcPr>
            <w:tcW w:w="1133" w:type="dxa"/>
            <w:vAlign w:val="center"/>
          </w:tcPr>
          <w:p w:rsidR="000734AC" w:rsidRPr="00864CE2" w:rsidRDefault="000734AC" w:rsidP="000734AC">
            <w:pPr>
              <w:pStyle w:val="TabletextS5"/>
              <w:rPr>
                <w:rFonts w:ascii="CG Times" w:eastAsia="MS Mincho" w:hAnsi="CG Times"/>
                <w:lang w:eastAsia="zh-CN" w:bidi="th-TH"/>
              </w:rPr>
            </w:pPr>
            <w:r w:rsidRPr="00864CE2">
              <w:rPr>
                <w:rFonts w:ascii="CG Times" w:eastAsia="MS Mincho" w:hAnsi="CG Times"/>
                <w:lang w:eastAsia="zh-CN" w:bidi="th-TH"/>
              </w:rPr>
              <w:t>RLS</w:t>
            </w:r>
          </w:p>
        </w:tc>
        <w:tc>
          <w:tcPr>
            <w:tcW w:w="4554" w:type="dxa"/>
          </w:tcPr>
          <w:p w:rsidR="000734AC" w:rsidRPr="00864CE2" w:rsidRDefault="000734AC" w:rsidP="000734AC">
            <w:pPr>
              <w:pStyle w:val="TabletextS5"/>
              <w:rPr>
                <w:rtl/>
              </w:rPr>
            </w:pPr>
            <w:r w:rsidRPr="00864CE2">
              <w:rPr>
                <w:rtl/>
                <w:lang w:bidi="ar-SA"/>
              </w:rPr>
              <w:t>خدمة التحديد الراديوي للموقع</w:t>
            </w:r>
          </w:p>
        </w:tc>
        <w:tc>
          <w:tcPr>
            <w:tcW w:w="1542" w:type="dxa"/>
            <w:vAlign w:val="center"/>
          </w:tcPr>
          <w:p w:rsidR="000734AC" w:rsidRPr="00864CE2" w:rsidRDefault="000734AC" w:rsidP="000734AC">
            <w:pPr>
              <w:pStyle w:val="TabletextS5"/>
              <w:bidi w:val="0"/>
              <w:jc w:val="center"/>
              <w:rPr>
                <w:rFonts w:ascii="CG Times" w:eastAsia="MS Mincho" w:hAnsi="CG Times"/>
                <w:lang w:eastAsia="zh-CN" w:bidi="th-TH"/>
              </w:rPr>
            </w:pPr>
            <w:r w:rsidRPr="00864CE2">
              <w:rPr>
                <w:rFonts w:ascii="CG Times" w:eastAsia="MS Mincho" w:hAnsi="CG Times"/>
                <w:lang w:eastAsia="zh-CN" w:bidi="th-TH"/>
              </w:rPr>
              <w:t>U/D</w:t>
            </w:r>
          </w:p>
        </w:tc>
      </w:tr>
      <w:tr w:rsidR="000734AC" w:rsidRPr="00864CE2" w:rsidTr="00ED2282">
        <w:trPr>
          <w:jc w:val="center"/>
        </w:trPr>
        <w:tc>
          <w:tcPr>
            <w:tcW w:w="709" w:type="dxa"/>
            <w:vAlign w:val="center"/>
          </w:tcPr>
          <w:p w:rsidR="000734AC" w:rsidRPr="00864CE2" w:rsidRDefault="000734AC" w:rsidP="000734AC">
            <w:pPr>
              <w:pStyle w:val="TabletextS5"/>
              <w:jc w:val="center"/>
              <w:rPr>
                <w:b/>
                <w:bCs/>
                <w:rtl/>
              </w:rPr>
            </w:pPr>
            <w:r w:rsidRPr="00864CE2">
              <w:rPr>
                <w:b/>
                <w:bCs/>
              </w:rPr>
              <w:t>7</w:t>
            </w:r>
          </w:p>
        </w:tc>
        <w:tc>
          <w:tcPr>
            <w:tcW w:w="1418" w:type="dxa"/>
            <w:vAlign w:val="center"/>
          </w:tcPr>
          <w:p w:rsidR="000734AC" w:rsidRPr="00864CE2" w:rsidRDefault="000734AC" w:rsidP="000734AC">
            <w:pPr>
              <w:pStyle w:val="TabletextS5"/>
              <w:jc w:val="center"/>
              <w:rPr>
                <w:b/>
                <w:bCs/>
                <w:rtl/>
              </w:rPr>
            </w:pPr>
            <w:r w:rsidRPr="00864CE2">
              <w:rPr>
                <w:b/>
                <w:bCs/>
              </w:rPr>
              <w:t>16,6</w:t>
            </w:r>
            <w:r w:rsidRPr="00864CE2">
              <w:rPr>
                <w:b/>
                <w:bCs/>
              </w:rPr>
              <w:noBreakHyphen/>
              <w:t>15,7</w:t>
            </w: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ARNS</w:t>
            </w:r>
          </w:p>
        </w:tc>
        <w:tc>
          <w:tcPr>
            <w:tcW w:w="4554" w:type="dxa"/>
          </w:tcPr>
          <w:p w:rsidR="000734AC" w:rsidRPr="00864CE2" w:rsidRDefault="000734AC" w:rsidP="000734AC">
            <w:pPr>
              <w:pStyle w:val="TabletextS5"/>
              <w:rPr>
                <w:rtl/>
              </w:rPr>
            </w:pPr>
            <w:r w:rsidRPr="00864CE2">
              <w:rPr>
                <w:rtl/>
                <w:lang w:bidi="ar-SA"/>
              </w:rPr>
              <w:t>خدمة الملاحة الراديوية للطيران</w:t>
            </w:r>
          </w:p>
        </w:tc>
        <w:tc>
          <w:tcPr>
            <w:tcW w:w="1542" w:type="dxa"/>
            <w:vAlign w:val="center"/>
          </w:tcPr>
          <w:p w:rsidR="000734AC" w:rsidRPr="00864CE2" w:rsidRDefault="000734AC" w:rsidP="000734AC">
            <w:pPr>
              <w:pStyle w:val="TabletextS5"/>
              <w:bidi w:val="0"/>
              <w:jc w:val="center"/>
              <w:rPr>
                <w:rFonts w:ascii="CG Times" w:eastAsia="MS Mincho" w:hAnsi="CG Times"/>
                <w:rtl/>
                <w:cs/>
                <w:lang w:eastAsia="zh-CN" w:bidi="th-TH"/>
              </w:rPr>
            </w:pPr>
            <w:r w:rsidRPr="00864CE2">
              <w:rPr>
                <w:rFonts w:ascii="CG Times" w:eastAsia="MS Mincho" w:hAnsi="CG Times"/>
                <w:lang w:eastAsia="zh-CN" w:bidi="th-TH"/>
              </w:rPr>
              <w:t>U</w:t>
            </w:r>
          </w:p>
        </w:tc>
      </w:tr>
      <w:tr w:rsidR="000734AC" w:rsidRPr="00864CE2" w:rsidTr="00ED2282">
        <w:trPr>
          <w:jc w:val="center"/>
        </w:trPr>
        <w:tc>
          <w:tcPr>
            <w:tcW w:w="709" w:type="dxa"/>
            <w:vAlign w:val="center"/>
          </w:tcPr>
          <w:p w:rsidR="000734AC" w:rsidRPr="00864CE2" w:rsidRDefault="000734AC" w:rsidP="000734AC">
            <w:pPr>
              <w:pStyle w:val="TabletextS5"/>
              <w:jc w:val="center"/>
              <w:rPr>
                <w:b/>
                <w:bCs/>
                <w:rtl/>
              </w:rPr>
            </w:pPr>
            <w:r w:rsidRPr="00864CE2">
              <w:rPr>
                <w:b/>
                <w:bCs/>
              </w:rPr>
              <w:t>8</w:t>
            </w:r>
          </w:p>
        </w:tc>
        <w:tc>
          <w:tcPr>
            <w:tcW w:w="1418" w:type="dxa"/>
            <w:vAlign w:val="center"/>
          </w:tcPr>
          <w:p w:rsidR="000734AC" w:rsidRPr="00864CE2" w:rsidRDefault="000734AC" w:rsidP="000734AC">
            <w:pPr>
              <w:pStyle w:val="TabletextS5"/>
              <w:jc w:val="center"/>
              <w:rPr>
                <w:b/>
                <w:bCs/>
                <w:rtl/>
              </w:rPr>
            </w:pPr>
            <w:r w:rsidRPr="00864CE2">
              <w:rPr>
                <w:b/>
                <w:bCs/>
              </w:rPr>
              <w:t>17</w:t>
            </w:r>
            <w:r w:rsidRPr="00864CE2">
              <w:rPr>
                <w:b/>
                <w:bCs/>
              </w:rPr>
              <w:noBreakHyphen/>
              <w:t>16,6</w:t>
            </w:r>
          </w:p>
        </w:tc>
        <w:tc>
          <w:tcPr>
            <w:tcW w:w="1133" w:type="dxa"/>
            <w:vAlign w:val="center"/>
          </w:tcPr>
          <w:p w:rsidR="000734AC" w:rsidRPr="00864CE2" w:rsidRDefault="000734AC" w:rsidP="000734AC">
            <w:pPr>
              <w:pStyle w:val="TabletextS5"/>
              <w:rPr>
                <w:rFonts w:ascii="CG Times" w:eastAsia="MS Mincho" w:hAnsi="CG Times"/>
                <w:rtl/>
                <w:cs/>
                <w:lang w:eastAsia="zh-CN" w:bidi="th-TH"/>
              </w:rPr>
            </w:pPr>
            <w:r w:rsidRPr="00864CE2">
              <w:rPr>
                <w:rFonts w:ascii="CG Times" w:eastAsia="MS Mincho" w:hAnsi="CG Times"/>
                <w:lang w:eastAsia="zh-CN" w:bidi="th-TH"/>
              </w:rPr>
              <w:t>RLS</w:t>
            </w:r>
          </w:p>
        </w:tc>
        <w:tc>
          <w:tcPr>
            <w:tcW w:w="4554" w:type="dxa"/>
          </w:tcPr>
          <w:p w:rsidR="000734AC" w:rsidRPr="00864CE2" w:rsidRDefault="000734AC" w:rsidP="000734AC">
            <w:pPr>
              <w:pStyle w:val="TabletextS5"/>
              <w:rPr>
                <w:rtl/>
              </w:rPr>
            </w:pPr>
            <w:r w:rsidRPr="00864CE2">
              <w:rPr>
                <w:rtl/>
                <w:lang w:bidi="ar-SA"/>
              </w:rPr>
              <w:t>خدمة التحديد الراديوي للموقع</w:t>
            </w:r>
          </w:p>
        </w:tc>
        <w:tc>
          <w:tcPr>
            <w:tcW w:w="1542" w:type="dxa"/>
            <w:vAlign w:val="center"/>
          </w:tcPr>
          <w:p w:rsidR="000734AC" w:rsidRPr="00864CE2" w:rsidRDefault="000734AC" w:rsidP="000734AC">
            <w:pPr>
              <w:pStyle w:val="TabletextS5"/>
              <w:bidi w:val="0"/>
              <w:jc w:val="center"/>
              <w:rPr>
                <w:rFonts w:ascii="CG Times" w:eastAsia="MS Mincho" w:hAnsi="CG Times"/>
                <w:rtl/>
                <w:cs/>
                <w:lang w:eastAsia="zh-CN" w:bidi="th-TH"/>
              </w:rPr>
            </w:pPr>
            <w:r w:rsidRPr="00864CE2">
              <w:rPr>
                <w:rFonts w:ascii="CG Times" w:eastAsia="MS Mincho" w:hAnsi="CG Times"/>
                <w:lang w:eastAsia="zh-CN" w:bidi="th-TH"/>
              </w:rPr>
              <w:t>U/D</w:t>
            </w:r>
          </w:p>
        </w:tc>
      </w:tr>
    </w:tbl>
    <w:p w:rsidR="005B5C45" w:rsidRPr="005B5C45" w:rsidRDefault="005B5C45" w:rsidP="0074408A">
      <w:pPr>
        <w:pStyle w:val="Headingb"/>
        <w:rPr>
          <w:rtl/>
        </w:rPr>
      </w:pPr>
      <w:r>
        <w:rPr>
          <w:rFonts w:hint="cs"/>
          <w:rtl/>
        </w:rPr>
        <w:t>مقت</w:t>
      </w:r>
      <w:r w:rsidRPr="005B5C45">
        <w:rPr>
          <w:rFonts w:hint="cs"/>
          <w:rtl/>
        </w:rPr>
        <w:t xml:space="preserve">رحات إيران بشأن البندين </w:t>
      </w:r>
      <w:r w:rsidRPr="005B5C45">
        <w:t>1.6.1</w:t>
      </w:r>
      <w:r w:rsidRPr="005B5C45">
        <w:rPr>
          <w:rFonts w:hint="cs"/>
          <w:rtl/>
        </w:rPr>
        <w:t xml:space="preserve"> و</w:t>
      </w:r>
      <w:r w:rsidRPr="005B5C45">
        <w:t>2.6.1</w:t>
      </w:r>
      <w:r w:rsidRPr="005B5C45">
        <w:rPr>
          <w:rFonts w:hint="cs"/>
          <w:rtl/>
        </w:rPr>
        <w:t xml:space="preserve"> من جدول الأعمال</w:t>
      </w:r>
    </w:p>
    <w:p w:rsidR="00846B97" w:rsidRPr="00864CE2" w:rsidRDefault="00846B97" w:rsidP="006F1BAD">
      <w:pPr>
        <w:rPr>
          <w:rtl/>
          <w:lang w:bidi="ar-EG"/>
        </w:rPr>
      </w:pPr>
      <w:r w:rsidRPr="00864CE2">
        <w:rPr>
          <w:rFonts w:hint="cs"/>
          <w:rtl/>
        </w:rPr>
        <w:t xml:space="preserve">تابعت هذه الإدارة أنشطة لجنة الدراسات </w:t>
      </w:r>
      <w:r w:rsidRPr="00864CE2">
        <w:t>4</w:t>
      </w:r>
      <w:r w:rsidRPr="00864CE2">
        <w:rPr>
          <w:rFonts w:hint="cs"/>
          <w:rtl/>
          <w:lang w:bidi="ar-EG"/>
        </w:rPr>
        <w:t xml:space="preserve"> لقطاع الاتصالات الراديوية و</w:t>
      </w:r>
      <w:r w:rsidR="00FF401A" w:rsidRPr="00864CE2">
        <w:rPr>
          <w:rFonts w:hint="cs"/>
          <w:rtl/>
          <w:lang w:bidi="ar-EG"/>
        </w:rPr>
        <w:t xml:space="preserve">المرحلة الثانية من </w:t>
      </w:r>
      <w:r w:rsidRPr="00864CE2">
        <w:rPr>
          <w:rFonts w:hint="cs"/>
          <w:rtl/>
          <w:lang w:bidi="ar-EG"/>
        </w:rPr>
        <w:t>الاجتماع التحضيري للمؤتمر</w:t>
      </w:r>
      <w:r w:rsidR="00FF401A" w:rsidRPr="00864CE2">
        <w:rPr>
          <w:rFonts w:hint="cs"/>
          <w:rtl/>
          <w:lang w:bidi="ar-EG"/>
        </w:rPr>
        <w:t>،</w:t>
      </w:r>
      <w:r w:rsidRPr="00864CE2">
        <w:rPr>
          <w:rFonts w:hint="cs"/>
          <w:rtl/>
          <w:lang w:bidi="ar-EG"/>
        </w:rPr>
        <w:t xml:space="preserve"> وهي ترى أن:</w:t>
      </w:r>
    </w:p>
    <w:p w:rsidR="00FF401A" w:rsidRPr="00864CE2" w:rsidRDefault="00846B97" w:rsidP="00886C79">
      <w:pPr>
        <w:pStyle w:val="enumlev1"/>
        <w:rPr>
          <w:rtl/>
          <w:lang w:bidi="ar-EG"/>
        </w:rPr>
      </w:pPr>
      <w:r w:rsidRPr="00864CE2">
        <w:rPr>
          <w:rFonts w:hint="cs"/>
          <w:rtl/>
          <w:lang w:bidi="ar-EG"/>
        </w:rPr>
        <w:t>-</w:t>
      </w:r>
      <w:r w:rsidRPr="00864CE2">
        <w:rPr>
          <w:rtl/>
          <w:lang w:bidi="ar-EG"/>
        </w:rPr>
        <w:tab/>
      </w:r>
      <w:r w:rsidRPr="00864CE2">
        <w:rPr>
          <w:rFonts w:hint="cs"/>
          <w:rtl/>
          <w:lang w:bidi="ar-EG"/>
        </w:rPr>
        <w:t xml:space="preserve">النطاق </w:t>
      </w:r>
      <w:r w:rsidRPr="00864CE2">
        <w:rPr>
          <w:lang w:bidi="ar-EG"/>
        </w:rPr>
        <w:t>GHz 14,8-14,5</w:t>
      </w:r>
      <w:r w:rsidR="005B5C45">
        <w:rPr>
          <w:rFonts w:hint="cs"/>
          <w:rtl/>
          <w:lang w:bidi="ar-EG"/>
        </w:rPr>
        <w:t xml:space="preserve"> يستعمل حالياً في وصلات تغذية ا</w:t>
      </w:r>
      <w:r w:rsidRPr="00864CE2">
        <w:rPr>
          <w:rFonts w:hint="cs"/>
          <w:rtl/>
          <w:lang w:bidi="ar-EG"/>
        </w:rPr>
        <w:t>لخدمة الإذاعية الساتلية في خطة الإقليمين</w:t>
      </w:r>
      <w:r w:rsidR="00886C79">
        <w:rPr>
          <w:rFonts w:hint="eastAsia"/>
          <w:rtl/>
          <w:lang w:bidi="ar-EG"/>
        </w:rPr>
        <w:t> </w:t>
      </w:r>
      <w:r w:rsidRPr="00864CE2">
        <w:rPr>
          <w:lang w:bidi="ar-EG"/>
        </w:rPr>
        <w:t>1</w:t>
      </w:r>
      <w:r w:rsidRPr="00864CE2">
        <w:rPr>
          <w:rFonts w:hint="cs"/>
          <w:rtl/>
          <w:lang w:bidi="ar-EG"/>
        </w:rPr>
        <w:t xml:space="preserve"> و</w:t>
      </w:r>
      <w:r w:rsidR="005B5C45">
        <w:rPr>
          <w:lang w:bidi="ar-EG"/>
        </w:rPr>
        <w:t>3</w:t>
      </w:r>
      <w:r w:rsidRPr="00864CE2">
        <w:rPr>
          <w:rFonts w:hint="cs"/>
          <w:rtl/>
          <w:lang w:bidi="ar-EG"/>
        </w:rPr>
        <w:t>، ما</w:t>
      </w:r>
      <w:r w:rsidR="00886C79">
        <w:rPr>
          <w:rFonts w:hint="eastAsia"/>
          <w:rtl/>
          <w:lang w:bidi="ar-EG"/>
        </w:rPr>
        <w:t> </w:t>
      </w:r>
      <w:r w:rsidRPr="00864CE2">
        <w:rPr>
          <w:rFonts w:hint="cs"/>
          <w:rtl/>
          <w:lang w:bidi="ar-EG"/>
        </w:rPr>
        <w:t>عدا أوروبا. (انظر</w:t>
      </w:r>
      <w:r w:rsidR="00FF401A" w:rsidRPr="00864CE2">
        <w:rPr>
          <w:rFonts w:hint="cs"/>
          <w:rtl/>
          <w:lang w:bidi="ar-EG"/>
        </w:rPr>
        <w:t xml:space="preserve"> الوثيقة </w:t>
      </w:r>
      <w:r w:rsidR="00FF401A" w:rsidRPr="00864CE2">
        <w:rPr>
          <w:lang w:bidi="ar-EG"/>
        </w:rPr>
        <w:t>CPM15-2/41-A</w:t>
      </w:r>
      <w:r w:rsidR="00FF401A" w:rsidRPr="00864CE2">
        <w:rPr>
          <w:rFonts w:hint="cs"/>
          <w:rtl/>
          <w:lang w:bidi="ar-EG"/>
        </w:rPr>
        <w:t>)</w:t>
      </w:r>
    </w:p>
    <w:p w:rsidR="00FF401A" w:rsidRPr="00864CE2" w:rsidRDefault="00FF401A" w:rsidP="00886C79">
      <w:pPr>
        <w:pStyle w:val="enumlev1"/>
        <w:rPr>
          <w:rtl/>
          <w:lang w:bidi="ar-EG"/>
        </w:rPr>
      </w:pPr>
      <w:r w:rsidRPr="00864CE2">
        <w:rPr>
          <w:rFonts w:hint="cs"/>
          <w:rtl/>
          <w:lang w:bidi="ar-EG"/>
        </w:rPr>
        <w:t>-</w:t>
      </w:r>
      <w:r w:rsidRPr="00864CE2">
        <w:rPr>
          <w:rFonts w:hint="cs"/>
          <w:rtl/>
          <w:lang w:bidi="ar-EG"/>
        </w:rPr>
        <w:tab/>
        <w:t xml:space="preserve">أن قيم </w:t>
      </w:r>
      <w:r w:rsidRPr="00864CE2">
        <w:rPr>
          <w:lang w:bidi="ar-EG"/>
        </w:rPr>
        <w:t>EPM</w:t>
      </w:r>
      <w:r w:rsidRPr="00864CE2">
        <w:rPr>
          <w:rFonts w:hint="cs"/>
          <w:rtl/>
          <w:lang w:bidi="ar-EG"/>
        </w:rPr>
        <w:t xml:space="preserve"> الحالية لتخصيصات الخطة في بعض البلدان في النطاق </w:t>
      </w:r>
      <w:r w:rsidRPr="00864CE2">
        <w:rPr>
          <w:lang w:bidi="ar-EG"/>
        </w:rPr>
        <w:t>GHz 14,8-14,5</w:t>
      </w:r>
      <w:r w:rsidR="005B5C45">
        <w:rPr>
          <w:rFonts w:hint="cs"/>
          <w:rtl/>
          <w:lang w:bidi="ar-EG"/>
        </w:rPr>
        <w:t xml:space="preserve"> قد انخفضت وأن أ</w:t>
      </w:r>
      <w:r w:rsidRPr="00864CE2">
        <w:rPr>
          <w:rFonts w:hint="cs"/>
          <w:rtl/>
          <w:lang w:bidi="ar-EG"/>
        </w:rPr>
        <w:t xml:space="preserve">ي انخفاض آخر في قيم </w:t>
      </w:r>
      <w:r w:rsidRPr="00864CE2">
        <w:rPr>
          <w:lang w:bidi="ar-EG"/>
        </w:rPr>
        <w:t>EPM</w:t>
      </w:r>
      <w:r w:rsidRPr="00864CE2">
        <w:rPr>
          <w:rFonts w:hint="cs"/>
          <w:rtl/>
          <w:lang w:bidi="ar-EG"/>
        </w:rPr>
        <w:t xml:space="preserve"> قد يؤدي إلى شبكات غير ممكنة عملياً مما </w:t>
      </w:r>
      <w:r w:rsidR="005B5C45">
        <w:rPr>
          <w:rFonts w:hint="cs"/>
          <w:rtl/>
          <w:lang w:bidi="ar-EG"/>
        </w:rPr>
        <w:t xml:space="preserve">يناقض </w:t>
      </w:r>
      <w:r w:rsidRPr="00864CE2">
        <w:rPr>
          <w:rFonts w:hint="cs"/>
          <w:rtl/>
          <w:lang w:bidi="ar-EG"/>
        </w:rPr>
        <w:t>مفهوم التخطيط. (انظر</w:t>
      </w:r>
      <w:r w:rsidR="00886C79">
        <w:rPr>
          <w:rFonts w:hint="eastAsia"/>
          <w:rtl/>
          <w:lang w:bidi="ar-EG"/>
        </w:rPr>
        <w:t> </w:t>
      </w:r>
      <w:r w:rsidRPr="00864CE2">
        <w:rPr>
          <w:rFonts w:hint="cs"/>
          <w:rtl/>
          <w:lang w:bidi="ar-EG"/>
        </w:rPr>
        <w:t>الوثيقة</w:t>
      </w:r>
      <w:r w:rsidR="00A76C2A">
        <w:rPr>
          <w:rFonts w:hint="eastAsia"/>
          <w:rtl/>
          <w:lang w:bidi="ar-EG"/>
        </w:rPr>
        <w:t> </w:t>
      </w:r>
      <w:r w:rsidRPr="00864CE2">
        <w:rPr>
          <w:lang w:bidi="ar-EG"/>
        </w:rPr>
        <w:t>CPM15-2/41</w:t>
      </w:r>
      <w:r w:rsidR="00EB7472">
        <w:rPr>
          <w:lang w:bidi="ar-EG"/>
        </w:rPr>
        <w:noBreakHyphen/>
      </w:r>
      <w:r w:rsidRPr="00864CE2">
        <w:rPr>
          <w:lang w:bidi="ar-EG"/>
        </w:rPr>
        <w:t>A</w:t>
      </w:r>
      <w:r w:rsidRPr="00864CE2">
        <w:rPr>
          <w:rFonts w:hint="cs"/>
          <w:rtl/>
          <w:lang w:bidi="ar-EG"/>
        </w:rPr>
        <w:t>)</w:t>
      </w:r>
    </w:p>
    <w:p w:rsidR="00FF401A" w:rsidRPr="007E784D" w:rsidRDefault="00FF401A" w:rsidP="00EB7472">
      <w:pPr>
        <w:pStyle w:val="enumlev1"/>
        <w:rPr>
          <w:spacing w:val="-4"/>
          <w:rtl/>
          <w:lang w:bidi="ar-EG"/>
        </w:rPr>
      </w:pPr>
      <w:r w:rsidRPr="007E784D">
        <w:rPr>
          <w:rFonts w:hint="cs"/>
          <w:spacing w:val="-4"/>
          <w:rtl/>
          <w:lang w:bidi="ar-EG"/>
        </w:rPr>
        <w:t>-</w:t>
      </w:r>
      <w:r w:rsidRPr="007E784D">
        <w:rPr>
          <w:rFonts w:hint="cs"/>
          <w:spacing w:val="-4"/>
          <w:rtl/>
          <w:lang w:bidi="ar-EG"/>
        </w:rPr>
        <w:tab/>
        <w:t>أن دراسات الجدوى التي أجراها قطاع الاتصالات الراديوية لا تظهر أي توافق تا</w:t>
      </w:r>
      <w:r w:rsidR="005B5C45" w:rsidRPr="007E784D">
        <w:rPr>
          <w:rFonts w:hint="cs"/>
          <w:spacing w:val="-4"/>
          <w:rtl/>
          <w:lang w:bidi="ar-EG"/>
        </w:rPr>
        <w:t>م في تقاسم هذا النطاق مع وصلة تغذية ا</w:t>
      </w:r>
      <w:r w:rsidRPr="007E784D">
        <w:rPr>
          <w:rFonts w:hint="cs"/>
          <w:spacing w:val="-4"/>
          <w:rtl/>
          <w:lang w:bidi="ar-EG"/>
        </w:rPr>
        <w:t xml:space="preserve">لخدمة </w:t>
      </w:r>
      <w:r w:rsidR="005B5C45" w:rsidRPr="007E784D">
        <w:rPr>
          <w:rFonts w:hint="cs"/>
          <w:spacing w:val="-4"/>
          <w:rtl/>
          <w:lang w:bidi="ar-EG"/>
        </w:rPr>
        <w:t>الثابتة الساتلية</w:t>
      </w:r>
      <w:r w:rsidRPr="007E784D">
        <w:rPr>
          <w:rFonts w:hint="cs"/>
          <w:spacing w:val="-4"/>
          <w:rtl/>
          <w:lang w:bidi="ar-EG"/>
        </w:rPr>
        <w:t xml:space="preserve"> (انظر مثلاً حالة التقاسم مع الخدمة </w:t>
      </w:r>
      <w:r w:rsidR="005B5C45" w:rsidRPr="007E784D">
        <w:rPr>
          <w:rFonts w:hint="cs"/>
          <w:spacing w:val="-4"/>
          <w:rtl/>
          <w:lang w:bidi="ar-EG"/>
        </w:rPr>
        <w:t>المتنقلة للطيران</w:t>
      </w:r>
      <w:r w:rsidRPr="007E784D">
        <w:rPr>
          <w:rFonts w:hint="cs"/>
          <w:spacing w:val="-4"/>
          <w:rtl/>
          <w:lang w:bidi="ar-EG"/>
        </w:rPr>
        <w:t xml:space="preserve"> الواردة أعلاه في</w:t>
      </w:r>
      <w:r w:rsidR="00EB7472" w:rsidRPr="007E784D">
        <w:rPr>
          <w:rFonts w:hint="eastAsia"/>
          <w:spacing w:val="-4"/>
          <w:rtl/>
          <w:lang w:bidi="ar-EG"/>
        </w:rPr>
        <w:t> </w:t>
      </w:r>
      <w:r w:rsidRPr="007E784D">
        <w:rPr>
          <w:rFonts w:hint="cs"/>
          <w:spacing w:val="-4"/>
          <w:rtl/>
          <w:lang w:bidi="ar-EG"/>
        </w:rPr>
        <w:t>هذه</w:t>
      </w:r>
      <w:r w:rsidR="00A76C2A" w:rsidRPr="007E784D">
        <w:rPr>
          <w:rFonts w:hint="eastAsia"/>
          <w:spacing w:val="-4"/>
          <w:rtl/>
          <w:lang w:bidi="ar-EG"/>
        </w:rPr>
        <w:t> </w:t>
      </w:r>
      <w:r w:rsidRPr="007E784D">
        <w:rPr>
          <w:rFonts w:hint="cs"/>
          <w:spacing w:val="-4"/>
          <w:rtl/>
          <w:lang w:bidi="ar-EG"/>
        </w:rPr>
        <w:t>الوثيقة)</w:t>
      </w:r>
    </w:p>
    <w:p w:rsidR="00FF401A" w:rsidRPr="00864CE2" w:rsidRDefault="005B5C45" w:rsidP="00A76C2A">
      <w:pPr>
        <w:pStyle w:val="enumlev1"/>
        <w:rPr>
          <w:rtl/>
          <w:lang w:bidi="ar-EG"/>
        </w:rPr>
      </w:pPr>
      <w:r>
        <w:rPr>
          <w:rFonts w:hint="cs"/>
          <w:rtl/>
          <w:lang w:bidi="ar-EG"/>
        </w:rPr>
        <w:t>-</w:t>
      </w:r>
      <w:r w:rsidR="00FF401A" w:rsidRPr="00864CE2">
        <w:rPr>
          <w:rFonts w:hint="cs"/>
          <w:rtl/>
          <w:lang w:bidi="ar-EG"/>
        </w:rPr>
        <w:tab/>
        <w:t xml:space="preserve"> أنه نظراً للعدد الكبير لوصلات تغذية </w:t>
      </w:r>
      <w:r>
        <w:rPr>
          <w:rFonts w:hint="cs"/>
          <w:rtl/>
          <w:lang w:bidi="ar-EG"/>
        </w:rPr>
        <w:t>ا</w:t>
      </w:r>
      <w:r w:rsidRPr="00864CE2">
        <w:rPr>
          <w:rFonts w:hint="cs"/>
          <w:rtl/>
          <w:lang w:bidi="ar-EG"/>
        </w:rPr>
        <w:t xml:space="preserve">لخدمة </w:t>
      </w:r>
      <w:r>
        <w:rPr>
          <w:rFonts w:hint="cs"/>
          <w:rtl/>
          <w:lang w:bidi="ar-EG"/>
        </w:rPr>
        <w:t>الثابتة الساتلية</w:t>
      </w:r>
      <w:r w:rsidR="00FF401A" w:rsidRPr="00864CE2">
        <w:rPr>
          <w:rFonts w:hint="cs"/>
          <w:rtl/>
          <w:lang w:bidi="ar-EG"/>
        </w:rPr>
        <w:t xml:space="preserve">، فإن </w:t>
      </w:r>
      <w:r>
        <w:rPr>
          <w:rFonts w:hint="cs"/>
          <w:rtl/>
          <w:lang w:bidi="ar-EG"/>
        </w:rPr>
        <w:t>ال</w:t>
      </w:r>
      <w:r w:rsidR="00FF401A" w:rsidRPr="00864CE2">
        <w:rPr>
          <w:rFonts w:hint="cs"/>
          <w:rtl/>
          <w:lang w:bidi="ar-EG"/>
        </w:rPr>
        <w:t xml:space="preserve">تأثير التراكمي </w:t>
      </w:r>
      <w:r>
        <w:rPr>
          <w:rFonts w:hint="cs"/>
          <w:rtl/>
          <w:lang w:bidi="ar-EG"/>
        </w:rPr>
        <w:t xml:space="preserve">للتداخل </w:t>
      </w:r>
      <w:r w:rsidR="00FF401A" w:rsidRPr="00864CE2">
        <w:rPr>
          <w:rFonts w:hint="cs"/>
          <w:rtl/>
          <w:lang w:bidi="ar-EG"/>
        </w:rPr>
        <w:t xml:space="preserve">الناجم عن إضافة </w:t>
      </w:r>
      <w:r>
        <w:rPr>
          <w:rFonts w:hint="cs"/>
          <w:rtl/>
          <w:lang w:bidi="ar-EG"/>
        </w:rPr>
        <w:t>ا</w:t>
      </w:r>
      <w:r w:rsidRPr="00864CE2">
        <w:rPr>
          <w:rFonts w:hint="cs"/>
          <w:rtl/>
          <w:lang w:bidi="ar-EG"/>
        </w:rPr>
        <w:t xml:space="preserve">لخدمة </w:t>
      </w:r>
      <w:r>
        <w:rPr>
          <w:rFonts w:hint="cs"/>
          <w:rtl/>
          <w:lang w:bidi="ar-EG"/>
        </w:rPr>
        <w:t xml:space="preserve">الثابتة الساتلية إلى </w:t>
      </w:r>
      <w:r w:rsidR="00FF401A" w:rsidRPr="00864CE2">
        <w:rPr>
          <w:rFonts w:hint="cs"/>
          <w:rtl/>
          <w:lang w:bidi="ar-EG"/>
        </w:rPr>
        <w:t>هذا</w:t>
      </w:r>
      <w:r>
        <w:rPr>
          <w:rFonts w:hint="cs"/>
          <w:rtl/>
          <w:lang w:bidi="ar-EG"/>
        </w:rPr>
        <w:t xml:space="preserve"> النطاق قد يكون أكبر بكثير من تأ</w:t>
      </w:r>
      <w:r w:rsidR="00FF401A" w:rsidRPr="00864CE2">
        <w:rPr>
          <w:rFonts w:hint="cs"/>
          <w:rtl/>
          <w:lang w:bidi="ar-EG"/>
        </w:rPr>
        <w:t>ثير العدد المحدود للمحطات الوارد ف</w:t>
      </w:r>
      <w:r w:rsidR="00886C79">
        <w:rPr>
          <w:rFonts w:hint="eastAsia"/>
          <w:rtl/>
          <w:lang w:bidi="ar-EG"/>
        </w:rPr>
        <w:t> </w:t>
      </w:r>
      <w:r w:rsidR="00FF401A" w:rsidRPr="00864CE2">
        <w:rPr>
          <w:rFonts w:hint="cs"/>
          <w:rtl/>
          <w:lang w:bidi="ar-EG"/>
        </w:rPr>
        <w:t xml:space="preserve"> الدراسات (مثلاً من وصلة تغذية واحدة إلى </w:t>
      </w:r>
      <w:r w:rsidR="00FF401A" w:rsidRPr="00864CE2">
        <w:rPr>
          <w:lang w:bidi="ar-EG"/>
        </w:rPr>
        <w:t>6</w:t>
      </w:r>
      <w:r w:rsidR="00FF401A" w:rsidRPr="00864CE2">
        <w:rPr>
          <w:rFonts w:hint="cs"/>
          <w:rtl/>
          <w:lang w:bidi="ar-EG"/>
        </w:rPr>
        <w:t xml:space="preserve"> وصلات للخدمة</w:t>
      </w:r>
      <w:r w:rsidRPr="00864CE2">
        <w:rPr>
          <w:rFonts w:hint="cs"/>
          <w:rtl/>
          <w:lang w:bidi="ar-EG"/>
        </w:rPr>
        <w:t xml:space="preserve"> </w:t>
      </w:r>
      <w:r>
        <w:rPr>
          <w:rFonts w:hint="cs"/>
          <w:rtl/>
          <w:lang w:bidi="ar-EG"/>
        </w:rPr>
        <w:t>الثابتة الساتلية</w:t>
      </w:r>
      <w:r w:rsidR="00FF401A" w:rsidRPr="00864CE2">
        <w:rPr>
          <w:rFonts w:hint="cs"/>
          <w:rtl/>
          <w:lang w:bidi="ar-EG"/>
        </w:rPr>
        <w:t>)</w:t>
      </w:r>
    </w:p>
    <w:p w:rsidR="00DE157A" w:rsidRPr="00864CE2" w:rsidRDefault="00FF401A" w:rsidP="00FF401A">
      <w:pPr>
        <w:rPr>
          <w:rtl/>
        </w:rPr>
      </w:pPr>
      <w:r w:rsidRPr="00864CE2">
        <w:rPr>
          <w:rFonts w:hint="cs"/>
          <w:rtl/>
          <w:lang w:bidi="ar-EG"/>
        </w:rPr>
        <w:t xml:space="preserve">لذلك تؤيد هذه الإدارة الأسلوب </w:t>
      </w:r>
      <w:r w:rsidRPr="00864CE2">
        <w:rPr>
          <w:lang w:bidi="ar-EG"/>
        </w:rPr>
        <w:t>F1</w:t>
      </w:r>
      <w:r w:rsidRPr="00864CE2">
        <w:rPr>
          <w:rFonts w:hint="cs"/>
          <w:rtl/>
          <w:lang w:bidi="ar-EG"/>
        </w:rPr>
        <w:t xml:space="preserve"> (عدم إجراء تغيير) للنطاق </w:t>
      </w:r>
      <w:r w:rsidRPr="00864CE2">
        <w:rPr>
          <w:lang w:bidi="ar-EG"/>
        </w:rPr>
        <w:t>GHz 14,8-14,5</w:t>
      </w:r>
      <w:r w:rsidRPr="00864CE2">
        <w:rPr>
          <w:rFonts w:hint="cs"/>
          <w:rtl/>
          <w:lang w:bidi="ar-EG"/>
        </w:rPr>
        <w:t xml:space="preserve"> فيما يتعلق بالبندين</w:t>
      </w:r>
      <w:r w:rsidR="00886C79">
        <w:rPr>
          <w:rFonts w:hint="eastAsia"/>
          <w:rtl/>
          <w:lang w:bidi="ar-EG"/>
        </w:rPr>
        <w:t> </w:t>
      </w:r>
      <w:r w:rsidRPr="00864CE2">
        <w:rPr>
          <w:lang w:bidi="ar-EG"/>
        </w:rPr>
        <w:t>1.6.1</w:t>
      </w:r>
      <w:r w:rsidR="00886C79">
        <w:rPr>
          <w:rFonts w:hint="eastAsia"/>
          <w:rtl/>
          <w:lang w:bidi="ar-EG"/>
        </w:rPr>
        <w:t> </w:t>
      </w:r>
      <w:r w:rsidRPr="00864CE2">
        <w:rPr>
          <w:rFonts w:hint="cs"/>
          <w:rtl/>
          <w:lang w:bidi="ar-EG"/>
        </w:rPr>
        <w:t>و</w:t>
      </w:r>
      <w:r w:rsidRPr="00864CE2">
        <w:rPr>
          <w:lang w:bidi="ar-EG"/>
        </w:rPr>
        <w:t>2.6.1</w:t>
      </w:r>
      <w:r w:rsidRPr="00864CE2">
        <w:rPr>
          <w:rFonts w:hint="cs"/>
          <w:rtl/>
          <w:lang w:bidi="ar-EG"/>
        </w:rPr>
        <w:t>.</w:t>
      </w:r>
    </w:p>
    <w:p w:rsidR="002919E1" w:rsidRPr="00864CE2" w:rsidRDefault="00DE157A" w:rsidP="00A76C2A">
      <w:pPr>
        <w:pStyle w:val="Headingb"/>
        <w:rPr>
          <w:noProof/>
          <w:rtl/>
        </w:rPr>
      </w:pPr>
      <w:r w:rsidRPr="00864CE2">
        <w:rPr>
          <w:rFonts w:hint="cs"/>
          <w:rtl/>
        </w:rPr>
        <w:t>المقترحات</w:t>
      </w:r>
      <w:r w:rsidR="00846B97" w:rsidRPr="00864CE2">
        <w:rPr>
          <w:rFonts w:hint="cs"/>
          <w:rtl/>
        </w:rPr>
        <w:tab/>
      </w:r>
      <w:r w:rsidR="008F4626" w:rsidRPr="00864CE2">
        <w:rPr>
          <w:rtl/>
        </w:rPr>
        <w:br w:type="page"/>
      </w:r>
    </w:p>
    <w:p w:rsidR="00B271A5" w:rsidRPr="00864CE2" w:rsidRDefault="00B271A5" w:rsidP="00B271A5">
      <w:pPr>
        <w:pStyle w:val="ArtNo"/>
        <w:rPr>
          <w:rtl/>
        </w:rPr>
      </w:pPr>
      <w:r w:rsidRPr="00864CE2">
        <w:rPr>
          <w:rtl/>
        </w:rPr>
        <w:lastRenderedPageBreak/>
        <w:t xml:space="preserve">المـادة </w:t>
      </w:r>
      <w:r w:rsidRPr="00864CE2">
        <w:rPr>
          <w:rStyle w:val="href"/>
        </w:rPr>
        <w:t>5</w:t>
      </w:r>
    </w:p>
    <w:p w:rsidR="00B271A5" w:rsidRPr="00864CE2" w:rsidRDefault="00B271A5" w:rsidP="00B271A5">
      <w:pPr>
        <w:pStyle w:val="Arttitle"/>
        <w:rPr>
          <w:b w:val="0"/>
          <w:rtl/>
        </w:rPr>
      </w:pPr>
      <w:bookmarkStart w:id="1" w:name="_Toc331055733"/>
      <w:r w:rsidRPr="00864CE2">
        <w:rPr>
          <w:b w:val="0"/>
          <w:rtl/>
        </w:rPr>
        <w:t>توزيع نطاقات التردد</w:t>
      </w:r>
      <w:bookmarkEnd w:id="1"/>
    </w:p>
    <w:p w:rsidR="00B271A5" w:rsidRPr="00864CE2" w:rsidRDefault="00B271A5" w:rsidP="00B271A5">
      <w:pPr>
        <w:pStyle w:val="Section1"/>
      </w:pPr>
      <w:r w:rsidRPr="00864CE2">
        <w:rPr>
          <w:rtl/>
        </w:rPr>
        <w:t xml:space="preserve">القسم </w:t>
      </w:r>
      <w:r w:rsidRPr="00864CE2">
        <w:t>IV</w:t>
      </w:r>
      <w:r w:rsidRPr="00864CE2">
        <w:rPr>
          <w:rtl/>
        </w:rPr>
        <w:t xml:space="preserve"> </w:t>
      </w:r>
      <w:r w:rsidRPr="00864CE2">
        <w:rPr>
          <w:rFonts w:hint="cs"/>
          <w:rtl/>
        </w:rPr>
        <w:t xml:space="preserve"> </w:t>
      </w:r>
      <w:r w:rsidRPr="00864CE2">
        <w:rPr>
          <w:rtl/>
        </w:rPr>
        <w:t>-</w:t>
      </w:r>
      <w:r w:rsidRPr="00864CE2">
        <w:rPr>
          <w:rFonts w:hint="cs"/>
          <w:rtl/>
        </w:rPr>
        <w:t xml:space="preserve"> </w:t>
      </w:r>
      <w:r w:rsidRPr="00864CE2">
        <w:rPr>
          <w:rtl/>
        </w:rPr>
        <w:t xml:space="preserve"> جدول توزيع نطاقات التردد</w:t>
      </w:r>
      <w:r w:rsidRPr="00864CE2">
        <w:rPr>
          <w:rtl/>
        </w:rPr>
        <w:br/>
      </w:r>
      <w:r w:rsidRPr="00864CE2">
        <w:rPr>
          <w:b w:val="0"/>
          <w:bCs w:val="0"/>
          <w:sz w:val="22"/>
          <w:szCs w:val="30"/>
          <w:rtl/>
        </w:rPr>
        <w:t xml:space="preserve">(انظر </w:t>
      </w:r>
      <w:r w:rsidRPr="00864CE2">
        <w:rPr>
          <w:rFonts w:ascii="Times New Roman"/>
          <w:b w:val="0"/>
          <w:bCs w:val="0"/>
          <w:sz w:val="22"/>
          <w:szCs w:val="30"/>
          <w:rtl/>
        </w:rPr>
        <w:t>الرقم</w:t>
      </w:r>
      <w:r w:rsidRPr="00864CE2">
        <w:rPr>
          <w:sz w:val="22"/>
          <w:szCs w:val="30"/>
          <w:rtl/>
        </w:rPr>
        <w:t xml:space="preserve"> </w:t>
      </w:r>
      <w:r w:rsidRPr="00864CE2">
        <w:rPr>
          <w:sz w:val="22"/>
          <w:szCs w:val="30"/>
        </w:rPr>
        <w:t>1.2</w:t>
      </w:r>
      <w:r w:rsidRPr="00864CE2">
        <w:rPr>
          <w:b w:val="0"/>
          <w:bCs w:val="0"/>
          <w:sz w:val="22"/>
          <w:szCs w:val="30"/>
          <w:rtl/>
        </w:rPr>
        <w:t>)</w:t>
      </w:r>
    </w:p>
    <w:p w:rsidR="000B5A22" w:rsidRPr="00864CE2" w:rsidRDefault="00B271A5">
      <w:pPr>
        <w:pStyle w:val="Proposal"/>
      </w:pPr>
      <w:r w:rsidRPr="00864CE2">
        <w:rPr>
          <w:u w:val="single"/>
        </w:rPr>
        <w:t>NOC</w:t>
      </w:r>
      <w:r w:rsidRPr="00864CE2">
        <w:tab/>
        <w:t>IRN/61A6/1</w:t>
      </w:r>
    </w:p>
    <w:p w:rsidR="00B271A5" w:rsidRPr="00864CE2" w:rsidRDefault="00B271A5">
      <w:pPr>
        <w:pStyle w:val="Tabletitle"/>
        <w:rPr>
          <w:rtl/>
        </w:rPr>
        <w:pPrChange w:id="2" w:author="El Wardany, Samy" w:date="2011-08-01T14:42:00Z">
          <w:pPr/>
        </w:pPrChange>
      </w:pPr>
      <w:r w:rsidRPr="00864CE2">
        <w:t>GHz 15,4-14</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B271A5" w:rsidRPr="00864CE2" w:rsidTr="00B271A5">
        <w:trPr>
          <w:cantSplit/>
        </w:trPr>
        <w:tc>
          <w:tcPr>
            <w:tcW w:w="9356" w:type="dxa"/>
            <w:gridSpan w:val="3"/>
            <w:tcBorders>
              <w:top w:val="single" w:sz="4" w:space="0" w:color="auto"/>
              <w:left w:val="single" w:sz="4" w:space="0" w:color="auto"/>
              <w:bottom w:val="single" w:sz="4" w:space="0" w:color="auto"/>
              <w:right w:val="single" w:sz="4" w:space="0" w:color="auto"/>
            </w:tcBorders>
          </w:tcPr>
          <w:p w:rsidR="00B271A5" w:rsidRPr="00864CE2" w:rsidRDefault="00B271A5" w:rsidP="00B271A5">
            <w:pPr>
              <w:pStyle w:val="Tablehead"/>
            </w:pPr>
            <w:r w:rsidRPr="00864CE2">
              <w:rPr>
                <w:rtl/>
              </w:rPr>
              <w:t>التوزيع على الخدمات</w:t>
            </w:r>
          </w:p>
        </w:tc>
      </w:tr>
      <w:tr w:rsidR="00B271A5" w:rsidRPr="00864CE2" w:rsidTr="00B271A5">
        <w:trPr>
          <w:cantSplit/>
        </w:trPr>
        <w:tc>
          <w:tcPr>
            <w:tcW w:w="3119"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1</w:t>
            </w:r>
          </w:p>
        </w:tc>
        <w:tc>
          <w:tcPr>
            <w:tcW w:w="3119"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2</w:t>
            </w:r>
          </w:p>
        </w:tc>
        <w:tc>
          <w:tcPr>
            <w:tcW w:w="3118"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3</w:t>
            </w:r>
          </w:p>
        </w:tc>
      </w:tr>
      <w:tr w:rsidR="00B271A5" w:rsidRPr="00864CE2" w:rsidTr="00B271A5">
        <w:trPr>
          <w:cantSplit/>
        </w:trPr>
        <w:tc>
          <w:tcPr>
            <w:tcW w:w="9356" w:type="dxa"/>
            <w:gridSpan w:val="3"/>
            <w:tcBorders>
              <w:top w:val="single" w:sz="4" w:space="0" w:color="auto"/>
              <w:left w:val="single" w:sz="6" w:space="0" w:color="auto"/>
              <w:bottom w:val="single" w:sz="4" w:space="0" w:color="auto"/>
              <w:right w:val="single" w:sz="6" w:space="0" w:color="auto"/>
            </w:tcBorders>
          </w:tcPr>
          <w:p w:rsidR="00B271A5" w:rsidRPr="00864CE2" w:rsidRDefault="00B271A5" w:rsidP="00B73F83">
            <w:pPr>
              <w:pStyle w:val="TabletextS5"/>
              <w:ind w:left="3261" w:hanging="3261"/>
            </w:pPr>
            <w:r w:rsidRPr="00864CE2">
              <w:rPr>
                <w:rStyle w:val="Tablefreq"/>
              </w:rPr>
              <w:t>14,8-14,5</w:t>
            </w:r>
            <w:r w:rsidRPr="00864CE2">
              <w:rPr>
                <w:rStyle w:val="Tablefreq"/>
              </w:rPr>
              <w:tab/>
            </w:r>
            <w:r w:rsidRPr="00864CE2">
              <w:rPr>
                <w:b/>
                <w:bCs/>
                <w:rtl/>
              </w:rPr>
              <w:t>ثابتة</w:t>
            </w:r>
          </w:p>
          <w:p w:rsidR="00B271A5" w:rsidRPr="00864CE2" w:rsidRDefault="00B271A5" w:rsidP="00B73F83">
            <w:pPr>
              <w:pStyle w:val="TabletextS5"/>
              <w:ind w:left="3261" w:hanging="3261"/>
            </w:pPr>
            <w:r w:rsidRPr="00864CE2">
              <w:tab/>
            </w:r>
            <w:r w:rsidRPr="00864CE2">
              <w:rPr>
                <w:b/>
                <w:bCs/>
                <w:rtl/>
              </w:rPr>
              <w:t>ثابتة ساتلية</w:t>
            </w:r>
            <w:r w:rsidRPr="00864CE2">
              <w:rPr>
                <w:rtl/>
              </w:rPr>
              <w:t xml:space="preserve"> (أرض-فضاء) </w:t>
            </w:r>
            <w:r w:rsidRPr="00864CE2">
              <w:rPr>
                <w:rFonts w:hint="cs"/>
                <w:rtl/>
              </w:rPr>
              <w:t xml:space="preserve"> </w:t>
            </w:r>
            <w:r w:rsidRPr="00124BD0">
              <w:rPr>
                <w:rStyle w:val="Artref"/>
                <w:b w:val="0"/>
                <w:bCs w:val="0"/>
              </w:rPr>
              <w:t>510.5</w:t>
            </w:r>
          </w:p>
          <w:p w:rsidR="00B271A5" w:rsidRPr="00864CE2" w:rsidRDefault="00B271A5" w:rsidP="00B73F83">
            <w:pPr>
              <w:pStyle w:val="TabletextS5"/>
              <w:ind w:left="3261" w:hanging="3261"/>
            </w:pPr>
            <w:r w:rsidRPr="00864CE2">
              <w:tab/>
            </w:r>
            <w:r w:rsidRPr="00864CE2">
              <w:rPr>
                <w:b/>
                <w:bCs/>
                <w:rtl/>
              </w:rPr>
              <w:t>متنقلة</w:t>
            </w:r>
          </w:p>
          <w:p w:rsidR="00B271A5" w:rsidRPr="00864CE2" w:rsidRDefault="00B271A5" w:rsidP="00B73F83">
            <w:pPr>
              <w:pStyle w:val="TabletextS5"/>
              <w:ind w:left="3261" w:hanging="3261"/>
            </w:pPr>
            <w:r w:rsidRPr="00864CE2">
              <w:tab/>
            </w:r>
            <w:r w:rsidRPr="00864CE2">
              <w:rPr>
                <w:rtl/>
              </w:rPr>
              <w:t>أبحاث فضائية</w:t>
            </w:r>
          </w:p>
        </w:tc>
      </w:tr>
    </w:tbl>
    <w:p w:rsidR="000B5A22" w:rsidRPr="00864CE2" w:rsidRDefault="00B271A5" w:rsidP="00B73F83">
      <w:pPr>
        <w:pStyle w:val="Reasons"/>
      </w:pPr>
      <w:r w:rsidRPr="00864CE2">
        <w:rPr>
          <w:rtl/>
        </w:rPr>
        <w:t>الأسباب:</w:t>
      </w:r>
      <w:r w:rsidRPr="00864CE2">
        <w:tab/>
      </w:r>
      <w:r w:rsidR="00B73F83" w:rsidRPr="00864CE2">
        <w:rPr>
          <w:b w:val="0"/>
          <w:bCs w:val="0"/>
          <w:rtl/>
          <w:lang w:bidi="ar-SY"/>
        </w:rPr>
        <w:t xml:space="preserve">تخلق المحطة الأرضية للخدمة الثابتة </w:t>
      </w:r>
      <w:r w:rsidR="007E784D">
        <w:rPr>
          <w:b w:val="0"/>
          <w:bCs w:val="0"/>
          <w:rtl/>
          <w:lang w:bidi="ar-SY"/>
        </w:rPr>
        <w:t>الساتلية حيزاً حجمياً ي</w:t>
      </w:r>
      <w:r w:rsidR="00B73F83" w:rsidRPr="00864CE2">
        <w:rPr>
          <w:b w:val="0"/>
          <w:bCs w:val="0"/>
          <w:rtl/>
          <w:lang w:bidi="ar-SY"/>
        </w:rPr>
        <w:t>تجاوز فيه معيار حماية الخدمة المتنقلة للطيران، على النحو المبين في الدراسات، وقد يمتد هذا الحيز الحجمي لعدة مئات من الكيلومترات في خطي العرض والطول، ويحول دون عمليات الخدمة المتنقلة للطيران.</w:t>
      </w:r>
    </w:p>
    <w:p w:rsidR="000B5A22" w:rsidRPr="00864CE2" w:rsidRDefault="00B271A5">
      <w:pPr>
        <w:pStyle w:val="Proposal"/>
      </w:pPr>
      <w:r w:rsidRPr="00864CE2">
        <w:rPr>
          <w:u w:val="single"/>
        </w:rPr>
        <w:t>NOC</w:t>
      </w:r>
      <w:r w:rsidRPr="00864CE2">
        <w:tab/>
        <w:t>IRN/61A6/2</w:t>
      </w:r>
    </w:p>
    <w:p w:rsidR="00B271A5" w:rsidRPr="00864CE2" w:rsidRDefault="00B271A5">
      <w:pPr>
        <w:pStyle w:val="Tabletitle"/>
        <w:rPr>
          <w:rtl/>
        </w:rPr>
        <w:pPrChange w:id="3" w:author="El Wardany, Samy" w:date="2011-08-01T14:42:00Z">
          <w:pPr/>
        </w:pPrChange>
      </w:pPr>
      <w:r w:rsidRPr="00864CE2">
        <w:t>GHz 15,4-14</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B271A5" w:rsidRPr="00864CE2" w:rsidTr="00B271A5">
        <w:trPr>
          <w:cantSplit/>
        </w:trPr>
        <w:tc>
          <w:tcPr>
            <w:tcW w:w="9356" w:type="dxa"/>
            <w:gridSpan w:val="3"/>
            <w:tcBorders>
              <w:top w:val="single" w:sz="4" w:space="0" w:color="auto"/>
              <w:left w:val="single" w:sz="4" w:space="0" w:color="auto"/>
              <w:bottom w:val="single" w:sz="4" w:space="0" w:color="auto"/>
              <w:right w:val="single" w:sz="4" w:space="0" w:color="auto"/>
            </w:tcBorders>
          </w:tcPr>
          <w:p w:rsidR="00B271A5" w:rsidRPr="00864CE2" w:rsidRDefault="00B271A5" w:rsidP="00B271A5">
            <w:pPr>
              <w:pStyle w:val="Tablehead"/>
            </w:pPr>
            <w:r w:rsidRPr="00864CE2">
              <w:rPr>
                <w:rtl/>
              </w:rPr>
              <w:t>التوزيع على الخدمات</w:t>
            </w:r>
          </w:p>
        </w:tc>
      </w:tr>
      <w:tr w:rsidR="00B271A5" w:rsidRPr="00864CE2" w:rsidTr="00B271A5">
        <w:trPr>
          <w:cantSplit/>
        </w:trPr>
        <w:tc>
          <w:tcPr>
            <w:tcW w:w="3119"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1</w:t>
            </w:r>
          </w:p>
        </w:tc>
        <w:tc>
          <w:tcPr>
            <w:tcW w:w="3119"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2</w:t>
            </w:r>
          </w:p>
        </w:tc>
        <w:tc>
          <w:tcPr>
            <w:tcW w:w="3118" w:type="dxa"/>
            <w:tcBorders>
              <w:top w:val="single" w:sz="4" w:space="0" w:color="auto"/>
              <w:left w:val="single" w:sz="6" w:space="0" w:color="auto"/>
              <w:bottom w:val="single" w:sz="6" w:space="0" w:color="auto"/>
              <w:right w:val="single" w:sz="6" w:space="0" w:color="auto"/>
            </w:tcBorders>
          </w:tcPr>
          <w:p w:rsidR="00B271A5" w:rsidRPr="00864CE2" w:rsidRDefault="00B271A5" w:rsidP="00B271A5">
            <w:pPr>
              <w:pStyle w:val="Tablehead"/>
            </w:pPr>
            <w:r w:rsidRPr="00864CE2">
              <w:rPr>
                <w:rtl/>
              </w:rPr>
              <w:t xml:space="preserve">الإقليم </w:t>
            </w:r>
            <w:r w:rsidRPr="00864CE2">
              <w:t>3</w:t>
            </w:r>
          </w:p>
        </w:tc>
      </w:tr>
      <w:tr w:rsidR="00B271A5" w:rsidRPr="00864CE2" w:rsidTr="00B271A5">
        <w:trPr>
          <w:cantSplit/>
        </w:trPr>
        <w:tc>
          <w:tcPr>
            <w:tcW w:w="9356" w:type="dxa"/>
            <w:gridSpan w:val="3"/>
            <w:tcBorders>
              <w:top w:val="single" w:sz="4" w:space="0" w:color="auto"/>
              <w:left w:val="single" w:sz="6" w:space="0" w:color="auto"/>
              <w:bottom w:val="single" w:sz="4" w:space="0" w:color="auto"/>
              <w:right w:val="single" w:sz="6" w:space="0" w:color="auto"/>
            </w:tcBorders>
          </w:tcPr>
          <w:p w:rsidR="00B271A5" w:rsidRPr="00864CE2" w:rsidRDefault="00B271A5" w:rsidP="00B271A5">
            <w:pPr>
              <w:pStyle w:val="TabletextS5"/>
              <w:ind w:left="3261" w:hanging="3261"/>
            </w:pPr>
            <w:r w:rsidRPr="00864CE2">
              <w:rPr>
                <w:rStyle w:val="Tablefreq"/>
              </w:rPr>
              <w:t>14,8-14,5</w:t>
            </w:r>
            <w:r w:rsidRPr="00864CE2">
              <w:rPr>
                <w:rStyle w:val="Tablefreq"/>
              </w:rPr>
              <w:tab/>
            </w:r>
            <w:r w:rsidRPr="00864CE2">
              <w:tab/>
            </w:r>
            <w:r w:rsidRPr="00864CE2">
              <w:rPr>
                <w:b/>
                <w:bCs/>
                <w:rtl/>
              </w:rPr>
              <w:t>ثابتة</w:t>
            </w:r>
          </w:p>
          <w:p w:rsidR="00B271A5" w:rsidRPr="00864CE2" w:rsidRDefault="00B271A5" w:rsidP="00B271A5">
            <w:pPr>
              <w:pStyle w:val="TabletextS5"/>
              <w:ind w:left="3261" w:hanging="3261"/>
            </w:pPr>
            <w:r w:rsidRPr="00864CE2">
              <w:tab/>
            </w:r>
            <w:r w:rsidRPr="00864CE2">
              <w:tab/>
            </w:r>
            <w:r w:rsidRPr="00864CE2">
              <w:rPr>
                <w:b/>
                <w:bCs/>
                <w:rtl/>
              </w:rPr>
              <w:t>ثابتة ساتلية</w:t>
            </w:r>
            <w:r w:rsidRPr="00864CE2">
              <w:rPr>
                <w:rtl/>
              </w:rPr>
              <w:t xml:space="preserve"> (أرض-فضاء) </w:t>
            </w:r>
            <w:r w:rsidRPr="00864CE2">
              <w:rPr>
                <w:rFonts w:hint="cs"/>
                <w:rtl/>
              </w:rPr>
              <w:t xml:space="preserve"> </w:t>
            </w:r>
            <w:r w:rsidRPr="00463BBD">
              <w:rPr>
                <w:rStyle w:val="Artref"/>
                <w:b w:val="0"/>
                <w:bCs w:val="0"/>
              </w:rPr>
              <w:t>510.5</w:t>
            </w:r>
          </w:p>
          <w:p w:rsidR="00B271A5" w:rsidRPr="00864CE2" w:rsidRDefault="00B271A5" w:rsidP="00B271A5">
            <w:pPr>
              <w:pStyle w:val="TabletextS5"/>
              <w:ind w:left="3261" w:hanging="3261"/>
            </w:pPr>
            <w:r w:rsidRPr="00864CE2">
              <w:tab/>
            </w:r>
            <w:r w:rsidRPr="00864CE2">
              <w:tab/>
            </w:r>
            <w:r w:rsidRPr="00864CE2">
              <w:rPr>
                <w:b/>
                <w:bCs/>
                <w:rtl/>
              </w:rPr>
              <w:t>متنقلة</w:t>
            </w:r>
          </w:p>
          <w:p w:rsidR="00B271A5" w:rsidRPr="00864CE2" w:rsidRDefault="00B271A5" w:rsidP="00B271A5">
            <w:pPr>
              <w:pStyle w:val="TabletextS5"/>
              <w:ind w:left="3261" w:hanging="3261"/>
            </w:pPr>
            <w:r w:rsidRPr="00864CE2">
              <w:tab/>
            </w:r>
            <w:r w:rsidRPr="00864CE2">
              <w:tab/>
            </w:r>
            <w:r w:rsidRPr="00864CE2">
              <w:rPr>
                <w:rtl/>
              </w:rPr>
              <w:t>أبحاث فضائية</w:t>
            </w:r>
          </w:p>
        </w:tc>
      </w:tr>
    </w:tbl>
    <w:p w:rsidR="00B73F83" w:rsidRPr="00463BBD" w:rsidRDefault="00B73F83" w:rsidP="00463BBD">
      <w:pPr>
        <w:pStyle w:val="Reasons"/>
        <w:rPr>
          <w:b w:val="0"/>
          <w:bCs w:val="0"/>
        </w:rPr>
      </w:pPr>
      <w:r w:rsidRPr="00463BBD">
        <w:rPr>
          <w:rtl/>
        </w:rPr>
        <w:t>الأسباب:</w:t>
      </w:r>
      <w:r w:rsidRPr="00463BBD">
        <w:tab/>
      </w:r>
      <w:r w:rsidRPr="00463BBD">
        <w:rPr>
          <w:b w:val="0"/>
          <w:bCs w:val="0"/>
          <w:rtl/>
        </w:rPr>
        <w:t xml:space="preserve">تخلق المحطة الأرضية للخدمة </w:t>
      </w:r>
      <w:r w:rsidR="007E784D">
        <w:rPr>
          <w:b w:val="0"/>
          <w:bCs w:val="0"/>
          <w:rtl/>
        </w:rPr>
        <w:t>الثابتة الساتلية حيزاً حجمياً ي</w:t>
      </w:r>
      <w:r w:rsidRPr="00463BBD">
        <w:rPr>
          <w:b w:val="0"/>
          <w:bCs w:val="0"/>
          <w:rtl/>
        </w:rPr>
        <w:t>تجاوز فيه معيار حماية الخدمة المتنقلة للطيران، على النحو المبين في الدراسات، وقد يمتد هذا الحيز الحجمي لعدة مئات من الكيلومترات في خطي العرض والطول، ويحول دون عمليات الخدمة المتنقلة للطيران.</w:t>
      </w:r>
    </w:p>
    <w:p w:rsidR="00B73F83" w:rsidRPr="00B73F83" w:rsidRDefault="00B73F83" w:rsidP="00B73F83">
      <w:pPr>
        <w:spacing w:before="600"/>
        <w:jc w:val="center"/>
        <w:rPr>
          <w:rtl/>
          <w:lang w:bidi="ar-EG"/>
        </w:rPr>
      </w:pPr>
      <w:r w:rsidRPr="00864CE2">
        <w:rPr>
          <w:rFonts w:hint="cs"/>
          <w:rtl/>
          <w:lang w:bidi="ar-EG"/>
        </w:rPr>
        <w:t>___________</w:t>
      </w:r>
      <w:bookmarkStart w:id="4" w:name="_GoBack"/>
      <w:bookmarkEnd w:id="4"/>
    </w:p>
    <w:sectPr w:rsidR="00B73F83" w:rsidRPr="00B73F83">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E0" w:rsidRDefault="003E33E0" w:rsidP="002919E1">
      <w:r>
        <w:separator/>
      </w:r>
    </w:p>
    <w:p w:rsidR="003E33E0" w:rsidRDefault="003E33E0" w:rsidP="002919E1"/>
    <w:p w:rsidR="003E33E0" w:rsidRDefault="003E33E0" w:rsidP="002919E1"/>
    <w:p w:rsidR="003E33E0" w:rsidRDefault="003E33E0"/>
  </w:endnote>
  <w:endnote w:type="continuationSeparator" w:id="0">
    <w:p w:rsidR="003E33E0" w:rsidRDefault="003E33E0" w:rsidP="002919E1">
      <w:r>
        <w:continuationSeparator/>
      </w:r>
    </w:p>
    <w:p w:rsidR="003E33E0" w:rsidRDefault="003E33E0" w:rsidP="002919E1"/>
    <w:p w:rsidR="003E33E0" w:rsidRDefault="003E33E0" w:rsidP="002919E1"/>
    <w:p w:rsidR="003E33E0" w:rsidRDefault="003E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0" w:rsidRPr="00CB4300" w:rsidRDefault="003E33E0" w:rsidP="006B5B67">
    <w:pPr>
      <w:pStyle w:val="Footer"/>
      <w:tabs>
        <w:tab w:val="clear" w:pos="5812"/>
        <w:tab w:val="left" w:pos="6379"/>
      </w:tabs>
      <w:rPr>
        <w:lang w:val="es-ES"/>
      </w:rPr>
    </w:pPr>
    <w:r w:rsidRPr="00CB4300">
      <w:fldChar w:fldCharType="begin"/>
    </w:r>
    <w:r w:rsidRPr="00CB4300">
      <w:rPr>
        <w:lang w:val="es-ES"/>
      </w:rPr>
      <w:instrText xml:space="preserve"> FILENAME \p \* MERGEFORMAT </w:instrText>
    </w:r>
    <w:r w:rsidRPr="00CB4300">
      <w:fldChar w:fldCharType="separate"/>
    </w:r>
    <w:r w:rsidR="009A7786">
      <w:rPr>
        <w:noProof/>
        <w:lang w:val="es-ES"/>
      </w:rPr>
      <w:t>P:\ARA\ITU-R\CONF-R\CMR15\000\061ADD06A.docx</w:t>
    </w:r>
    <w:r w:rsidRPr="00CB4300">
      <w:fldChar w:fldCharType="end"/>
    </w:r>
    <w:r w:rsidRPr="00CB4300">
      <w:rPr>
        <w:lang w:val="es-ES"/>
      </w:rPr>
      <w:t xml:space="preserve">  (</w:t>
    </w:r>
    <w:r>
      <w:rPr>
        <w:lang w:val="es-ES"/>
      </w:rPr>
      <w:t>388284</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FD2B01">
      <w:rPr>
        <w:noProof/>
      </w:rPr>
      <w:t>30.10.15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9A7786">
      <w:rPr>
        <w:noProof/>
      </w:rPr>
      <w:t>30.10.15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0" w:rsidRPr="00CB4300" w:rsidRDefault="003E33E0" w:rsidP="006B5B67">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9A7786">
      <w:rPr>
        <w:noProof/>
        <w:lang w:val="es-ES"/>
      </w:rPr>
      <w:t>P:\ARA\ITU-R\CONF-R\CMR15\000\061ADD06A.docx</w:t>
    </w:r>
    <w:r>
      <w:fldChar w:fldCharType="end"/>
    </w:r>
    <w:r w:rsidRPr="00CB4300">
      <w:rPr>
        <w:lang w:val="es-ES"/>
      </w:rPr>
      <w:t xml:space="preserve">   (</w:t>
    </w:r>
    <w:r>
      <w:rPr>
        <w:lang w:val="es-ES"/>
      </w:rPr>
      <w:t>388284</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FD2B01">
      <w:rPr>
        <w:noProof/>
      </w:rPr>
      <w:t>30.10.15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9A7786">
      <w:rPr>
        <w:noProof/>
      </w:rPr>
      <w:t>30.10.15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E0" w:rsidRDefault="003E33E0" w:rsidP="002919E1">
      <w:r>
        <w:t>___________________</w:t>
      </w:r>
    </w:p>
  </w:footnote>
  <w:footnote w:type="continuationSeparator" w:id="0">
    <w:p w:rsidR="003E33E0" w:rsidRDefault="003E33E0" w:rsidP="002919E1">
      <w:r>
        <w:continuationSeparator/>
      </w:r>
    </w:p>
    <w:p w:rsidR="003E33E0" w:rsidRDefault="003E33E0" w:rsidP="002919E1"/>
    <w:p w:rsidR="003E33E0" w:rsidRDefault="003E33E0" w:rsidP="002919E1"/>
    <w:p w:rsidR="003E33E0" w:rsidRDefault="003E33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0" w:rsidRDefault="003E33E0" w:rsidP="002919E1"/>
  <w:p w:rsidR="003E33E0" w:rsidRDefault="003E33E0" w:rsidP="002919E1"/>
  <w:p w:rsidR="003E33E0" w:rsidRDefault="003E33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0" w:rsidRPr="0088384B" w:rsidRDefault="003E33E0"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86C79">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61(Add.6)-</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C3AE7D1C"/>
    <w:lvl w:ilvl="0">
      <w:start w:val="1"/>
      <w:numFmt w:val="decimal"/>
      <w:lvlText w:val="%1."/>
      <w:lvlJc w:val="left"/>
      <w:pPr>
        <w:tabs>
          <w:tab w:val="num" w:pos="926"/>
        </w:tabs>
        <w:ind w:left="926" w:hanging="360"/>
      </w:pPr>
    </w:lvl>
  </w:abstractNum>
  <w:abstractNum w:abstractNumId="3">
    <w:nsid w:val="FFFFFF7F"/>
    <w:multiLevelType w:val="singleLevel"/>
    <w:tmpl w:val="602C00D8"/>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3012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6449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5C26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34AC"/>
    <w:rsid w:val="00075A3F"/>
    <w:rsid w:val="000A1B16"/>
    <w:rsid w:val="000B5404"/>
    <w:rsid w:val="000B5A22"/>
    <w:rsid w:val="000D1708"/>
    <w:rsid w:val="000E2AFC"/>
    <w:rsid w:val="000E6D30"/>
    <w:rsid w:val="000F05F5"/>
    <w:rsid w:val="000F28EA"/>
    <w:rsid w:val="000F518F"/>
    <w:rsid w:val="0010081C"/>
    <w:rsid w:val="001013E3"/>
    <w:rsid w:val="0010363F"/>
    <w:rsid w:val="00124BD0"/>
    <w:rsid w:val="00145EB1"/>
    <w:rsid w:val="001464F2"/>
    <w:rsid w:val="001629EC"/>
    <w:rsid w:val="00167364"/>
    <w:rsid w:val="001903B2"/>
    <w:rsid w:val="001B64C8"/>
    <w:rsid w:val="001C50A9"/>
    <w:rsid w:val="001E190C"/>
    <w:rsid w:val="001E54F6"/>
    <w:rsid w:val="001E5A8C"/>
    <w:rsid w:val="00201A0A"/>
    <w:rsid w:val="00204971"/>
    <w:rsid w:val="002075D4"/>
    <w:rsid w:val="00211B2A"/>
    <w:rsid w:val="002333A0"/>
    <w:rsid w:val="002543CF"/>
    <w:rsid w:val="00255868"/>
    <w:rsid w:val="0026062E"/>
    <w:rsid w:val="00260F50"/>
    <w:rsid w:val="00261EF7"/>
    <w:rsid w:val="0027069F"/>
    <w:rsid w:val="00277869"/>
    <w:rsid w:val="00280E04"/>
    <w:rsid w:val="00281F5F"/>
    <w:rsid w:val="002843E4"/>
    <w:rsid w:val="0028528C"/>
    <w:rsid w:val="002919E1"/>
    <w:rsid w:val="00292F68"/>
    <w:rsid w:val="00295917"/>
    <w:rsid w:val="00296071"/>
    <w:rsid w:val="002A4572"/>
    <w:rsid w:val="002A7E2E"/>
    <w:rsid w:val="002B16D8"/>
    <w:rsid w:val="002C51E7"/>
    <w:rsid w:val="002D5F64"/>
    <w:rsid w:val="002D6FBF"/>
    <w:rsid w:val="002E48BF"/>
    <w:rsid w:val="002E61C2"/>
    <w:rsid w:val="0033737F"/>
    <w:rsid w:val="00353652"/>
    <w:rsid w:val="003569E1"/>
    <w:rsid w:val="003815E2"/>
    <w:rsid w:val="00381FAD"/>
    <w:rsid w:val="00382A66"/>
    <w:rsid w:val="003921DF"/>
    <w:rsid w:val="003923B1"/>
    <w:rsid w:val="003965FE"/>
    <w:rsid w:val="003A6AB4"/>
    <w:rsid w:val="003B27AD"/>
    <w:rsid w:val="003B4F23"/>
    <w:rsid w:val="003C12F6"/>
    <w:rsid w:val="003C3A13"/>
    <w:rsid w:val="003E02EF"/>
    <w:rsid w:val="003E1608"/>
    <w:rsid w:val="003E1D90"/>
    <w:rsid w:val="003E33E0"/>
    <w:rsid w:val="00400CD4"/>
    <w:rsid w:val="004147B9"/>
    <w:rsid w:val="00422C04"/>
    <w:rsid w:val="00426144"/>
    <w:rsid w:val="004444FF"/>
    <w:rsid w:val="00455A08"/>
    <w:rsid w:val="00461FA7"/>
    <w:rsid w:val="00463BBD"/>
    <w:rsid w:val="00470CBD"/>
    <w:rsid w:val="0047407D"/>
    <w:rsid w:val="004909DD"/>
    <w:rsid w:val="004A05E6"/>
    <w:rsid w:val="004A6C66"/>
    <w:rsid w:val="004A7AA0"/>
    <w:rsid w:val="004C11BC"/>
    <w:rsid w:val="004D4AE6"/>
    <w:rsid w:val="004E34FA"/>
    <w:rsid w:val="004F2FAA"/>
    <w:rsid w:val="005025CB"/>
    <w:rsid w:val="00505FCA"/>
    <w:rsid w:val="00510C2D"/>
    <w:rsid w:val="005169F4"/>
    <w:rsid w:val="005210D1"/>
    <w:rsid w:val="00523146"/>
    <w:rsid w:val="00523275"/>
    <w:rsid w:val="00531DC7"/>
    <w:rsid w:val="005350B0"/>
    <w:rsid w:val="00540AD7"/>
    <w:rsid w:val="005445FE"/>
    <w:rsid w:val="00546A99"/>
    <w:rsid w:val="00553411"/>
    <w:rsid w:val="00554AE7"/>
    <w:rsid w:val="00564746"/>
    <w:rsid w:val="0056512C"/>
    <w:rsid w:val="00576D0A"/>
    <w:rsid w:val="00576FCC"/>
    <w:rsid w:val="00584333"/>
    <w:rsid w:val="005930D8"/>
    <w:rsid w:val="005953EC"/>
    <w:rsid w:val="005B00A1"/>
    <w:rsid w:val="005B5C45"/>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5B67"/>
    <w:rsid w:val="006B658C"/>
    <w:rsid w:val="006D2674"/>
    <w:rsid w:val="006E38D0"/>
    <w:rsid w:val="006E465B"/>
    <w:rsid w:val="006E689F"/>
    <w:rsid w:val="006F1BAD"/>
    <w:rsid w:val="006F70BF"/>
    <w:rsid w:val="00716B1D"/>
    <w:rsid w:val="007248EC"/>
    <w:rsid w:val="00731150"/>
    <w:rsid w:val="00736DCC"/>
    <w:rsid w:val="00741855"/>
    <w:rsid w:val="00742B73"/>
    <w:rsid w:val="0074408A"/>
    <w:rsid w:val="00751251"/>
    <w:rsid w:val="007610E7"/>
    <w:rsid w:val="00764079"/>
    <w:rsid w:val="00770AA0"/>
    <w:rsid w:val="00771F7E"/>
    <w:rsid w:val="007723C7"/>
    <w:rsid w:val="00773E9C"/>
    <w:rsid w:val="00776F6B"/>
    <w:rsid w:val="00777694"/>
    <w:rsid w:val="00783A4E"/>
    <w:rsid w:val="00786A7E"/>
    <w:rsid w:val="007A0802"/>
    <w:rsid w:val="007A26E4"/>
    <w:rsid w:val="007B1FCA"/>
    <w:rsid w:val="007C2C12"/>
    <w:rsid w:val="007C3CFA"/>
    <w:rsid w:val="007E0E8B"/>
    <w:rsid w:val="007E784D"/>
    <w:rsid w:val="007F08CA"/>
    <w:rsid w:val="007F7FC3"/>
    <w:rsid w:val="0080636E"/>
    <w:rsid w:val="00810482"/>
    <w:rsid w:val="00817568"/>
    <w:rsid w:val="008204AC"/>
    <w:rsid w:val="008261C2"/>
    <w:rsid w:val="00830D96"/>
    <w:rsid w:val="00842461"/>
    <w:rsid w:val="008455BE"/>
    <w:rsid w:val="00846B97"/>
    <w:rsid w:val="0085569D"/>
    <w:rsid w:val="00855B59"/>
    <w:rsid w:val="0085774F"/>
    <w:rsid w:val="00864CE2"/>
    <w:rsid w:val="008657CB"/>
    <w:rsid w:val="00866A15"/>
    <w:rsid w:val="008747FC"/>
    <w:rsid w:val="0088384B"/>
    <w:rsid w:val="00886C79"/>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A7786"/>
    <w:rsid w:val="009B0BD8"/>
    <w:rsid w:val="009C437A"/>
    <w:rsid w:val="009D19A4"/>
    <w:rsid w:val="009D6348"/>
    <w:rsid w:val="009E613F"/>
    <w:rsid w:val="009F042B"/>
    <w:rsid w:val="009F48DD"/>
    <w:rsid w:val="009F7BA0"/>
    <w:rsid w:val="00A03FD6"/>
    <w:rsid w:val="00A116A8"/>
    <w:rsid w:val="00A22AE9"/>
    <w:rsid w:val="00A26758"/>
    <w:rsid w:val="00A26D0E"/>
    <w:rsid w:val="00A278E9"/>
    <w:rsid w:val="00A3451F"/>
    <w:rsid w:val="00A36268"/>
    <w:rsid w:val="00A40B2C"/>
    <w:rsid w:val="00A66D2B"/>
    <w:rsid w:val="00A72873"/>
    <w:rsid w:val="00A76C2A"/>
    <w:rsid w:val="00A83981"/>
    <w:rsid w:val="00A870AD"/>
    <w:rsid w:val="00A90843"/>
    <w:rsid w:val="00A91129"/>
    <w:rsid w:val="00A9645C"/>
    <w:rsid w:val="00AB2A33"/>
    <w:rsid w:val="00AC1275"/>
    <w:rsid w:val="00AC7395"/>
    <w:rsid w:val="00AD690F"/>
    <w:rsid w:val="00AD69DD"/>
    <w:rsid w:val="00AD706D"/>
    <w:rsid w:val="00AF41D1"/>
    <w:rsid w:val="00B01623"/>
    <w:rsid w:val="00B033DF"/>
    <w:rsid w:val="00B07CEE"/>
    <w:rsid w:val="00B12661"/>
    <w:rsid w:val="00B1714C"/>
    <w:rsid w:val="00B271A5"/>
    <w:rsid w:val="00B357E9"/>
    <w:rsid w:val="00B4164D"/>
    <w:rsid w:val="00B425C1"/>
    <w:rsid w:val="00B528DF"/>
    <w:rsid w:val="00B606BA"/>
    <w:rsid w:val="00B66817"/>
    <w:rsid w:val="00B71E3B"/>
    <w:rsid w:val="00B721D5"/>
    <w:rsid w:val="00B73F83"/>
    <w:rsid w:val="00B81CB5"/>
    <w:rsid w:val="00B8351F"/>
    <w:rsid w:val="00B86C44"/>
    <w:rsid w:val="00B94AC3"/>
    <w:rsid w:val="00B9727C"/>
    <w:rsid w:val="00BA610A"/>
    <w:rsid w:val="00BA7D44"/>
    <w:rsid w:val="00BD6EF3"/>
    <w:rsid w:val="00BE69C3"/>
    <w:rsid w:val="00BE70F5"/>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1ACA"/>
    <w:rsid w:val="00CE5BA4"/>
    <w:rsid w:val="00CF0A1F"/>
    <w:rsid w:val="00D13641"/>
    <w:rsid w:val="00D25120"/>
    <w:rsid w:val="00D419CB"/>
    <w:rsid w:val="00D44350"/>
    <w:rsid w:val="00D44E3F"/>
    <w:rsid w:val="00D468C3"/>
    <w:rsid w:val="00D525F5"/>
    <w:rsid w:val="00D535D0"/>
    <w:rsid w:val="00D62C78"/>
    <w:rsid w:val="00D6488B"/>
    <w:rsid w:val="00D65596"/>
    <w:rsid w:val="00D657A5"/>
    <w:rsid w:val="00D81703"/>
    <w:rsid w:val="00D82929"/>
    <w:rsid w:val="00D84214"/>
    <w:rsid w:val="00D943E5"/>
    <w:rsid w:val="00D94516"/>
    <w:rsid w:val="00DA1AE0"/>
    <w:rsid w:val="00DB7D14"/>
    <w:rsid w:val="00DC1707"/>
    <w:rsid w:val="00DC29DD"/>
    <w:rsid w:val="00DC7C0E"/>
    <w:rsid w:val="00DE157A"/>
    <w:rsid w:val="00DF2A6A"/>
    <w:rsid w:val="00DF3B72"/>
    <w:rsid w:val="00E10821"/>
    <w:rsid w:val="00E165ED"/>
    <w:rsid w:val="00E2489D"/>
    <w:rsid w:val="00E25C06"/>
    <w:rsid w:val="00E26520"/>
    <w:rsid w:val="00E343A3"/>
    <w:rsid w:val="00E51BFA"/>
    <w:rsid w:val="00E621A3"/>
    <w:rsid w:val="00E77D29"/>
    <w:rsid w:val="00E833BC"/>
    <w:rsid w:val="00E8580E"/>
    <w:rsid w:val="00EA17BD"/>
    <w:rsid w:val="00EA1B76"/>
    <w:rsid w:val="00EA77D7"/>
    <w:rsid w:val="00EB7472"/>
    <w:rsid w:val="00EC09B9"/>
    <w:rsid w:val="00ED048C"/>
    <w:rsid w:val="00ED1CF2"/>
    <w:rsid w:val="00ED2282"/>
    <w:rsid w:val="00ED4B29"/>
    <w:rsid w:val="00EE6C9A"/>
    <w:rsid w:val="00EF38AF"/>
    <w:rsid w:val="00F055F8"/>
    <w:rsid w:val="00F10CB4"/>
    <w:rsid w:val="00F11B3D"/>
    <w:rsid w:val="00F14763"/>
    <w:rsid w:val="00F16212"/>
    <w:rsid w:val="00F16602"/>
    <w:rsid w:val="00F219C5"/>
    <w:rsid w:val="00F25B80"/>
    <w:rsid w:val="00F25FF6"/>
    <w:rsid w:val="00F2685F"/>
    <w:rsid w:val="00F350C8"/>
    <w:rsid w:val="00F8654D"/>
    <w:rsid w:val="00F900C9"/>
    <w:rsid w:val="00F92C96"/>
    <w:rsid w:val="00FA0D4E"/>
    <w:rsid w:val="00FB0753"/>
    <w:rsid w:val="00FB5CC8"/>
    <w:rsid w:val="00FC2CD0"/>
    <w:rsid w:val="00FD0594"/>
    <w:rsid w:val="00FD2B01"/>
    <w:rsid w:val="00FF401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F5A85421-FACE-4985-B003-6746A3A1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6030">
      <w:bodyDiv w:val="1"/>
      <w:marLeft w:val="0"/>
      <w:marRight w:val="0"/>
      <w:marTop w:val="0"/>
      <w:marBottom w:val="0"/>
      <w:divBdr>
        <w:top w:val="none" w:sz="0" w:space="0" w:color="auto"/>
        <w:left w:val="none" w:sz="0" w:space="0" w:color="auto"/>
        <w:bottom w:val="none" w:sz="0" w:space="0" w:color="auto"/>
        <w:right w:val="none" w:sz="0" w:space="0" w:color="auto"/>
      </w:divBdr>
    </w:div>
    <w:div w:id="466508003">
      <w:bodyDiv w:val="1"/>
      <w:marLeft w:val="0"/>
      <w:marRight w:val="0"/>
      <w:marTop w:val="0"/>
      <w:marBottom w:val="0"/>
      <w:divBdr>
        <w:top w:val="none" w:sz="0" w:space="0" w:color="auto"/>
        <w:left w:val="none" w:sz="0" w:space="0" w:color="auto"/>
        <w:bottom w:val="none" w:sz="0" w:space="0" w:color="auto"/>
        <w:right w:val="none" w:sz="0" w:space="0" w:color="auto"/>
      </w:divBdr>
    </w:div>
    <w:div w:id="50640360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35157964">
      <w:bodyDiv w:val="1"/>
      <w:marLeft w:val="0"/>
      <w:marRight w:val="0"/>
      <w:marTop w:val="0"/>
      <w:marBottom w:val="0"/>
      <w:divBdr>
        <w:top w:val="none" w:sz="0" w:space="0" w:color="auto"/>
        <w:left w:val="none" w:sz="0" w:space="0" w:color="auto"/>
        <w:bottom w:val="none" w:sz="0" w:space="0" w:color="auto"/>
        <w:right w:val="none" w:sz="0" w:space="0" w:color="auto"/>
      </w:divBdr>
    </w:div>
    <w:div w:id="1787458050">
      <w:bodyDiv w:val="1"/>
      <w:marLeft w:val="0"/>
      <w:marRight w:val="0"/>
      <w:marTop w:val="0"/>
      <w:marBottom w:val="0"/>
      <w:divBdr>
        <w:top w:val="none" w:sz="0" w:space="0" w:color="auto"/>
        <w:left w:val="none" w:sz="0" w:space="0" w:color="auto"/>
        <w:bottom w:val="none" w:sz="0" w:space="0" w:color="auto"/>
        <w:right w:val="none" w:sz="0" w:space="0" w:color="auto"/>
      </w:divBdr>
    </w:div>
    <w:div w:id="20572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R15-WRC15-C-0061!A6!MSW-A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5B23F-B6B3-463E-A463-4B3248051069}">
  <ds:schemaRefs>
    <ds:schemaRef ds:uri="http://schemas.openxmlformats.org/package/2006/metadata/core-properties"/>
    <ds:schemaRef ds:uri="http://purl.org/dc/elements/1.1/"/>
    <ds:schemaRef ds:uri="http://schemas.microsoft.com/office/infopath/2007/PartnerControls"/>
    <ds:schemaRef ds:uri="32a1a8c5-2265-4ebc-b7a0-2071e2c5c9bb"/>
    <ds:schemaRef ds:uri="http://schemas.microsoft.com/office/2006/documentManagement/types"/>
    <ds:schemaRef ds:uri="996b2e75-67fd-4955-a3b0-5ab9934cb50b"/>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BA1CDC36-6FD6-455B-8DEA-B0C6C8B9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1512</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R15-WRC15-C-0061!A6!MSW-A</vt:lpstr>
    </vt:vector>
  </TitlesOfParts>
  <Manager>General Secretariat - Pool</Manager>
  <Company>International Telecommunication Union (ITU)</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R15-WRC15-C-0061!A6!MSW-A</dc:title>
  <dc:subject/>
  <dc:creator>Documents Proposals Manager (DPM)</dc:creator>
  <cp:keywords>DPM_v5.2015.10.15_prod</cp:keywords>
  <dc:description/>
  <cp:lastModifiedBy>Ajlouni, Nour</cp:lastModifiedBy>
  <cp:revision>23</cp:revision>
  <cp:lastPrinted>2015-10-30T09:17:00Z</cp:lastPrinted>
  <dcterms:created xsi:type="dcterms:W3CDTF">2015-10-30T08:18:00Z</dcterms:created>
  <dcterms:modified xsi:type="dcterms:W3CDTF">2015-10-30T13:14:00Z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