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77078B" w:rsidTr="0050008E">
        <w:trPr>
          <w:cantSplit/>
        </w:trPr>
        <w:tc>
          <w:tcPr>
            <w:tcW w:w="6911" w:type="dxa"/>
          </w:tcPr>
          <w:p w:rsidR="00BB1D82" w:rsidRPr="0077078B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77078B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77078B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77078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 w:rsidRPr="0077078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77078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77078B" w:rsidRDefault="002C28A4" w:rsidP="002C28A4">
            <w:pPr>
              <w:spacing w:before="0" w:line="240" w:lineRule="atLeast"/>
              <w:jc w:val="right"/>
              <w:rPr>
                <w:lang w:val="fr-CH"/>
              </w:rPr>
            </w:pPr>
            <w:bookmarkStart w:id="0" w:name="ditulogo"/>
            <w:bookmarkEnd w:id="0"/>
            <w:r w:rsidRPr="0077078B"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77078B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77078B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fr-CH"/>
              </w:rPr>
            </w:pPr>
            <w:bookmarkStart w:id="1" w:name="dhead"/>
            <w:r w:rsidRPr="0077078B">
              <w:rPr>
                <w:rFonts w:ascii="Verdana" w:hAnsi="Verdana"/>
                <w:b/>
                <w:bCs/>
                <w:sz w:val="20"/>
                <w:lang w:val="fr-CH"/>
              </w:rPr>
              <w:t>UNION INTERNATIONALE DES TÉLÉCOMMUNICATIONS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77078B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77078B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77078B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77078B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77078B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77078B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77078B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77078B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77078B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4 au</w:t>
            </w:r>
            <w:r w:rsidRPr="0077078B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61</w:t>
            </w:r>
            <w:r w:rsidR="00BB1D82" w:rsidRPr="0077078B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77078B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77078B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77078B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77078B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77078B">
              <w:rPr>
                <w:rFonts w:ascii="Verdana" w:hAnsi="Verdana"/>
                <w:b/>
                <w:sz w:val="20"/>
                <w:lang w:val="fr-CH"/>
              </w:rPr>
              <w:t>14 octobre 2015</w:t>
            </w:r>
          </w:p>
        </w:tc>
      </w:tr>
      <w:tr w:rsidR="00690C7B" w:rsidRPr="0077078B" w:rsidTr="00BB1D82">
        <w:trPr>
          <w:cantSplit/>
        </w:trPr>
        <w:tc>
          <w:tcPr>
            <w:tcW w:w="6911" w:type="dxa"/>
          </w:tcPr>
          <w:p w:rsidR="00690C7B" w:rsidRPr="0077078B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  <w:bookmarkStart w:id="2" w:name="_GoBack"/>
            <w:bookmarkEnd w:id="2"/>
          </w:p>
        </w:tc>
        <w:tc>
          <w:tcPr>
            <w:tcW w:w="3120" w:type="dxa"/>
          </w:tcPr>
          <w:p w:rsidR="00690C7B" w:rsidRPr="0077078B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77078B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690C7B" w:rsidRPr="0077078B" w:rsidTr="00C11970">
        <w:trPr>
          <w:cantSplit/>
        </w:trPr>
        <w:tc>
          <w:tcPr>
            <w:tcW w:w="10031" w:type="dxa"/>
            <w:gridSpan w:val="2"/>
          </w:tcPr>
          <w:p w:rsidR="00690C7B" w:rsidRPr="0077078B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77078B" w:rsidTr="0050008E">
        <w:trPr>
          <w:cantSplit/>
        </w:trPr>
        <w:tc>
          <w:tcPr>
            <w:tcW w:w="10031" w:type="dxa"/>
            <w:gridSpan w:val="2"/>
          </w:tcPr>
          <w:p w:rsidR="00690C7B" w:rsidRPr="0077078B" w:rsidRDefault="00690C7B" w:rsidP="00690C7B">
            <w:pPr>
              <w:pStyle w:val="Source"/>
              <w:rPr>
                <w:lang w:val="fr-CH"/>
              </w:rPr>
            </w:pPr>
            <w:bookmarkStart w:id="3" w:name="dsource" w:colFirst="0" w:colLast="0"/>
            <w:r w:rsidRPr="0077078B">
              <w:rPr>
                <w:lang w:val="fr-CH"/>
              </w:rPr>
              <w:t>Iran (République islamique d')</w:t>
            </w:r>
          </w:p>
        </w:tc>
      </w:tr>
      <w:tr w:rsidR="00690C7B" w:rsidRPr="0077078B" w:rsidTr="0050008E">
        <w:trPr>
          <w:cantSplit/>
        </w:trPr>
        <w:tc>
          <w:tcPr>
            <w:tcW w:w="10031" w:type="dxa"/>
            <w:gridSpan w:val="2"/>
          </w:tcPr>
          <w:p w:rsidR="00690C7B" w:rsidRPr="0077078B" w:rsidRDefault="00D9250B" w:rsidP="00873012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3"/>
            <w:r w:rsidRPr="0077078B">
              <w:rPr>
                <w:lang w:val="fr-CH"/>
              </w:rPr>
              <w:t>propositions pour les travaux de la conf</w:t>
            </w:r>
            <w:r w:rsidR="00873012">
              <w:rPr>
                <w:lang w:val="fr-CH"/>
              </w:rPr>
              <w:t>é</w:t>
            </w:r>
            <w:r w:rsidRPr="0077078B">
              <w:rPr>
                <w:lang w:val="fr-CH"/>
              </w:rPr>
              <w:t>rence</w:t>
            </w:r>
          </w:p>
        </w:tc>
      </w:tr>
      <w:tr w:rsidR="00690C7B" w:rsidRPr="0077078B" w:rsidTr="0050008E">
        <w:trPr>
          <w:cantSplit/>
        </w:trPr>
        <w:tc>
          <w:tcPr>
            <w:tcW w:w="10031" w:type="dxa"/>
            <w:gridSpan w:val="2"/>
          </w:tcPr>
          <w:p w:rsidR="00690C7B" w:rsidRPr="0077078B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RPr="0077078B" w:rsidTr="0050008E">
        <w:trPr>
          <w:cantSplit/>
        </w:trPr>
        <w:tc>
          <w:tcPr>
            <w:tcW w:w="10031" w:type="dxa"/>
            <w:gridSpan w:val="2"/>
          </w:tcPr>
          <w:p w:rsidR="00690C7B" w:rsidRPr="0077078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77078B">
              <w:t>Point 1.4 de l'ordre du jour</w:t>
            </w:r>
          </w:p>
        </w:tc>
      </w:tr>
    </w:tbl>
    <w:bookmarkEnd w:id="6"/>
    <w:p w:rsidR="003A583E" w:rsidRPr="0077078B" w:rsidRDefault="00A164FC" w:rsidP="00650B83">
      <w:pPr>
        <w:rPr>
          <w:lang w:val="fr-CH"/>
        </w:rPr>
      </w:pPr>
      <w:r w:rsidRPr="0077078B">
        <w:rPr>
          <w:lang w:val="fr-CH"/>
        </w:rPr>
        <w:t>1.4</w:t>
      </w:r>
      <w:r w:rsidRPr="0077078B">
        <w:rPr>
          <w:lang w:val="fr-CH"/>
        </w:rPr>
        <w:tab/>
        <w:t>envisager une nouvelle attribution possible au service d'amateur à titre secondaire dans la bande 5 250-5 450 kHz, conformément à la Résolution </w:t>
      </w:r>
      <w:r w:rsidRPr="0077078B">
        <w:rPr>
          <w:rFonts w:ascii="Times New Roman Bold" w:hAnsi="Times New Roman Bold" w:cs="Times New Roman Bold"/>
          <w:b/>
          <w:lang w:val="fr-CH"/>
        </w:rPr>
        <w:t>649 (CMR</w:t>
      </w:r>
      <w:r w:rsidRPr="0077078B">
        <w:rPr>
          <w:rFonts w:ascii="Times New Roman Bold" w:hAnsi="Times New Roman Bold" w:cs="Times New Roman Bold"/>
          <w:b/>
          <w:lang w:val="fr-CH"/>
        </w:rPr>
        <w:noBreakHyphen/>
        <w:t>12)</w:t>
      </w:r>
      <w:r w:rsidRPr="0077078B">
        <w:rPr>
          <w:lang w:val="fr-CH"/>
        </w:rPr>
        <w:t>;</w:t>
      </w:r>
    </w:p>
    <w:p w:rsidR="00650B83" w:rsidRPr="0077078B" w:rsidRDefault="00650B83" w:rsidP="00650B83">
      <w:pPr>
        <w:pStyle w:val="Headingb"/>
        <w:rPr>
          <w:lang w:val="fr-CH"/>
        </w:rPr>
      </w:pPr>
      <w:r w:rsidRPr="0077078B">
        <w:rPr>
          <w:lang w:val="fr-CH"/>
        </w:rPr>
        <w:t>Introduction</w:t>
      </w:r>
    </w:p>
    <w:p w:rsidR="00207BFD" w:rsidRDefault="0077078B" w:rsidP="009D570B">
      <w:r w:rsidRPr="0077078B">
        <w:rPr>
          <w:lang w:val="fr-CH"/>
        </w:rPr>
        <w:t>L’Administration de l</w:t>
      </w:r>
      <w:r>
        <w:rPr>
          <w:lang w:val="fr-CH"/>
        </w:rPr>
        <w:t xml:space="preserve">a République islamique d’Iran estime que la </w:t>
      </w:r>
      <w:r w:rsidRPr="0077078B">
        <w:t>compatibilité des stations</w:t>
      </w:r>
      <w:r>
        <w:t xml:space="preserve"> d'amateur avec les </w:t>
      </w:r>
      <w:r w:rsidR="00B37666">
        <w:t>stations des</w:t>
      </w:r>
      <w:r>
        <w:t xml:space="preserve"> service</w:t>
      </w:r>
      <w:r w:rsidR="00B37666">
        <w:t>s</w:t>
      </w:r>
      <w:r>
        <w:t xml:space="preserve"> fixe</w:t>
      </w:r>
      <w:r w:rsidR="00B37666">
        <w:t xml:space="preserve"> et </w:t>
      </w:r>
      <w:r>
        <w:t>mobile</w:t>
      </w:r>
      <w:r w:rsidRPr="0077078B">
        <w:t xml:space="preserve"> est extrêmement difficile et </w:t>
      </w:r>
      <w:r w:rsidR="00B37666">
        <w:t>nécessite</w:t>
      </w:r>
      <w:r w:rsidRPr="0077078B">
        <w:t xml:space="preserve"> que des contraintes </w:t>
      </w:r>
      <w:r w:rsidR="00B37666">
        <w:t xml:space="preserve">techniques et </w:t>
      </w:r>
      <w:r w:rsidRPr="0077078B">
        <w:t>opérationnelles soient imposées aux stations d'amateur</w:t>
      </w:r>
      <w:r>
        <w:t xml:space="preserve">. </w:t>
      </w:r>
      <w:r w:rsidR="00650B83" w:rsidRPr="0077078B">
        <w:rPr>
          <w:lang w:val="fr-CH"/>
        </w:rPr>
        <w:t>Dans le cas de la gamme de fréquences 5 250-5 275 kHz, attribuée au service de radiolocalisation (SRL) pour les applications océanographiques, il est ressorti d'études précédentes menées par l'UIT</w:t>
      </w:r>
      <w:r w:rsidR="00650B83" w:rsidRPr="0077078B">
        <w:rPr>
          <w:lang w:val="fr-CH"/>
        </w:rPr>
        <w:noBreakHyphen/>
        <w:t>R que le partage semble difficile ...</w:t>
      </w:r>
      <w:r w:rsidR="00650B83" w:rsidRPr="0077078B">
        <w:rPr>
          <w:rStyle w:val="FootnoteReference"/>
          <w:lang w:val="fr-CH"/>
        </w:rPr>
        <w:t xml:space="preserve"> </w:t>
      </w:r>
      <w:r w:rsidR="00650B83" w:rsidRPr="0077078B">
        <w:rPr>
          <w:rStyle w:val="FootnoteReference"/>
          <w:lang w:val="fr-CH"/>
        </w:rPr>
        <w:footnoteReference w:id="1"/>
      </w:r>
      <w:r w:rsidR="00650B83" w:rsidRPr="0077078B">
        <w:rPr>
          <w:lang w:val="fr-CH"/>
        </w:rPr>
        <w:t xml:space="preserve">. </w:t>
      </w:r>
      <w:r w:rsidRPr="0077078B">
        <w:t>C'est pourquoi la possibilité d'une attribution</w:t>
      </w:r>
      <w:r>
        <w:t xml:space="preserve"> mondiale ou régionale</w:t>
      </w:r>
      <w:r w:rsidRPr="0077078B">
        <w:t xml:space="preserve"> à titre secondaire au </w:t>
      </w:r>
      <w:r>
        <w:t>service d’amateur</w:t>
      </w:r>
      <w:r w:rsidRPr="0077078B">
        <w:t xml:space="preserve"> dans la bande de fréquences 5 250</w:t>
      </w:r>
      <w:r w:rsidRPr="0077078B">
        <w:noBreakHyphen/>
        <w:t>5 </w:t>
      </w:r>
      <w:r>
        <w:t>450</w:t>
      </w:r>
      <w:r w:rsidRPr="0077078B">
        <w:t xml:space="preserve"> kHz ne devrait pas être </w:t>
      </w:r>
      <w:r>
        <w:t>envisagée</w:t>
      </w:r>
      <w:r w:rsidRPr="0077078B">
        <w:t>.</w:t>
      </w:r>
    </w:p>
    <w:p w:rsidR="0015203F" w:rsidRPr="0077078B" w:rsidRDefault="0015203F" w:rsidP="00B37666">
      <w:pPr>
        <w:spacing w:line="480" w:lineRule="auto"/>
        <w:rPr>
          <w:lang w:val="fr-CH"/>
        </w:rPr>
      </w:pPr>
      <w:r w:rsidRPr="0077078B">
        <w:rPr>
          <w:lang w:val="fr-CH"/>
        </w:rPr>
        <w:br w:type="page"/>
      </w:r>
    </w:p>
    <w:p w:rsidR="004A6A8C" w:rsidRPr="0077078B" w:rsidRDefault="00A164FC" w:rsidP="00D94B99">
      <w:pPr>
        <w:pStyle w:val="ArtNo"/>
        <w:rPr>
          <w:lang w:val="fr-CH"/>
        </w:rPr>
      </w:pPr>
      <w:r w:rsidRPr="0077078B">
        <w:rPr>
          <w:lang w:val="fr-CH"/>
        </w:rPr>
        <w:lastRenderedPageBreak/>
        <w:t xml:space="preserve">ARTICLE </w:t>
      </w:r>
      <w:r w:rsidRPr="0077078B">
        <w:rPr>
          <w:rStyle w:val="href"/>
          <w:color w:val="000000"/>
          <w:lang w:val="fr-CH"/>
        </w:rPr>
        <w:t>5</w:t>
      </w:r>
    </w:p>
    <w:p w:rsidR="004A6A8C" w:rsidRPr="0077078B" w:rsidRDefault="00A164FC" w:rsidP="00D94B99">
      <w:pPr>
        <w:pStyle w:val="Arttitle"/>
        <w:rPr>
          <w:lang w:val="fr-CH"/>
        </w:rPr>
      </w:pPr>
      <w:r w:rsidRPr="0077078B">
        <w:rPr>
          <w:lang w:val="fr-CH"/>
        </w:rPr>
        <w:t>Attribution des bandes de fréquences</w:t>
      </w:r>
    </w:p>
    <w:p w:rsidR="004A6A8C" w:rsidRPr="0077078B" w:rsidRDefault="00A164FC" w:rsidP="00D94B99">
      <w:pPr>
        <w:pStyle w:val="Section1"/>
        <w:keepNext/>
        <w:rPr>
          <w:lang w:val="fr-CH"/>
        </w:rPr>
      </w:pPr>
      <w:r w:rsidRPr="0077078B">
        <w:rPr>
          <w:lang w:val="fr-CH"/>
        </w:rPr>
        <w:t>Section IV – Tableau d'attribution des bandes de fréquences</w:t>
      </w:r>
      <w:r w:rsidRPr="0077078B">
        <w:rPr>
          <w:lang w:val="fr-CH"/>
        </w:rPr>
        <w:br/>
      </w:r>
      <w:r w:rsidRPr="00093303">
        <w:rPr>
          <w:b w:val="0"/>
          <w:bCs/>
          <w:lang w:val="fr-CH"/>
        </w:rPr>
        <w:t xml:space="preserve">(Voir le numéro </w:t>
      </w:r>
      <w:r w:rsidRPr="0077078B">
        <w:rPr>
          <w:lang w:val="fr-CH"/>
        </w:rPr>
        <w:t>2.1</w:t>
      </w:r>
      <w:r w:rsidRPr="00093303">
        <w:rPr>
          <w:b w:val="0"/>
          <w:bCs/>
          <w:lang w:val="fr-CH"/>
        </w:rPr>
        <w:t>)</w:t>
      </w:r>
      <w:r w:rsidRPr="0077078B">
        <w:rPr>
          <w:b w:val="0"/>
          <w:color w:val="000000"/>
          <w:lang w:val="fr-CH"/>
        </w:rPr>
        <w:br/>
      </w:r>
      <w:r w:rsidRPr="0077078B">
        <w:rPr>
          <w:b w:val="0"/>
          <w:color w:val="000000"/>
          <w:lang w:val="fr-CH"/>
        </w:rPr>
        <w:br/>
      </w:r>
    </w:p>
    <w:p w:rsidR="003F227B" w:rsidRPr="0077078B" w:rsidRDefault="00A164FC">
      <w:pPr>
        <w:pStyle w:val="Proposal"/>
        <w:rPr>
          <w:lang w:val="fr-CH"/>
        </w:rPr>
      </w:pPr>
      <w:r w:rsidRPr="0077078B">
        <w:rPr>
          <w:u w:val="single"/>
          <w:lang w:val="fr-CH"/>
        </w:rPr>
        <w:t>NOC</w:t>
      </w:r>
      <w:r w:rsidRPr="0077078B">
        <w:rPr>
          <w:lang w:val="fr-CH"/>
        </w:rPr>
        <w:tab/>
        <w:t>IRN/61A4/1</w:t>
      </w:r>
    </w:p>
    <w:p w:rsidR="004A6A8C" w:rsidRPr="0077078B" w:rsidRDefault="00A164FC" w:rsidP="004B50BC">
      <w:pPr>
        <w:pStyle w:val="Tabletitle"/>
        <w:rPr>
          <w:lang w:val="fr-CH"/>
        </w:rPr>
      </w:pPr>
      <w:r w:rsidRPr="0077078B">
        <w:rPr>
          <w:lang w:val="fr-CH"/>
        </w:rPr>
        <w:t>5 003-7 450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1"/>
        <w:gridCol w:w="3118"/>
        <w:gridCol w:w="3119"/>
      </w:tblGrid>
      <w:tr w:rsidR="004A6A8C" w:rsidRPr="0077078B" w:rsidTr="0042678D">
        <w:trPr>
          <w:cantSplit/>
          <w:jc w:val="center"/>
        </w:trPr>
        <w:tc>
          <w:tcPr>
            <w:tcW w:w="9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7078B" w:rsidRDefault="00A164FC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Attribution aux services</w:t>
            </w:r>
          </w:p>
        </w:tc>
      </w:tr>
      <w:tr w:rsidR="004A6A8C" w:rsidRPr="0077078B" w:rsidTr="0042678D">
        <w:trPr>
          <w:cantSplit/>
          <w:jc w:val="center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7078B" w:rsidRDefault="00A164FC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7078B" w:rsidRDefault="00A164FC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Région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7078B" w:rsidRDefault="00A164FC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Région 3</w:t>
            </w:r>
          </w:p>
        </w:tc>
      </w:tr>
      <w:tr w:rsidR="004A6A8C" w:rsidRPr="0077078B" w:rsidTr="0042678D">
        <w:trPr>
          <w:cantSplit/>
          <w:jc w:val="center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77078B" w:rsidRDefault="00A164FC" w:rsidP="007F3EC6">
            <w:pPr>
              <w:pStyle w:val="TableTextS5"/>
              <w:spacing w:line="200" w:lineRule="exact"/>
              <w:rPr>
                <w:rStyle w:val="Tablefreq"/>
                <w:szCs w:val="18"/>
                <w:lang w:val="fr-CH"/>
              </w:rPr>
            </w:pPr>
            <w:r w:rsidRPr="0077078B">
              <w:rPr>
                <w:rStyle w:val="Tablefreq"/>
                <w:szCs w:val="18"/>
                <w:lang w:val="fr-CH"/>
              </w:rPr>
              <w:t>5 250-5 275</w:t>
            </w:r>
          </w:p>
          <w:p w:rsidR="004A6A8C" w:rsidRPr="0077078B" w:rsidRDefault="00A164FC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FIXE</w:t>
            </w:r>
          </w:p>
          <w:p w:rsidR="004A6A8C" w:rsidRPr="0077078B" w:rsidRDefault="00A164FC" w:rsidP="007D06AF">
            <w:pPr>
              <w:pStyle w:val="Tabletext"/>
              <w:spacing w:before="20" w:after="20" w:line="200" w:lineRule="exact"/>
              <w:ind w:left="284" w:hanging="284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 xml:space="preserve">MOBILE sauf mobile </w:t>
            </w:r>
            <w:r w:rsidRPr="0077078B">
              <w:rPr>
                <w:color w:val="000000"/>
                <w:sz w:val="18"/>
                <w:szCs w:val="18"/>
                <w:lang w:val="fr-CH"/>
              </w:rPr>
              <w:br/>
              <w:t>aéronautique</w:t>
            </w:r>
          </w:p>
          <w:p w:rsidR="004A6A8C" w:rsidRPr="0077078B" w:rsidRDefault="00A164FC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 xml:space="preserve">Radiolocalisation 5.132A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77078B" w:rsidRDefault="00A164FC" w:rsidP="00D94B99">
            <w:pPr>
              <w:pStyle w:val="TableTextS5"/>
              <w:keepNext/>
              <w:keepLines/>
              <w:spacing w:line="200" w:lineRule="exact"/>
              <w:rPr>
                <w:rStyle w:val="Tablefreq"/>
                <w:szCs w:val="18"/>
                <w:lang w:val="fr-CH"/>
              </w:rPr>
            </w:pPr>
            <w:r w:rsidRPr="0077078B">
              <w:rPr>
                <w:rStyle w:val="Tablefreq"/>
                <w:szCs w:val="18"/>
                <w:lang w:val="fr-CH"/>
              </w:rPr>
              <w:t>5 250-5 275</w:t>
            </w:r>
          </w:p>
          <w:p w:rsidR="004A6A8C" w:rsidRPr="0077078B" w:rsidRDefault="00A164FC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FIXE</w:t>
            </w:r>
          </w:p>
          <w:p w:rsidR="004A6A8C" w:rsidRPr="0077078B" w:rsidRDefault="00A164FC" w:rsidP="007D06AF">
            <w:pPr>
              <w:pStyle w:val="Tabletext"/>
              <w:spacing w:before="20" w:after="20" w:line="200" w:lineRule="exact"/>
              <w:ind w:left="284" w:hanging="284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 xml:space="preserve">MOBILE sauf mobile </w:t>
            </w:r>
            <w:r w:rsidRPr="0077078B">
              <w:rPr>
                <w:color w:val="000000"/>
                <w:sz w:val="18"/>
                <w:szCs w:val="18"/>
                <w:lang w:val="fr-CH"/>
              </w:rPr>
              <w:br/>
              <w:t>aéronautique</w:t>
            </w:r>
          </w:p>
          <w:p w:rsidR="004A6A8C" w:rsidRPr="0077078B" w:rsidRDefault="00A164FC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RADIOLOCALISATION 5.132A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77078B" w:rsidRDefault="00A164FC" w:rsidP="00D94B99">
            <w:pPr>
              <w:pStyle w:val="TableTextS5"/>
              <w:keepNext/>
              <w:keepLines/>
              <w:spacing w:line="200" w:lineRule="exact"/>
              <w:rPr>
                <w:rStyle w:val="Tablefreq"/>
                <w:szCs w:val="18"/>
                <w:lang w:val="fr-CH"/>
              </w:rPr>
            </w:pPr>
            <w:r w:rsidRPr="0077078B">
              <w:rPr>
                <w:rStyle w:val="Tablefreq"/>
                <w:szCs w:val="18"/>
                <w:lang w:val="fr-CH"/>
              </w:rPr>
              <w:t>5 250-5 275</w:t>
            </w:r>
          </w:p>
          <w:p w:rsidR="004A6A8C" w:rsidRPr="0077078B" w:rsidRDefault="00A164FC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FIXE</w:t>
            </w:r>
          </w:p>
          <w:p w:rsidR="004A6A8C" w:rsidRPr="0077078B" w:rsidRDefault="00A164FC" w:rsidP="007D06AF">
            <w:pPr>
              <w:pStyle w:val="Tabletext"/>
              <w:spacing w:before="20" w:after="20" w:line="200" w:lineRule="exact"/>
              <w:ind w:left="284" w:hanging="284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 xml:space="preserve">MOBILE sauf mobile </w:t>
            </w:r>
            <w:r w:rsidRPr="0077078B">
              <w:rPr>
                <w:color w:val="000000"/>
                <w:sz w:val="18"/>
                <w:szCs w:val="18"/>
                <w:lang w:val="fr-CH"/>
              </w:rPr>
              <w:br/>
              <w:t>aéronautique</w:t>
            </w:r>
          </w:p>
          <w:p w:rsidR="004A6A8C" w:rsidRPr="0077078B" w:rsidRDefault="00A164FC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Radiolocalisation 5.132A</w:t>
            </w:r>
          </w:p>
        </w:tc>
      </w:tr>
      <w:tr w:rsidR="004A6A8C" w:rsidRPr="0077078B" w:rsidTr="0042678D">
        <w:trPr>
          <w:cantSplit/>
          <w:jc w:val="center"/>
        </w:trPr>
        <w:tc>
          <w:tcPr>
            <w:tcW w:w="31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A8C" w:rsidRPr="0077078B" w:rsidRDefault="00A164FC" w:rsidP="007F3EC6">
            <w:pPr>
              <w:pStyle w:val="TableTextS5"/>
              <w:spacing w:line="200" w:lineRule="exact"/>
              <w:rPr>
                <w:rStyle w:val="Tablefreq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>5.133A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A8C" w:rsidRPr="0077078B" w:rsidRDefault="009F5FBC" w:rsidP="00D94B99">
            <w:pPr>
              <w:pStyle w:val="TableTextS5"/>
              <w:keepNext/>
              <w:keepLines/>
              <w:spacing w:line="200" w:lineRule="exact"/>
              <w:rPr>
                <w:rStyle w:val="Tablefreq"/>
                <w:szCs w:val="18"/>
                <w:lang w:val="fr-CH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A8C" w:rsidRPr="0077078B" w:rsidRDefault="009F5FBC" w:rsidP="00D94B99">
            <w:pPr>
              <w:pStyle w:val="TableTextS5"/>
              <w:keepNext/>
              <w:keepLines/>
              <w:spacing w:line="200" w:lineRule="exact"/>
              <w:rPr>
                <w:rStyle w:val="Tablefreq"/>
                <w:szCs w:val="18"/>
                <w:lang w:val="fr-CH"/>
              </w:rPr>
            </w:pPr>
          </w:p>
        </w:tc>
      </w:tr>
      <w:tr w:rsidR="004A6A8C" w:rsidRPr="0077078B" w:rsidTr="0042678D">
        <w:trPr>
          <w:cantSplit/>
          <w:jc w:val="center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77078B" w:rsidRDefault="00A164FC" w:rsidP="00D94B99">
            <w:pPr>
              <w:pStyle w:val="TableTextS5"/>
              <w:spacing w:line="200" w:lineRule="exact"/>
              <w:rPr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rStyle w:val="Tablefreq"/>
                <w:szCs w:val="18"/>
                <w:lang w:val="fr-CH"/>
              </w:rPr>
              <w:t>5 275-5 450</w:t>
            </w:r>
            <w:r w:rsidRPr="0077078B">
              <w:rPr>
                <w:color w:val="000000"/>
                <w:sz w:val="18"/>
                <w:szCs w:val="18"/>
                <w:lang w:val="fr-CH"/>
              </w:rPr>
              <w:tab/>
              <w:t>FIXE</w:t>
            </w:r>
          </w:p>
          <w:p w:rsidR="004A6A8C" w:rsidRPr="0077078B" w:rsidRDefault="00A164FC" w:rsidP="00D94B99">
            <w:pPr>
              <w:pStyle w:val="TableTextS5"/>
              <w:spacing w:before="20" w:after="20" w:line="200" w:lineRule="exact"/>
              <w:rPr>
                <w:b/>
                <w:color w:val="000000"/>
                <w:sz w:val="18"/>
                <w:szCs w:val="18"/>
                <w:lang w:val="fr-CH"/>
              </w:rPr>
            </w:pPr>
            <w:r w:rsidRPr="0077078B">
              <w:rPr>
                <w:color w:val="000000"/>
                <w:sz w:val="18"/>
                <w:szCs w:val="18"/>
                <w:lang w:val="fr-CH"/>
              </w:rPr>
              <w:tab/>
            </w:r>
            <w:r w:rsidRPr="0077078B">
              <w:rPr>
                <w:color w:val="000000"/>
                <w:sz w:val="18"/>
                <w:szCs w:val="18"/>
                <w:lang w:val="fr-CH"/>
              </w:rPr>
              <w:tab/>
            </w:r>
            <w:r w:rsidRPr="0077078B">
              <w:rPr>
                <w:color w:val="000000"/>
                <w:sz w:val="18"/>
                <w:szCs w:val="18"/>
                <w:lang w:val="fr-CH"/>
              </w:rPr>
              <w:tab/>
            </w:r>
            <w:r w:rsidRPr="0077078B">
              <w:rPr>
                <w:color w:val="000000"/>
                <w:sz w:val="18"/>
                <w:szCs w:val="18"/>
                <w:lang w:val="fr-CH"/>
              </w:rPr>
              <w:tab/>
              <w:t>MOBILE sauf mobile aéronautique</w:t>
            </w:r>
          </w:p>
        </w:tc>
      </w:tr>
    </w:tbl>
    <w:p w:rsidR="00DD4791" w:rsidRDefault="00A164FC" w:rsidP="00B63CB7">
      <w:pPr>
        <w:pStyle w:val="Reasons"/>
        <w:rPr>
          <w:lang w:val="fr-CH"/>
        </w:rPr>
      </w:pPr>
      <w:r w:rsidRPr="0077078B">
        <w:rPr>
          <w:b/>
          <w:lang w:val="fr-CH"/>
        </w:rPr>
        <w:t>Motifs:</w:t>
      </w:r>
      <w:r w:rsidRPr="0077078B">
        <w:rPr>
          <w:lang w:val="fr-CH"/>
        </w:rPr>
        <w:tab/>
      </w:r>
      <w:r w:rsidR="007673E2">
        <w:rPr>
          <w:lang w:val="fr-CH"/>
        </w:rPr>
        <w:t xml:space="preserve">Selon les résultats des études de l’UIT-R, </w:t>
      </w:r>
      <w:r w:rsidR="00207BFD">
        <w:rPr>
          <w:lang w:val="fr-CH"/>
        </w:rPr>
        <w:t>il faudrait</w:t>
      </w:r>
      <w:r w:rsidR="007673E2">
        <w:rPr>
          <w:lang w:val="fr-CH"/>
        </w:rPr>
        <w:t xml:space="preserve"> limiter la puissance produite par les stations d’amateur </w:t>
      </w:r>
      <w:r w:rsidR="00207BFD">
        <w:rPr>
          <w:lang w:val="fr-CH"/>
        </w:rPr>
        <w:t>pour</w:t>
      </w:r>
      <w:r w:rsidR="007673E2">
        <w:rPr>
          <w:lang w:val="fr-CH"/>
        </w:rPr>
        <w:t xml:space="preserve"> protéger les services existants contre les brouillages préjudiciables </w:t>
      </w:r>
      <w:r w:rsidR="00207BFD">
        <w:rPr>
          <w:lang w:val="fr-CH"/>
        </w:rPr>
        <w:t>qui</w:t>
      </w:r>
      <w:r w:rsidR="007673E2">
        <w:rPr>
          <w:lang w:val="fr-CH"/>
        </w:rPr>
        <w:t xml:space="preserve"> </w:t>
      </w:r>
      <w:r w:rsidR="00207BFD">
        <w:rPr>
          <w:lang w:val="fr-CH"/>
        </w:rPr>
        <w:t>résulterai</w:t>
      </w:r>
      <w:r w:rsidR="009D570B">
        <w:rPr>
          <w:lang w:val="fr-CH"/>
        </w:rPr>
        <w:t>en</w:t>
      </w:r>
      <w:r w:rsidR="00207BFD">
        <w:rPr>
          <w:lang w:val="fr-CH"/>
        </w:rPr>
        <w:t>t d'</w:t>
      </w:r>
      <w:r w:rsidR="007673E2">
        <w:rPr>
          <w:lang w:val="fr-CH"/>
        </w:rPr>
        <w:t xml:space="preserve">une nouvelle attribution à titre secondaire </w:t>
      </w:r>
      <w:r w:rsidR="00207BFD">
        <w:rPr>
          <w:lang w:val="fr-CH"/>
        </w:rPr>
        <w:t>dans la bande de fréquences 5 25</w:t>
      </w:r>
      <w:r w:rsidR="007673E2">
        <w:rPr>
          <w:lang w:val="fr-CH"/>
        </w:rPr>
        <w:t>0-5 450</w:t>
      </w:r>
      <w:r w:rsidR="00207BFD">
        <w:rPr>
          <w:lang w:val="fr-CH"/>
        </w:rPr>
        <w:t> </w:t>
      </w:r>
      <w:r w:rsidR="007673E2">
        <w:rPr>
          <w:lang w:val="fr-CH"/>
        </w:rPr>
        <w:t xml:space="preserve">kHz. Une telle </w:t>
      </w:r>
      <w:r w:rsidR="002266E3">
        <w:rPr>
          <w:lang w:val="fr-CH"/>
        </w:rPr>
        <w:t>restriction</w:t>
      </w:r>
      <w:r w:rsidR="007673E2">
        <w:rPr>
          <w:lang w:val="fr-CH"/>
        </w:rPr>
        <w:t xml:space="preserve"> réduirait la distance sur laquelle les stations d’amateur peuvent émettre, </w:t>
      </w:r>
      <w:r w:rsidR="002266E3">
        <w:rPr>
          <w:lang w:val="fr-CH"/>
        </w:rPr>
        <w:t xml:space="preserve">qui </w:t>
      </w:r>
      <w:r w:rsidR="007673E2">
        <w:rPr>
          <w:lang w:val="fr-CH"/>
        </w:rPr>
        <w:t>par exemple</w:t>
      </w:r>
      <w:r w:rsidR="002266E3">
        <w:rPr>
          <w:lang w:val="fr-CH"/>
        </w:rPr>
        <w:t xml:space="preserve"> serait réduite</w:t>
      </w:r>
      <w:r w:rsidR="007673E2">
        <w:rPr>
          <w:lang w:val="fr-CH"/>
        </w:rPr>
        <w:t xml:space="preserve"> au niveau national, alors même que, comme indiqué </w:t>
      </w:r>
      <w:r w:rsidR="002266E3">
        <w:rPr>
          <w:lang w:val="fr-CH"/>
        </w:rPr>
        <w:t>au</w:t>
      </w:r>
      <w:r w:rsidR="007673E2">
        <w:rPr>
          <w:lang w:val="fr-CH"/>
        </w:rPr>
        <w:t xml:space="preserve"> numéro</w:t>
      </w:r>
      <w:r w:rsidR="00B63CB7">
        <w:rPr>
          <w:lang w:val="fr-CH"/>
        </w:rPr>
        <w:t> </w:t>
      </w:r>
      <w:r w:rsidR="007673E2">
        <w:rPr>
          <w:lang w:val="fr-CH"/>
        </w:rPr>
        <w:t xml:space="preserve">25.1 du RR, le principal objet du service d’amateur </w:t>
      </w:r>
      <w:r w:rsidR="002266E3">
        <w:rPr>
          <w:lang w:val="fr-CH"/>
        </w:rPr>
        <w:t>est</w:t>
      </w:r>
      <w:r w:rsidR="007673E2">
        <w:rPr>
          <w:lang w:val="fr-CH"/>
        </w:rPr>
        <w:t xml:space="preserve"> de permettre les «radiocommunications entre stations d’amateur de pays différents». En conséquence, une attribution mondiale </w:t>
      </w:r>
      <w:r w:rsidR="002266E3">
        <w:rPr>
          <w:lang w:val="fr-CH"/>
        </w:rPr>
        <w:t>ou</w:t>
      </w:r>
      <w:r w:rsidR="007673E2">
        <w:rPr>
          <w:lang w:val="fr-CH"/>
        </w:rPr>
        <w:t xml:space="preserve"> régional</w:t>
      </w:r>
      <w:r w:rsidR="002266E3">
        <w:rPr>
          <w:lang w:val="fr-CH"/>
        </w:rPr>
        <w:t>e</w:t>
      </w:r>
      <w:r w:rsidR="007673E2">
        <w:rPr>
          <w:lang w:val="fr-CH"/>
        </w:rPr>
        <w:t xml:space="preserve"> à titre secondaire</w:t>
      </w:r>
      <w:r w:rsidR="00DD4791">
        <w:rPr>
          <w:lang w:val="fr-CH"/>
        </w:rPr>
        <w:t xml:space="preserve"> </w:t>
      </w:r>
      <w:r w:rsidR="002266E3">
        <w:rPr>
          <w:lang w:val="fr-CH"/>
        </w:rPr>
        <w:t>soumises à</w:t>
      </w:r>
      <w:r w:rsidR="00DD4791">
        <w:rPr>
          <w:lang w:val="fr-CH"/>
        </w:rPr>
        <w:t xml:space="preserve"> de telles restrictions irait à l’encontre de l’esprit du service d’amateur.</w:t>
      </w:r>
    </w:p>
    <w:p w:rsidR="007673E2" w:rsidRDefault="00DD4791" w:rsidP="009D570B">
      <w:pPr>
        <w:pStyle w:val="Reasons"/>
        <w:rPr>
          <w:lang w:val="fr-CH"/>
        </w:rPr>
      </w:pPr>
      <w:r>
        <w:rPr>
          <w:lang w:val="fr-CH"/>
        </w:rPr>
        <w:t>Néanmoins, l’Administration de la République islamique d’Iran envisagera peut-être d’a</w:t>
      </w:r>
      <w:r w:rsidR="002266E3">
        <w:rPr>
          <w:lang w:val="fr-CH"/>
        </w:rPr>
        <w:t xml:space="preserve">utres solutions, en fonction des délibérations de </w:t>
      </w:r>
      <w:r>
        <w:rPr>
          <w:lang w:val="fr-CH"/>
        </w:rPr>
        <w:t xml:space="preserve">la Conférence </w:t>
      </w:r>
      <w:r w:rsidR="002266E3">
        <w:rPr>
          <w:lang w:val="fr-CH"/>
        </w:rPr>
        <w:t>sur la</w:t>
      </w:r>
      <w:r>
        <w:rPr>
          <w:lang w:val="fr-CH"/>
        </w:rPr>
        <w:t xml:space="preserve"> question</w:t>
      </w:r>
      <w:r w:rsidR="002266E3">
        <w:rPr>
          <w:lang w:val="fr-CH"/>
        </w:rPr>
        <w:t xml:space="preserve"> ou le problème</w:t>
      </w:r>
      <w:r>
        <w:rPr>
          <w:lang w:val="fr-CH"/>
        </w:rPr>
        <w:t>, si cela est justifié et approprié.</w:t>
      </w:r>
    </w:p>
    <w:p w:rsidR="00C51CB3" w:rsidRPr="0077078B" w:rsidRDefault="00C51CB3" w:rsidP="009D570B">
      <w:pPr>
        <w:rPr>
          <w:lang w:val="fr-CH"/>
        </w:rPr>
      </w:pPr>
    </w:p>
    <w:p w:rsidR="00C51CB3" w:rsidRPr="0077078B" w:rsidRDefault="00C51CB3" w:rsidP="009D570B">
      <w:pPr>
        <w:pStyle w:val="Reasons"/>
        <w:rPr>
          <w:lang w:val="fr-CH"/>
        </w:rPr>
      </w:pPr>
    </w:p>
    <w:p w:rsidR="00C51CB3" w:rsidRPr="0077078B" w:rsidRDefault="00C51CB3" w:rsidP="009D570B">
      <w:pPr>
        <w:jc w:val="center"/>
        <w:rPr>
          <w:lang w:val="fr-CH"/>
        </w:rPr>
      </w:pPr>
      <w:r w:rsidRPr="0077078B">
        <w:rPr>
          <w:lang w:val="fr-CH"/>
        </w:rPr>
        <w:t>______________</w:t>
      </w:r>
    </w:p>
    <w:sectPr w:rsidR="00C51CB3" w:rsidRPr="0077078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F5FBC">
      <w:rPr>
        <w:noProof/>
        <w:lang w:val="en-US"/>
      </w:rPr>
      <w:t>P:\FRA\ITU-R\CONF-R\CMR15\000\061ADD4F.docx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5FBC">
      <w:rPr>
        <w:noProof/>
      </w:rPr>
      <w:t>22.10.15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F5FBC">
      <w:rPr>
        <w:noProof/>
      </w:rPr>
      <w:t>22.10.15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F5FBC">
      <w:rPr>
        <w:lang w:val="en-US"/>
      </w:rPr>
      <w:t>P:\FRA\ITU-R\CONF-R\CMR15\000\061ADD4F.docx</w:t>
    </w:r>
    <w:r>
      <w:fldChar w:fldCharType="end"/>
    </w:r>
    <w:r w:rsidR="00873012">
      <w:t xml:space="preserve"> </w:t>
    </w:r>
    <w:r w:rsidR="00A164FC">
      <w:rPr>
        <w:lang w:val="fr-CH"/>
      </w:rPr>
      <w:t>(388281)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5FBC">
      <w:t>22.10.15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F5FBC">
      <w:t>22.10.15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F5FBC">
      <w:rPr>
        <w:lang w:val="en-US"/>
      </w:rPr>
      <w:t>P:\FRA\ITU-R\CONF-R\CMR15\000\061ADD4F.docx</w:t>
    </w:r>
    <w:r>
      <w:fldChar w:fldCharType="end"/>
    </w:r>
    <w:r w:rsidR="00873012">
      <w:t xml:space="preserve"> </w:t>
    </w:r>
    <w:r w:rsidR="00A164FC">
      <w:t>(388281)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5FBC">
      <w:t>22.10.15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F5FBC">
      <w:t>22.10.15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  <w:footnote w:id="1">
    <w:p w:rsidR="00650B83" w:rsidRPr="00027620" w:rsidRDefault="00650B83" w:rsidP="00650B83">
      <w:pPr>
        <w:pStyle w:val="FootnoteText"/>
        <w:rPr>
          <w:szCs w:val="24"/>
          <w:lang w:val="fr-CH"/>
        </w:rPr>
      </w:pPr>
      <w:r w:rsidRPr="00027620">
        <w:rPr>
          <w:rStyle w:val="FootnoteReference"/>
          <w:sz w:val="24"/>
          <w:szCs w:val="24"/>
        </w:rPr>
        <w:footnoteRef/>
      </w:r>
      <w:r w:rsidRPr="00027620">
        <w:rPr>
          <w:szCs w:val="24"/>
        </w:rPr>
        <w:t xml:space="preserve"> </w:t>
      </w:r>
      <w:r w:rsidRPr="00027620">
        <w:rPr>
          <w:szCs w:val="24"/>
          <w:lang w:val="fr-CH"/>
        </w:rPr>
        <w:tab/>
      </w:r>
      <w:r w:rsidRPr="00027620">
        <w:rPr>
          <w:szCs w:val="24"/>
        </w:rPr>
        <w:t>Voir le § 2/1.15/3 du Rapport de la RPC à la Conférence mondiale des radiocommunications de 2012</w:t>
      </w:r>
      <w:r w:rsidRPr="00027620">
        <w:rPr>
          <w:szCs w:val="24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F5FBC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61(Add.4)-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4380DF2-7C6D-4B72-9665-C3EB00CAE098}"/>
    <w:docVar w:name="dgnword-eventsink" w:val="548092368"/>
  </w:docVars>
  <w:rsids>
    <w:rsidRoot w:val="00BB1D82"/>
    <w:rsid w:val="00007EC7"/>
    <w:rsid w:val="00010B43"/>
    <w:rsid w:val="00016648"/>
    <w:rsid w:val="00027620"/>
    <w:rsid w:val="0003522F"/>
    <w:rsid w:val="00080E2C"/>
    <w:rsid w:val="00093303"/>
    <w:rsid w:val="000A4755"/>
    <w:rsid w:val="000B2E0C"/>
    <w:rsid w:val="000B3D0C"/>
    <w:rsid w:val="001123A3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07BFD"/>
    <w:rsid w:val="002266E3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3F227B"/>
    <w:rsid w:val="0042678D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50B83"/>
    <w:rsid w:val="00690C7B"/>
    <w:rsid w:val="006A4B45"/>
    <w:rsid w:val="006D4724"/>
    <w:rsid w:val="00701BAE"/>
    <w:rsid w:val="00721F04"/>
    <w:rsid w:val="00730E95"/>
    <w:rsid w:val="007426B9"/>
    <w:rsid w:val="00764342"/>
    <w:rsid w:val="007673E2"/>
    <w:rsid w:val="0077078B"/>
    <w:rsid w:val="00774362"/>
    <w:rsid w:val="00786598"/>
    <w:rsid w:val="00795DCC"/>
    <w:rsid w:val="007A04E8"/>
    <w:rsid w:val="007F4AE5"/>
    <w:rsid w:val="0080570E"/>
    <w:rsid w:val="008218E1"/>
    <w:rsid w:val="00851625"/>
    <w:rsid w:val="00863C0A"/>
    <w:rsid w:val="00873012"/>
    <w:rsid w:val="00886CF6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D570B"/>
    <w:rsid w:val="009F5FBC"/>
    <w:rsid w:val="00A00473"/>
    <w:rsid w:val="00A03C9B"/>
    <w:rsid w:val="00A164FC"/>
    <w:rsid w:val="00A37105"/>
    <w:rsid w:val="00A606C3"/>
    <w:rsid w:val="00A83B09"/>
    <w:rsid w:val="00A84541"/>
    <w:rsid w:val="00AE36A0"/>
    <w:rsid w:val="00B00294"/>
    <w:rsid w:val="00B37666"/>
    <w:rsid w:val="00B63CB7"/>
    <w:rsid w:val="00B64FD0"/>
    <w:rsid w:val="00BA5BD0"/>
    <w:rsid w:val="00BB1D82"/>
    <w:rsid w:val="00BE4E22"/>
    <w:rsid w:val="00BF26E7"/>
    <w:rsid w:val="00C51CB3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9250B"/>
    <w:rsid w:val="00DC402B"/>
    <w:rsid w:val="00DD4791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73AF3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E68C129-B690-4DDD-99DD-92E7CAF7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qFormat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,Footnote Text Char1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locked/>
    <w:rsid w:val="00650B83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R15-WRC15-C-0061!A4!MSW-F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8A52E8-74F4-4095-8723-96DB8BF36494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390</Words>
  <Characters>2306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R15-WRC15-C-0061!A4!MSW-F</vt:lpstr>
    </vt:vector>
  </TitlesOfParts>
  <Manager>Secrétariat général - Pool</Manager>
  <Company>Union internationale des télécommunications (UIT)</Company>
  <LinksUpToDate>false</LinksUpToDate>
  <CharactersWithSpaces>2668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R15-WRC15-C-0061!A4!MSW-F</dc:title>
  <dc:subject>Conférence mondiale des radiocommunications - 2015</dc:subject>
  <dc:creator>Documents Proposals Manager (DPM)</dc:creator>
  <cp:keywords>DPM_v5.2015.10.8_prod</cp:keywords>
  <dc:description/>
  <cp:lastModifiedBy>Jones, Jacqueline</cp:lastModifiedBy>
  <cp:revision>12</cp:revision>
  <cp:lastPrinted>2015-10-22T16:03:00Z</cp:lastPrinted>
  <dcterms:created xsi:type="dcterms:W3CDTF">2015-10-20T17:41:00Z</dcterms:created>
  <dcterms:modified xsi:type="dcterms:W3CDTF">2015-10-22T16:03:00Z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