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4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61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14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Iran (Islamic 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1.4</w:t>
            </w:r>
          </w:p>
        </w:tc>
      </w:tr>
    </w:tbl>
    <w:bookmarkEnd w:id="6"/>
    <w:bookmarkEnd w:id="7"/>
    <w:p w:rsidR="00FC5DFA" w:rsidRDefault="00E81B46" w:rsidP="000816BA">
      <w:r w:rsidRPr="009A2B70">
        <w:t>1.4</w:t>
      </w:r>
      <w:r w:rsidRPr="009A2B70">
        <w:tab/>
        <w:t xml:space="preserve">to consider possible new allocation to the amateur service on a secondary basis within the band 5 250-5 450 kHz in accordance with Resolution </w:t>
      </w:r>
      <w:r w:rsidRPr="009A2B70">
        <w:rPr>
          <w:b/>
          <w:bCs/>
        </w:rPr>
        <w:t>649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0816BA" w:rsidRPr="009A2B70" w:rsidRDefault="000816BA" w:rsidP="000816BA"/>
    <w:p w:rsidR="00DC74C8" w:rsidRPr="0069374E" w:rsidRDefault="00DC74C8" w:rsidP="000816BA">
      <w:pPr>
        <w:pStyle w:val="Headingb"/>
      </w:pPr>
      <w:r w:rsidRPr="0069374E">
        <w:t>Introduction</w:t>
      </w:r>
    </w:p>
    <w:p w:rsidR="000816BA" w:rsidRDefault="00DC74C8" w:rsidP="000816BA">
      <w:r w:rsidRPr="005F438F">
        <w:t>This administration</w:t>
      </w:r>
      <w:r>
        <w:t xml:space="preserve"> is</w:t>
      </w:r>
      <w:r w:rsidRPr="005F438F">
        <w:t xml:space="preserve"> of the view that compatibility of amateur stations with the </w:t>
      </w:r>
      <w:r>
        <w:t xml:space="preserve">stations in fixed </w:t>
      </w:r>
      <w:r w:rsidRPr="005F438F">
        <w:t xml:space="preserve">and </w:t>
      </w:r>
      <w:r>
        <w:t>mobile</w:t>
      </w:r>
      <w:r w:rsidRPr="005F438F">
        <w:t xml:space="preserve"> s</w:t>
      </w:r>
      <w:r>
        <w:t>ervice</w:t>
      </w:r>
      <w:r w:rsidRPr="005F438F">
        <w:t>s is extremely difficult and require</w:t>
      </w:r>
      <w:r>
        <w:t>s</w:t>
      </w:r>
      <w:r w:rsidRPr="005F438F">
        <w:t xml:space="preserve"> </w:t>
      </w:r>
      <w:r>
        <w:t xml:space="preserve">technical and </w:t>
      </w:r>
      <w:r w:rsidRPr="005F438F">
        <w:t>operational constraints on the amateur stations.</w:t>
      </w:r>
      <w:r>
        <w:t xml:space="preserve"> </w:t>
      </w:r>
      <w:r w:rsidRPr="005F438F">
        <w:t>In the case of the frequency range 5</w:t>
      </w:r>
      <w:r>
        <w:t> </w:t>
      </w:r>
      <w:r w:rsidRPr="005F438F">
        <w:t>250 to 5</w:t>
      </w:r>
      <w:r>
        <w:t> </w:t>
      </w:r>
      <w:r w:rsidRPr="005F438F">
        <w:t>275</w:t>
      </w:r>
      <w:r>
        <w:t> </w:t>
      </w:r>
      <w:r w:rsidRPr="005F438F">
        <w:t>kHz, allocated to radiolocation service (RLS) for oceanographic applications, previous ITU-R studies have found sharing “seems to be difficult ...”</w:t>
      </w:r>
      <w:r w:rsidR="000816BA">
        <w:rPr>
          <w:rStyle w:val="FootnoteReference"/>
        </w:rPr>
        <w:footnoteReference w:id="1"/>
      </w:r>
      <w:r w:rsidRPr="005F438F">
        <w:t>.</w:t>
      </w:r>
      <w:r>
        <w:t xml:space="preserve"> </w:t>
      </w:r>
      <w:r w:rsidRPr="005F438F">
        <w:t xml:space="preserve">For these reasons a </w:t>
      </w:r>
      <w:r>
        <w:t xml:space="preserve">global or regional </w:t>
      </w:r>
      <w:r w:rsidRPr="005F438F">
        <w:t xml:space="preserve">secondary allocation to the </w:t>
      </w:r>
      <w:r>
        <w:t>amateur service</w:t>
      </w:r>
      <w:r w:rsidRPr="005F438F">
        <w:t xml:space="preserve"> within the frequency band 5 250-5 </w:t>
      </w:r>
      <w:r>
        <w:t>4</w:t>
      </w:r>
      <w:r w:rsidRPr="005F438F">
        <w:t>5</w:t>
      </w:r>
      <w:r>
        <w:t>0 </w:t>
      </w:r>
      <w:r w:rsidRPr="005F438F">
        <w:t>kHz should not be considered.</w:t>
      </w:r>
    </w:p>
    <w:p w:rsidR="00187BD9" w:rsidRPr="0069374E" w:rsidRDefault="00187BD9" w:rsidP="000816BA">
      <w:r w:rsidRPr="0069374E">
        <w:br w:type="page"/>
      </w:r>
    </w:p>
    <w:p w:rsidR="009B463A" w:rsidRDefault="00E81B46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E81B46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E81B46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8B6702" w:rsidRDefault="00E81B46">
      <w:pPr>
        <w:pStyle w:val="Proposal"/>
      </w:pPr>
      <w:r>
        <w:rPr>
          <w:u w:val="single"/>
        </w:rPr>
        <w:t>NOC</w:t>
      </w:r>
      <w:r>
        <w:tab/>
        <w:t>IRN/61A4/1</w:t>
      </w:r>
    </w:p>
    <w:p w:rsidR="009B463A" w:rsidRDefault="00E81B46" w:rsidP="009B463A">
      <w:pPr>
        <w:pStyle w:val="Tabletitle"/>
        <w:rPr>
          <w:lang w:val="en-AU"/>
        </w:rPr>
      </w:pPr>
      <w:r>
        <w:rPr>
          <w:lang w:val="en-AU"/>
        </w:rPr>
        <w:t>5</w:t>
      </w:r>
      <w:r w:rsidRPr="005B494F">
        <w:t> </w:t>
      </w:r>
      <w:r w:rsidRPr="00EC66DB">
        <w:t>003</w:t>
      </w:r>
      <w:r>
        <w:rPr>
          <w:lang w:val="en-AU"/>
        </w:rPr>
        <w:t>-7</w:t>
      </w:r>
      <w:r w:rsidRPr="005B494F">
        <w:t> </w:t>
      </w:r>
      <w:r>
        <w:rPr>
          <w:lang w:val="en-AU"/>
        </w:rPr>
        <w:t>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81B46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6E2F9B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B657C" w:rsidRDefault="00E81B46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B657C" w:rsidRDefault="00E81B46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B657C" w:rsidRDefault="00E81B46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RPr="00107360" w:rsidTr="006E2F9B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463A" w:rsidRPr="001D5E2B" w:rsidRDefault="00E81B46" w:rsidP="00477577">
            <w:pPr>
              <w:pStyle w:val="TableTextS5"/>
              <w:ind w:left="170" w:hanging="170"/>
              <w:rPr>
                <w:rStyle w:val="Tablefreq"/>
              </w:rPr>
            </w:pPr>
            <w:r w:rsidRPr="001D5E2B">
              <w:rPr>
                <w:rStyle w:val="Tablefreq"/>
              </w:rPr>
              <w:t>5 250-5 275</w:t>
            </w:r>
          </w:p>
          <w:p w:rsidR="009B463A" w:rsidRPr="00B76897" w:rsidRDefault="00E81B46" w:rsidP="00477577">
            <w:pPr>
              <w:pStyle w:val="TableTextS5"/>
              <w:ind w:left="170" w:hanging="170"/>
            </w:pPr>
            <w:r w:rsidRPr="00B76897">
              <w:t>FIXED</w:t>
            </w:r>
          </w:p>
          <w:p w:rsidR="009B463A" w:rsidRPr="00B76897" w:rsidRDefault="00E81B46" w:rsidP="00477577">
            <w:pPr>
              <w:pStyle w:val="TableTextS5"/>
              <w:ind w:left="170" w:hanging="170"/>
            </w:pPr>
            <w:r w:rsidRPr="00B76897">
              <w:t>MOBILE except aeronautical mobile</w:t>
            </w:r>
          </w:p>
          <w:p w:rsidR="009B463A" w:rsidRPr="00B76897" w:rsidRDefault="00E81B46" w:rsidP="00477577">
            <w:pPr>
              <w:pStyle w:val="TableTextS5"/>
              <w:ind w:left="170" w:hanging="170"/>
            </w:pPr>
            <w:r w:rsidRPr="00B76897">
              <w:t>Radiolocation  5.132A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463A" w:rsidRPr="001D5E2B" w:rsidRDefault="00E81B46" w:rsidP="00477577">
            <w:pPr>
              <w:pStyle w:val="TableTextS5"/>
              <w:rPr>
                <w:rStyle w:val="Tablefreq"/>
              </w:rPr>
            </w:pPr>
            <w:r w:rsidRPr="001D5E2B">
              <w:rPr>
                <w:rStyle w:val="Tablefreq"/>
              </w:rPr>
              <w:t>5 250-5 275</w:t>
            </w:r>
          </w:p>
          <w:p w:rsidR="009B463A" w:rsidRPr="00B76897" w:rsidRDefault="00E81B46" w:rsidP="00477577">
            <w:pPr>
              <w:pStyle w:val="TableTextS5"/>
            </w:pPr>
            <w:r w:rsidRPr="00B76897">
              <w:t>FIXED</w:t>
            </w:r>
          </w:p>
          <w:p w:rsidR="009B463A" w:rsidRPr="00B76897" w:rsidRDefault="00E81B46" w:rsidP="00477577">
            <w:pPr>
              <w:pStyle w:val="TableTextS5"/>
              <w:ind w:left="170" w:hanging="170"/>
            </w:pPr>
            <w:r w:rsidRPr="00B76897">
              <w:t>MOBILE except aeronautical mobile</w:t>
            </w:r>
          </w:p>
          <w:p w:rsidR="009B463A" w:rsidRPr="00B76897" w:rsidRDefault="00E81B46" w:rsidP="00477577">
            <w:pPr>
              <w:pStyle w:val="TableTextS5"/>
            </w:pPr>
            <w:r w:rsidRPr="00B76897">
              <w:t>RADIOLOCATION  5.132A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463A" w:rsidRPr="001D5E2B" w:rsidRDefault="00E81B46" w:rsidP="00477577">
            <w:pPr>
              <w:pStyle w:val="TableTextS5"/>
              <w:rPr>
                <w:rStyle w:val="Tablefreq"/>
              </w:rPr>
            </w:pPr>
            <w:r w:rsidRPr="001D5E2B">
              <w:rPr>
                <w:rStyle w:val="Tablefreq"/>
              </w:rPr>
              <w:t>5 250-5 275</w:t>
            </w:r>
          </w:p>
          <w:p w:rsidR="009B463A" w:rsidRPr="00B76897" w:rsidRDefault="00E81B46" w:rsidP="00477577">
            <w:pPr>
              <w:pStyle w:val="TableTextS5"/>
            </w:pPr>
            <w:r w:rsidRPr="00B76897">
              <w:t>FIXED</w:t>
            </w:r>
          </w:p>
          <w:p w:rsidR="009B463A" w:rsidRPr="00B76897" w:rsidRDefault="00E81B46" w:rsidP="00477577">
            <w:pPr>
              <w:pStyle w:val="TableTextS5"/>
              <w:ind w:left="170" w:hanging="170"/>
            </w:pPr>
            <w:r w:rsidRPr="00B76897">
              <w:t>MOBILE except aeronautical mobile</w:t>
            </w:r>
          </w:p>
          <w:p w:rsidR="009B463A" w:rsidRPr="00B76897" w:rsidRDefault="00E81B46" w:rsidP="00477577">
            <w:pPr>
              <w:pStyle w:val="TableTextS5"/>
            </w:pPr>
            <w:r w:rsidRPr="00B76897">
              <w:t>Radiolocation  5.132A</w:t>
            </w:r>
          </w:p>
        </w:tc>
      </w:tr>
      <w:tr w:rsidR="009B463A" w:rsidRPr="00107360" w:rsidTr="006E2F9B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9B463A" w:rsidRPr="00DC74C8" w:rsidRDefault="00E81B46" w:rsidP="00477577">
            <w:pPr>
              <w:pStyle w:val="TableTextS5"/>
              <w:ind w:left="170" w:hanging="170"/>
              <w:rPr>
                <w:rStyle w:val="Tablefreq"/>
                <w:b w:val="0"/>
                <w:bCs/>
              </w:rPr>
            </w:pPr>
            <w:r w:rsidRPr="00DC74C8">
              <w:rPr>
                <w:rStyle w:val="Tablefreq"/>
                <w:b w:val="0"/>
                <w:bCs/>
                <w:lang w:val="fr-CH"/>
              </w:rPr>
              <w:t>5.133A</w:t>
            </w:r>
          </w:p>
        </w:tc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9B463A" w:rsidRPr="00B76897" w:rsidRDefault="0011457B" w:rsidP="00477577">
            <w:pPr>
              <w:pStyle w:val="TableTextS5"/>
              <w:rPr>
                <w:rStyle w:val="Tablefreq"/>
              </w:rPr>
            </w:pPr>
          </w:p>
        </w:tc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9B463A" w:rsidRPr="00B76897" w:rsidRDefault="0011457B" w:rsidP="00477577">
            <w:pPr>
              <w:pStyle w:val="TableTextS5"/>
              <w:rPr>
                <w:rStyle w:val="Tablefreq"/>
              </w:rPr>
            </w:pPr>
          </w:p>
        </w:tc>
      </w:tr>
      <w:tr w:rsidR="009B463A" w:rsidRPr="00C23790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3A" w:rsidRPr="00B76897" w:rsidRDefault="00E81B46" w:rsidP="00477577">
            <w:pPr>
              <w:pStyle w:val="TableTextS5"/>
              <w:ind w:left="170" w:hanging="170"/>
              <w:rPr>
                <w:lang w:val="fr-CH"/>
              </w:rPr>
            </w:pPr>
            <w:r w:rsidRPr="00FD4419">
              <w:rPr>
                <w:rStyle w:val="Tablefreq"/>
                <w:lang w:val="fr-CH"/>
              </w:rPr>
              <w:t>5 275-5 450</w:t>
            </w:r>
            <w:r w:rsidRPr="00B76897">
              <w:rPr>
                <w:lang w:val="fr-CH"/>
              </w:rPr>
              <w:tab/>
              <w:t>FIXED</w:t>
            </w:r>
          </w:p>
          <w:p w:rsidR="009B463A" w:rsidRPr="00B76897" w:rsidRDefault="00E81B46" w:rsidP="00477577">
            <w:pPr>
              <w:pStyle w:val="TableTextS5"/>
              <w:spacing w:line="200" w:lineRule="exact"/>
              <w:rPr>
                <w:b/>
                <w:lang w:val="fr-CH"/>
              </w:rPr>
            </w:pPr>
            <w:r w:rsidRPr="00B76897">
              <w:rPr>
                <w:lang w:val="fr-CH"/>
              </w:rPr>
              <w:tab/>
            </w:r>
            <w:r w:rsidRPr="00B76897">
              <w:rPr>
                <w:lang w:val="fr-CH"/>
              </w:rPr>
              <w:tab/>
            </w:r>
            <w:r w:rsidRPr="00B76897">
              <w:rPr>
                <w:lang w:val="fr-CH"/>
              </w:rPr>
              <w:tab/>
            </w:r>
            <w:r w:rsidRPr="00B76897">
              <w:rPr>
                <w:lang w:val="fr-CH"/>
              </w:rPr>
              <w:tab/>
              <w:t>MOBILE except aeronautical mobile</w:t>
            </w:r>
          </w:p>
        </w:tc>
      </w:tr>
    </w:tbl>
    <w:p w:rsidR="008B6702" w:rsidRDefault="00E81B46" w:rsidP="000816BA">
      <w:pPr>
        <w:pStyle w:val="Reasons"/>
        <w:rPr>
          <w:lang w:val="en-US"/>
        </w:rPr>
      </w:pPr>
      <w:r>
        <w:rPr>
          <w:b/>
        </w:rPr>
        <w:t>Reasons:</w:t>
      </w:r>
      <w:r>
        <w:tab/>
      </w:r>
      <w:r w:rsidR="00DC74C8">
        <w:rPr>
          <w:lang w:val="en-US"/>
        </w:rPr>
        <w:t xml:space="preserve">Limiting radiated power of amateur stations is the ultimate result of ITU-R studies for protection of existing services from harmful interference of requesting new secondary allocation in the frequency band 5 250-5 450 kHz. Such restriction would reduce propagation distance of amateur stations to shorter lengths, e.g. national level, while the main purpose of amateur service, as stipulated in provision </w:t>
      </w:r>
      <w:r w:rsidR="00DC74C8" w:rsidRPr="00DC74C8">
        <w:rPr>
          <w:lang w:val="en-US"/>
        </w:rPr>
        <w:t>RR 25.1</w:t>
      </w:r>
      <w:r w:rsidR="00DC74C8">
        <w:rPr>
          <w:lang w:val="en-US"/>
        </w:rPr>
        <w:t xml:space="preserve"> is “</w:t>
      </w:r>
      <w:r w:rsidR="00DC74C8" w:rsidRPr="00381CB6">
        <w:rPr>
          <w:lang w:val="en-US"/>
        </w:rPr>
        <w:t>Radiocommunication between amateur stations of different countries</w:t>
      </w:r>
      <w:r w:rsidR="00DC74C8">
        <w:rPr>
          <w:lang w:val="en-US"/>
        </w:rPr>
        <w:t>.</w:t>
      </w:r>
      <w:r w:rsidR="00DC74C8" w:rsidRPr="00381CB6">
        <w:rPr>
          <w:lang w:val="en-US"/>
        </w:rPr>
        <w:t xml:space="preserve">” </w:t>
      </w:r>
      <w:r w:rsidR="00DC74C8">
        <w:rPr>
          <w:lang w:val="en-US"/>
        </w:rPr>
        <w:t>Accordingly such restricted global or regional allocation would contradict with spirit of amateur service.</w:t>
      </w:r>
    </w:p>
    <w:p w:rsidR="0069374E" w:rsidRDefault="0069374E" w:rsidP="000816BA">
      <w:r>
        <w:t xml:space="preserve">However, </w:t>
      </w:r>
      <w:r w:rsidR="00C23790">
        <w:t>t</w:t>
      </w:r>
      <w:r>
        <w:t>his Administration may consider other solution(s), based on the deliberations of the matter/issue at the Conference, if justified and appropriate.</w:t>
      </w:r>
    </w:p>
    <w:p w:rsidR="0069374E" w:rsidRDefault="0069374E" w:rsidP="0069374E"/>
    <w:p w:rsidR="0069374E" w:rsidRDefault="0069374E" w:rsidP="000816BA"/>
    <w:p w:rsidR="000816BA" w:rsidRDefault="000816BA" w:rsidP="0032202E">
      <w:pPr>
        <w:pStyle w:val="Reasons"/>
      </w:pPr>
    </w:p>
    <w:p w:rsidR="000816BA" w:rsidRDefault="000816BA">
      <w:pPr>
        <w:jc w:val="center"/>
      </w:pPr>
      <w:r>
        <w:t>______________</w:t>
      </w:r>
    </w:p>
    <w:p w:rsidR="0069374E" w:rsidRDefault="0069374E" w:rsidP="0069374E">
      <w:bookmarkStart w:id="10" w:name="_GoBack"/>
      <w:bookmarkEnd w:id="10"/>
    </w:p>
    <w:sectPr w:rsidR="0069374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1ABF">
      <w:rPr>
        <w:noProof/>
      </w:rPr>
      <w:t>19.10.15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BA" w:rsidRDefault="000816BA" w:rsidP="000816BA">
    <w:pPr>
      <w:pStyle w:val="Footer"/>
    </w:pPr>
    <w:fldSimple w:instr=" FILENAME \p  \* MERGEFORMAT ">
      <w:r>
        <w:t>P:\ENG\ITU-R\CONF-R\CMR15\000\061ADD04E.docx</w:t>
      </w:r>
    </w:fldSimple>
    <w:r w:rsidR="00251ABF">
      <w:t xml:space="preserve"> </w:t>
    </w:r>
    <w:r>
      <w:t>(388281)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51ABF">
      <w:t>19.10.15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BA" w:rsidRDefault="0011457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0816BA">
      <w:t>P:\ENG\ITU-R\CONF-R\CMR15\000\061ADD04E.docx</w:t>
    </w:r>
    <w:r>
      <w:fldChar w:fldCharType="end"/>
    </w:r>
    <w:r w:rsidR="00251ABF">
      <w:t xml:space="preserve"> </w:t>
    </w:r>
    <w:r w:rsidR="000816BA">
      <w:t>(388281)</w:t>
    </w:r>
    <w:r w:rsidR="000816BA">
      <w:tab/>
    </w:r>
    <w:r w:rsidR="000816BA">
      <w:fldChar w:fldCharType="begin"/>
    </w:r>
    <w:r w:rsidR="000816BA">
      <w:instrText xml:space="preserve"> SAVEDATE \@ DD.MM.YY </w:instrText>
    </w:r>
    <w:r w:rsidR="000816BA">
      <w:fldChar w:fldCharType="separate"/>
    </w:r>
    <w:r w:rsidR="00251ABF">
      <w:t>19.10.15</w:t>
    </w:r>
    <w:r w:rsidR="000816BA">
      <w:fldChar w:fldCharType="end"/>
    </w:r>
    <w:r w:rsidR="000816BA">
      <w:tab/>
    </w:r>
    <w:r w:rsidR="000816BA">
      <w:fldChar w:fldCharType="begin"/>
    </w:r>
    <w:r w:rsidR="000816BA">
      <w:instrText xml:space="preserve"> PRINTDATE \@ DD.MM.YY </w:instrText>
    </w:r>
    <w:r w:rsidR="000816BA">
      <w:fldChar w:fldCharType="separate"/>
    </w:r>
    <w:r w:rsidR="000816BA">
      <w:t>10.02.14</w:t>
    </w:r>
    <w:r w:rsidR="000816B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  <w:footnote w:id="1">
    <w:p w:rsidR="000816BA" w:rsidRPr="00540C3F" w:rsidRDefault="000816BA">
      <w:pPr>
        <w:pStyle w:val="FootnoteText"/>
      </w:pPr>
      <w:r w:rsidRPr="0011457B">
        <w:rPr>
          <w:rStyle w:val="FootnoteReference"/>
        </w:rPr>
        <w:footnoteRef/>
      </w:r>
      <w:r w:rsidR="00251ABF">
        <w:tab/>
      </w:r>
      <w:r w:rsidRPr="00540C3F">
        <w:t>§ 2/1.15/3 of the Report of the Conference Preparatory Meeting to the World Radiocommunication Conference 2012.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40C3F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1" w:name="OLE_LINK1"/>
    <w:bookmarkStart w:id="12" w:name="OLE_LINK2"/>
    <w:bookmarkStart w:id="13" w:name="OLE_LINK3"/>
    <w:r w:rsidR="00EB55C6">
      <w:t>61(Add.4)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16BA"/>
    <w:rsid w:val="00086491"/>
    <w:rsid w:val="00091346"/>
    <w:rsid w:val="0009706C"/>
    <w:rsid w:val="000D154B"/>
    <w:rsid w:val="000F73FF"/>
    <w:rsid w:val="0011457B"/>
    <w:rsid w:val="00114CF7"/>
    <w:rsid w:val="00123B68"/>
    <w:rsid w:val="00126F2E"/>
    <w:rsid w:val="00146F6F"/>
    <w:rsid w:val="00187BD9"/>
    <w:rsid w:val="00190B55"/>
    <w:rsid w:val="001911E1"/>
    <w:rsid w:val="001C3B5F"/>
    <w:rsid w:val="001D058F"/>
    <w:rsid w:val="002009EA"/>
    <w:rsid w:val="00202CA0"/>
    <w:rsid w:val="00216B6D"/>
    <w:rsid w:val="00241FA2"/>
    <w:rsid w:val="00251ABF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40C3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9374E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70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23790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C74C8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81B46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5642339-B351-4553-8B37-59E03ECB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R15-WRC15-C-0061!A4!MSW-E</DPM_x0020_File_x0020_name>
    <DPM_x0020_Author xmlns="32a1a8c5-2265-4ebc-b7a0-2071e2c5c9bb" xsi:nil="false">Documents Proposals Manager (DPM)</DPM_x0020_Author>
    <DPM_x0020_Version xmlns="32a1a8c5-2265-4ebc-b7a0-2071e2c5c9bb" xsi:nil="false">DPM_v5.2015.10.14_prod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314F8D-E758-408A-B250-3DDCA7F5D1D0}">
  <ds:schemaRefs>
    <ds:schemaRef ds:uri="http://purl.org/dc/elements/1.1/"/>
    <ds:schemaRef ds:uri="http://schemas.microsoft.com/office/2006/metadata/properties"/>
    <ds:schemaRef ds:uri="http://www.w3.org/XML/1998/namespace"/>
    <ds:schemaRef ds:uri="996b2e75-67fd-4955-a3b0-5ab9934cb50b"/>
    <ds:schemaRef ds:uri="32a1a8c5-2265-4ebc-b7a0-2071e2c5c9b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0C38AC-740C-4715-9DD9-B1FC12F3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</TotalTime>
  <Pages>2</Pages>
  <Words>330</Words>
  <Characters>1953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R15-WRC15-C-0061!A4!MSW-E</vt:lpstr>
    </vt:vector>
  </TitlesOfParts>
  <Manager>General Secretariat - Pool</Manager>
  <Company>International Telecommunication Union (ITU)</Company>
  <LinksUpToDate>false</LinksUpToDate>
  <CharactersWithSpaces>2269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R15-WRC15-C-0061!A4!MSW-E</dc:title>
  <dc:subject>World Radiocommunication Conference - 2015</dc:subject>
  <dc:creator>Documents Proposals Manager (DPM)</dc:creator>
  <cp:keywords>DPM_v5.2015.10.14_prod</cp:keywords>
  <dc:description>Uploaded on 2015.07.06</dc:description>
  <cp:lastModifiedBy>Currie, Jane</cp:lastModifiedBy>
  <cp:revision>6</cp:revision>
  <cp:lastPrinted>2014-02-10T09:49:00Z</cp:lastPrinted>
  <dcterms:created xsi:type="dcterms:W3CDTF">2015-10-19T06:26:00Z</dcterms:created>
  <dcterms:modified xsi:type="dcterms:W3CDTF">2015-10-21T17:08:00Z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