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456EDE">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61(Add.4)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A86BB4" w:rsidP="008221A4">
            <w:pPr>
              <w:pStyle w:val="Title1"/>
              <w:rPr>
                <w:lang w:eastAsia="zh-CN"/>
              </w:rPr>
            </w:pPr>
            <w:bookmarkStart w:id="5" w:name="dtitle1" w:colFirst="0" w:colLast="0"/>
            <w:bookmarkEnd w:id="4"/>
            <w:r>
              <w:rPr>
                <w:rFonts w:hint="eastAsia"/>
                <w:lang w:eastAsia="zh-CN"/>
              </w:rPr>
              <w:t>有关</w:t>
            </w:r>
            <w:r>
              <w:rPr>
                <w:lang w:eastAsia="zh-CN"/>
              </w:rPr>
              <w:t>大会</w:t>
            </w:r>
            <w:r>
              <w:rPr>
                <w:rFonts w:hint="eastAsia"/>
                <w:lang w:eastAsia="zh-CN"/>
              </w:rPr>
              <w:t>工作</w:t>
            </w:r>
            <w:r>
              <w:rPr>
                <w:lang w:eastAsia="zh-CN"/>
              </w:rPr>
              <w:t>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1.4</w:t>
            </w:r>
          </w:p>
        </w:tc>
      </w:tr>
    </w:tbl>
    <w:bookmarkEnd w:id="7"/>
    <w:p w:rsidR="008B60D0" w:rsidRDefault="00CA0131" w:rsidP="00A86BB4">
      <w:pPr>
        <w:pStyle w:val="Normalaftertitle0"/>
        <w:rPr>
          <w:lang w:eastAsia="zh-CN"/>
        </w:rPr>
      </w:pPr>
      <w:r w:rsidRPr="009C33AA">
        <w:rPr>
          <w:lang w:eastAsia="zh-CN"/>
        </w:rPr>
        <w:t>1.4</w:t>
      </w:r>
      <w:r w:rsidRPr="009C33AA">
        <w:rPr>
          <w:lang w:eastAsia="zh-CN"/>
        </w:rPr>
        <w:tab/>
      </w:r>
      <w:r w:rsidRPr="009C33AA">
        <w:rPr>
          <w:rFonts w:hint="eastAsia"/>
          <w:lang w:eastAsia="zh-CN"/>
        </w:rPr>
        <w:t>按照第</w:t>
      </w:r>
      <w:r w:rsidRPr="009C33AA">
        <w:rPr>
          <w:b/>
          <w:bCs/>
          <w:lang w:eastAsia="zh-CN"/>
        </w:rPr>
        <w:t>649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，考虑在</w:t>
      </w:r>
      <w:r w:rsidRPr="009C33AA">
        <w:rPr>
          <w:lang w:eastAsia="zh-CN"/>
        </w:rPr>
        <w:t>5 250-5 450 kHz</w:t>
      </w:r>
      <w:r w:rsidRPr="009C33AA">
        <w:rPr>
          <w:rFonts w:hint="eastAsia"/>
          <w:lang w:eastAsia="zh-CN"/>
        </w:rPr>
        <w:t>频段为作为次要业务的业余业务进行一项可能的新划分；</w:t>
      </w:r>
    </w:p>
    <w:p w:rsidR="00654285" w:rsidRPr="00654285" w:rsidRDefault="00654285" w:rsidP="00654285">
      <w:pPr>
        <w:rPr>
          <w:lang w:eastAsia="zh-CN"/>
        </w:rPr>
      </w:pPr>
    </w:p>
    <w:p w:rsidR="00654285" w:rsidRPr="0069374E" w:rsidRDefault="00654285" w:rsidP="00654285">
      <w:pPr>
        <w:pStyle w:val="Headingb"/>
        <w:spacing w:before="240"/>
        <w:rPr>
          <w:lang w:eastAsia="zh-CN"/>
        </w:rPr>
      </w:pPr>
      <w:r>
        <w:rPr>
          <w:rFonts w:hint="eastAsia"/>
          <w:lang w:eastAsia="zh-CN"/>
        </w:rPr>
        <w:t>引言</w:t>
      </w:r>
    </w:p>
    <w:p w:rsidR="00622560" w:rsidRDefault="00793E6D" w:rsidP="00456EDE">
      <w:pPr>
        <w:ind w:firstLineChars="200" w:firstLine="480"/>
        <w:rPr>
          <w:lang w:eastAsia="zh-CN"/>
        </w:rPr>
      </w:pPr>
      <w:r>
        <w:rPr>
          <w:rFonts w:hint="eastAsia"/>
          <w:lang w:eastAsia="zh-CN"/>
        </w:rPr>
        <w:t>本主管部门认为，业余台站与固定和移动业务台站的兼容极其困难，需要对业余台站进行技术和经营方面的制约。</w:t>
      </w:r>
      <w:r w:rsidR="00654285">
        <w:rPr>
          <w:rFonts w:eastAsiaTheme="minorEastAsia" w:hint="eastAsia"/>
          <w:lang w:eastAsia="zh-CN"/>
        </w:rPr>
        <w:t>在划分给海洋应用的无线电定位业务（</w:t>
      </w:r>
      <w:r w:rsidR="00654285">
        <w:rPr>
          <w:rFonts w:eastAsiaTheme="minorEastAsia"/>
          <w:lang w:eastAsia="zh-CN"/>
        </w:rPr>
        <w:t>RLS</w:t>
      </w:r>
      <w:r w:rsidR="00654285">
        <w:rPr>
          <w:rFonts w:eastAsiaTheme="minorEastAsia"/>
          <w:lang w:eastAsia="zh-CN"/>
        </w:rPr>
        <w:t>）</w:t>
      </w:r>
      <w:r w:rsidR="00654285">
        <w:rPr>
          <w:rFonts w:eastAsiaTheme="minorEastAsia" w:hint="eastAsia"/>
          <w:lang w:eastAsia="zh-CN"/>
        </w:rPr>
        <w:t>的</w:t>
      </w:r>
      <w:r w:rsidR="00654285">
        <w:rPr>
          <w:lang w:eastAsia="zh-CN"/>
        </w:rPr>
        <w:t>5 250</w:t>
      </w:r>
      <w:r w:rsidR="00654285">
        <w:rPr>
          <w:rFonts w:eastAsiaTheme="minorEastAsia" w:hint="eastAsia"/>
          <w:lang w:eastAsia="zh-CN"/>
        </w:rPr>
        <w:t>至</w:t>
      </w:r>
      <w:r w:rsidR="00654285">
        <w:rPr>
          <w:lang w:eastAsia="zh-CN"/>
        </w:rPr>
        <w:t>5 275</w:t>
      </w:r>
      <w:r w:rsidR="00456EDE">
        <w:rPr>
          <w:lang w:val="en-US" w:eastAsia="zh-CN"/>
        </w:rPr>
        <w:t> </w:t>
      </w:r>
      <w:r w:rsidR="00654285">
        <w:rPr>
          <w:lang w:eastAsia="zh-CN"/>
        </w:rPr>
        <w:t>kHz</w:t>
      </w:r>
      <w:r w:rsidR="00654285">
        <w:rPr>
          <w:rFonts w:eastAsiaTheme="minorEastAsia" w:hint="eastAsia"/>
          <w:lang w:eastAsia="zh-CN"/>
        </w:rPr>
        <w:t>频段，以往的</w:t>
      </w:r>
      <w:r w:rsidR="00654285">
        <w:rPr>
          <w:lang w:eastAsia="zh-CN"/>
        </w:rPr>
        <w:t>ITU-R</w:t>
      </w:r>
      <w:r w:rsidR="00654285">
        <w:rPr>
          <w:rFonts w:eastAsiaTheme="minorEastAsia" w:hint="eastAsia"/>
          <w:lang w:eastAsia="zh-CN"/>
        </w:rPr>
        <w:t>研究认为“似乎难以实现</w:t>
      </w:r>
      <w:r w:rsidR="00654285" w:rsidRPr="00837D9C">
        <w:rPr>
          <w:lang w:eastAsia="zh-CN"/>
        </w:rPr>
        <w:t>...</w:t>
      </w:r>
      <w:r w:rsidR="00654285">
        <w:rPr>
          <w:rFonts w:eastAsiaTheme="minorEastAsia" w:hint="eastAsia"/>
          <w:lang w:eastAsia="zh-CN"/>
        </w:rPr>
        <w:t>”</w:t>
      </w:r>
      <w:r w:rsidR="00654285">
        <w:rPr>
          <w:rStyle w:val="FootnoteReference"/>
        </w:rPr>
        <w:footnoteReference w:id="1"/>
      </w:r>
      <w:r w:rsidR="00654285">
        <w:rPr>
          <w:rFonts w:eastAsiaTheme="minorEastAsia" w:hint="eastAsia"/>
          <w:lang w:eastAsia="zh-CN"/>
        </w:rPr>
        <w:t>共用。因此，将</w:t>
      </w:r>
      <w:r w:rsidR="00654285">
        <w:rPr>
          <w:lang w:eastAsia="zh-CN"/>
        </w:rPr>
        <w:t>5 250-5 275</w:t>
      </w:r>
      <w:r w:rsidR="00654285">
        <w:rPr>
          <w:lang w:val="en-US" w:eastAsia="zh-CN"/>
        </w:rPr>
        <w:t> </w:t>
      </w:r>
      <w:r w:rsidR="00654285">
        <w:rPr>
          <w:lang w:eastAsia="zh-CN"/>
        </w:rPr>
        <w:t>kHz</w:t>
      </w:r>
      <w:r w:rsidR="00654285">
        <w:rPr>
          <w:rFonts w:eastAsiaTheme="minorEastAsia" w:hint="eastAsia"/>
          <w:lang w:eastAsia="zh-CN"/>
        </w:rPr>
        <w:t>频段划分给作为次要业务的</w:t>
      </w:r>
      <w:r>
        <w:rPr>
          <w:rFonts w:eastAsiaTheme="minorEastAsia" w:hint="eastAsia"/>
          <w:lang w:eastAsia="zh-CN"/>
        </w:rPr>
        <w:t>业余业务</w:t>
      </w:r>
      <w:r w:rsidR="00456EDE">
        <w:rPr>
          <w:rFonts w:eastAsiaTheme="minorEastAsia" w:hint="eastAsia"/>
          <w:lang w:eastAsia="zh-CN"/>
        </w:rPr>
        <w:t>应</w:t>
      </w:r>
      <w:r>
        <w:rPr>
          <w:rFonts w:eastAsiaTheme="minorEastAsia" w:hint="eastAsia"/>
          <w:lang w:eastAsia="zh-CN"/>
        </w:rPr>
        <w:t>不予考虑</w:t>
      </w:r>
      <w:r w:rsidR="00654285">
        <w:rPr>
          <w:rFonts w:eastAsiaTheme="minorEastAsia" w:hint="eastAsia"/>
          <w:lang w:eastAsia="zh-CN"/>
        </w:rPr>
        <w:t>。</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CA0131"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CA0131" w:rsidP="00DB1CAC">
      <w:pPr>
        <w:pStyle w:val="Arttitle"/>
        <w:rPr>
          <w:lang w:eastAsia="zh-CN"/>
        </w:rPr>
      </w:pPr>
      <w:bookmarkStart w:id="9" w:name="_Toc329768663"/>
      <w:r>
        <w:rPr>
          <w:rFonts w:hint="eastAsia"/>
          <w:lang w:eastAsia="zh-CN"/>
        </w:rPr>
        <w:t>频率划分</w:t>
      </w:r>
      <w:bookmarkEnd w:id="9"/>
    </w:p>
    <w:p w:rsidR="00DB1CAC" w:rsidRDefault="00CA0131"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882E1F" w:rsidRDefault="00CA0131">
      <w:pPr>
        <w:pStyle w:val="Proposal"/>
      </w:pPr>
      <w:r>
        <w:rPr>
          <w:u w:val="single"/>
        </w:rPr>
        <w:t>NOC</w:t>
      </w:r>
      <w:r>
        <w:tab/>
        <w:t>IRN/61A4/1</w:t>
      </w:r>
    </w:p>
    <w:p w:rsidR="00DB1CAC" w:rsidRDefault="00CA0131" w:rsidP="00DB1CAC">
      <w:pPr>
        <w:pStyle w:val="Tabletitle"/>
        <w:rPr>
          <w:lang w:eastAsia="zh-CN"/>
        </w:rPr>
      </w:pPr>
      <w:r>
        <w:rPr>
          <w:lang w:eastAsia="zh-CN"/>
        </w:rPr>
        <w:t>5 003-7 450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DB1CAC" w:rsidTr="00065B4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B1CAC" w:rsidRDefault="00CA0131" w:rsidP="006E12F9">
            <w:pPr>
              <w:pStyle w:val="Tablehead"/>
              <w:spacing w:line="210" w:lineRule="exact"/>
            </w:pPr>
            <w:r>
              <w:rPr>
                <w:rFonts w:hint="eastAsia"/>
              </w:rPr>
              <w:t>划分给以下业务</w:t>
            </w:r>
          </w:p>
        </w:tc>
      </w:tr>
      <w:tr w:rsidR="00DB1CAC" w:rsidTr="00065B4C">
        <w:trPr>
          <w:cantSplit/>
          <w:jc w:val="center"/>
        </w:trPr>
        <w:tc>
          <w:tcPr>
            <w:tcW w:w="3118" w:type="dxa"/>
            <w:tcBorders>
              <w:top w:val="single" w:sz="4" w:space="0" w:color="auto"/>
              <w:left w:val="single" w:sz="4" w:space="0" w:color="auto"/>
              <w:bottom w:val="single" w:sz="4" w:space="0" w:color="auto"/>
              <w:right w:val="single" w:sz="4" w:space="0" w:color="auto"/>
            </w:tcBorders>
          </w:tcPr>
          <w:p w:rsidR="00DB1CAC" w:rsidRDefault="00CA0131" w:rsidP="006E12F9">
            <w:pPr>
              <w:pStyle w:val="Tablehead"/>
              <w:spacing w:line="210" w:lineRule="exact"/>
            </w:pPr>
            <w:r>
              <w:rPr>
                <w:rFonts w:hint="eastAsia"/>
              </w:rPr>
              <w:t>1</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DB1CAC" w:rsidRDefault="00CA0131" w:rsidP="006E12F9">
            <w:pPr>
              <w:pStyle w:val="Tablehead"/>
              <w:spacing w:line="210" w:lineRule="exact"/>
            </w:pPr>
            <w:r>
              <w:rPr>
                <w:rFonts w:hint="eastAsia"/>
              </w:rPr>
              <w:t>2</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DB1CAC" w:rsidRDefault="00CA0131" w:rsidP="006E12F9">
            <w:pPr>
              <w:pStyle w:val="Tablehead"/>
              <w:spacing w:line="210" w:lineRule="exact"/>
            </w:pPr>
            <w:r>
              <w:rPr>
                <w:rFonts w:hint="eastAsia"/>
              </w:rPr>
              <w:t>3</w:t>
            </w:r>
            <w:r>
              <w:rPr>
                <w:rFonts w:hint="eastAsia"/>
              </w:rPr>
              <w:t>区</w:t>
            </w:r>
          </w:p>
        </w:tc>
      </w:tr>
      <w:tr w:rsidR="00DB1CAC" w:rsidTr="00456EDE">
        <w:trPr>
          <w:cantSplit/>
          <w:jc w:val="center"/>
        </w:trPr>
        <w:tc>
          <w:tcPr>
            <w:tcW w:w="3118" w:type="dxa"/>
            <w:tcBorders>
              <w:top w:val="single" w:sz="4" w:space="0" w:color="auto"/>
              <w:left w:val="single" w:sz="4" w:space="0" w:color="auto"/>
              <w:right w:val="single" w:sz="4" w:space="0" w:color="auto"/>
            </w:tcBorders>
          </w:tcPr>
          <w:p w:rsidR="00DB1CAC" w:rsidRPr="007F6BCC" w:rsidRDefault="00CA0131" w:rsidP="006E12F9">
            <w:pPr>
              <w:pStyle w:val="Tablehead"/>
              <w:spacing w:before="30" w:after="30"/>
              <w:jc w:val="left"/>
              <w:rPr>
                <w:rStyle w:val="Tablefreq"/>
                <w:lang w:eastAsia="zh-CN"/>
              </w:rPr>
            </w:pPr>
            <w:r w:rsidRPr="007F6BCC">
              <w:rPr>
                <w:rStyle w:val="Tablefreq"/>
                <w:lang w:eastAsia="zh-CN"/>
              </w:rPr>
              <w:t>5</w:t>
            </w:r>
            <w:r w:rsidRPr="00EF59C1">
              <w:rPr>
                <w:lang w:eastAsia="zh-CN"/>
              </w:rPr>
              <w:t> </w:t>
            </w:r>
            <w:r w:rsidRPr="007F6BCC">
              <w:rPr>
                <w:rStyle w:val="Tablefreq"/>
                <w:lang w:eastAsia="zh-CN"/>
              </w:rPr>
              <w:t>250-5</w:t>
            </w:r>
            <w:r w:rsidRPr="00EF59C1">
              <w:rPr>
                <w:lang w:eastAsia="zh-CN"/>
              </w:rPr>
              <w:t> </w:t>
            </w:r>
            <w:r w:rsidRPr="007F6BCC">
              <w:rPr>
                <w:rStyle w:val="Tablefreq"/>
                <w:lang w:eastAsia="zh-CN"/>
              </w:rPr>
              <w:t>275</w:t>
            </w:r>
          </w:p>
          <w:p w:rsidR="00DB1CAC" w:rsidRPr="007F6BCC" w:rsidRDefault="00CA0131" w:rsidP="006E12F9">
            <w:pPr>
              <w:pStyle w:val="TableTextS5"/>
              <w:spacing w:before="30" w:after="30"/>
              <w:rPr>
                <w:rFonts w:eastAsia="SimHei"/>
                <w:b/>
                <w:bCs/>
                <w:lang w:eastAsia="zh-CN"/>
              </w:rPr>
            </w:pPr>
            <w:r w:rsidRPr="007F6BCC">
              <w:rPr>
                <w:rFonts w:eastAsia="SimHei" w:hint="eastAsia"/>
                <w:b/>
                <w:bCs/>
                <w:lang w:eastAsia="zh-CN"/>
              </w:rPr>
              <w:t>固定</w:t>
            </w:r>
          </w:p>
          <w:p w:rsidR="00DB1CAC" w:rsidRDefault="00CA0131" w:rsidP="006E12F9">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DB1CAC" w:rsidRPr="00456EDE" w:rsidRDefault="00CA0131" w:rsidP="00456EDE">
            <w:pPr>
              <w:pStyle w:val="TableTextS5"/>
              <w:spacing w:before="30" w:after="30"/>
              <w:ind w:left="173" w:hanging="173"/>
              <w:rPr>
                <w:color w:val="000000"/>
              </w:rPr>
            </w:pPr>
            <w:r>
              <w:rPr>
                <w:rFonts w:hint="eastAsia"/>
                <w:color w:val="000000"/>
                <w:lang w:eastAsia="zh-CN"/>
              </w:rPr>
              <w:t>无线电定位</w:t>
            </w:r>
            <w:r>
              <w:rPr>
                <w:rFonts w:hint="eastAsia"/>
                <w:color w:val="000000"/>
                <w:lang w:eastAsia="zh-CN"/>
              </w:rPr>
              <w:t xml:space="preserve">  </w:t>
            </w:r>
            <w:r>
              <w:rPr>
                <w:color w:val="000000"/>
              </w:rPr>
              <w:t>5.132A</w:t>
            </w:r>
          </w:p>
        </w:tc>
        <w:tc>
          <w:tcPr>
            <w:tcW w:w="3119" w:type="dxa"/>
            <w:tcBorders>
              <w:top w:val="single" w:sz="4" w:space="0" w:color="auto"/>
              <w:left w:val="single" w:sz="4" w:space="0" w:color="auto"/>
              <w:right w:val="single" w:sz="4" w:space="0" w:color="auto"/>
            </w:tcBorders>
          </w:tcPr>
          <w:p w:rsidR="00DB1CAC" w:rsidRPr="002C495C" w:rsidRDefault="00CA0131" w:rsidP="006E12F9">
            <w:pPr>
              <w:pStyle w:val="Tabletext"/>
              <w:spacing w:before="30" w:after="30"/>
              <w:rPr>
                <w:b/>
                <w:lang w:eastAsia="zh-CN"/>
              </w:rPr>
            </w:pPr>
            <w:r w:rsidRPr="007F6BCC">
              <w:rPr>
                <w:rStyle w:val="Tablefreq"/>
                <w:lang w:eastAsia="zh-CN"/>
              </w:rPr>
              <w:t>5</w:t>
            </w:r>
            <w:r w:rsidRPr="00EF59C1">
              <w:rPr>
                <w:lang w:eastAsia="zh-CN"/>
              </w:rPr>
              <w:t> </w:t>
            </w:r>
            <w:r w:rsidRPr="007F6BCC">
              <w:rPr>
                <w:rStyle w:val="Tablefreq"/>
                <w:lang w:eastAsia="zh-CN"/>
              </w:rPr>
              <w:t>250-5</w:t>
            </w:r>
            <w:r w:rsidRPr="00EF59C1">
              <w:rPr>
                <w:lang w:eastAsia="zh-CN"/>
              </w:rPr>
              <w:t> </w:t>
            </w:r>
            <w:r w:rsidRPr="007F6BCC">
              <w:rPr>
                <w:rStyle w:val="Tablefreq"/>
                <w:lang w:eastAsia="zh-CN"/>
              </w:rPr>
              <w:t>275</w:t>
            </w:r>
          </w:p>
          <w:p w:rsidR="00DB1CAC" w:rsidRPr="007F6BCC" w:rsidRDefault="00CA0131" w:rsidP="006E12F9">
            <w:pPr>
              <w:pStyle w:val="TableTextS5"/>
              <w:spacing w:before="30" w:after="30"/>
              <w:rPr>
                <w:rFonts w:eastAsia="SimHei"/>
                <w:b/>
                <w:bCs/>
                <w:lang w:eastAsia="zh-CN"/>
              </w:rPr>
            </w:pPr>
            <w:r w:rsidRPr="007F6BCC">
              <w:rPr>
                <w:rFonts w:eastAsia="SimHei" w:hint="eastAsia"/>
                <w:b/>
                <w:bCs/>
                <w:lang w:eastAsia="zh-CN"/>
              </w:rPr>
              <w:t>固定</w:t>
            </w:r>
          </w:p>
          <w:p w:rsidR="00DB1CAC" w:rsidRDefault="00CA0131" w:rsidP="006E12F9">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DB1CAC" w:rsidRPr="002C495C" w:rsidRDefault="00CA0131" w:rsidP="006E12F9">
            <w:pPr>
              <w:pStyle w:val="TableTextS5"/>
              <w:spacing w:before="30" w:after="30"/>
              <w:rPr>
                <w:rFonts w:hint="eastAsia"/>
                <w:lang w:eastAsia="zh-CN"/>
              </w:rPr>
            </w:pPr>
            <w:r w:rsidRPr="007F6BCC">
              <w:rPr>
                <w:rFonts w:eastAsia="SimHei" w:hint="eastAsia"/>
                <w:b/>
                <w:bCs/>
                <w:lang w:eastAsia="zh-CN"/>
              </w:rPr>
              <w:t>无线电定位</w:t>
            </w:r>
            <w:r>
              <w:rPr>
                <w:rFonts w:hint="eastAsia"/>
                <w:color w:val="000000"/>
                <w:lang w:eastAsia="zh-CN"/>
              </w:rPr>
              <w:t xml:space="preserve"> </w:t>
            </w:r>
            <w:r w:rsidRPr="002C495C">
              <w:rPr>
                <w:lang w:eastAsia="zh-CN"/>
              </w:rPr>
              <w:t xml:space="preserve"> </w:t>
            </w:r>
            <w:r>
              <w:rPr>
                <w:lang w:eastAsia="zh-CN"/>
              </w:rPr>
              <w:t>5.132A</w:t>
            </w:r>
          </w:p>
        </w:tc>
        <w:tc>
          <w:tcPr>
            <w:tcW w:w="3119" w:type="dxa"/>
            <w:tcBorders>
              <w:top w:val="single" w:sz="4" w:space="0" w:color="auto"/>
              <w:left w:val="single" w:sz="4" w:space="0" w:color="auto"/>
              <w:right w:val="single" w:sz="4" w:space="0" w:color="auto"/>
            </w:tcBorders>
          </w:tcPr>
          <w:p w:rsidR="00DB1CAC" w:rsidRPr="007F6BCC" w:rsidRDefault="00CA0131" w:rsidP="006E12F9">
            <w:pPr>
              <w:pStyle w:val="Tablehead"/>
              <w:spacing w:before="30" w:after="30"/>
              <w:jc w:val="left"/>
              <w:rPr>
                <w:rStyle w:val="Tablefreq"/>
                <w:lang w:eastAsia="zh-CN"/>
              </w:rPr>
            </w:pPr>
            <w:r w:rsidRPr="007F6BCC">
              <w:rPr>
                <w:rStyle w:val="Tablefreq"/>
                <w:lang w:eastAsia="zh-CN"/>
              </w:rPr>
              <w:t>5 250-5 275</w:t>
            </w:r>
          </w:p>
          <w:p w:rsidR="00DB1CAC" w:rsidRPr="007F6BCC" w:rsidRDefault="00CA0131" w:rsidP="006E12F9">
            <w:pPr>
              <w:pStyle w:val="TableTextS5"/>
              <w:spacing w:before="30" w:after="30"/>
              <w:rPr>
                <w:rFonts w:eastAsia="SimHei"/>
                <w:b/>
                <w:bCs/>
                <w:lang w:eastAsia="zh-CN"/>
              </w:rPr>
            </w:pPr>
            <w:r w:rsidRPr="007F6BCC">
              <w:rPr>
                <w:rFonts w:eastAsia="SimHei" w:hint="eastAsia"/>
                <w:b/>
                <w:bCs/>
                <w:lang w:eastAsia="zh-CN"/>
              </w:rPr>
              <w:t>固定</w:t>
            </w:r>
          </w:p>
          <w:p w:rsidR="00DB1CAC" w:rsidRDefault="00CA0131" w:rsidP="006E12F9">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DB1CAC" w:rsidRDefault="00CA0131" w:rsidP="006E12F9">
            <w:pPr>
              <w:pStyle w:val="TableTextS5"/>
              <w:spacing w:before="30" w:after="30"/>
              <w:rPr>
                <w:lang w:eastAsia="zh-CN"/>
              </w:rPr>
            </w:pPr>
            <w:r>
              <w:rPr>
                <w:rFonts w:hint="eastAsia"/>
                <w:lang w:eastAsia="zh-CN"/>
              </w:rPr>
              <w:t>无线电定位</w:t>
            </w:r>
            <w:r>
              <w:rPr>
                <w:rFonts w:hint="eastAsia"/>
                <w:lang w:eastAsia="zh-CN"/>
              </w:rPr>
              <w:t xml:space="preserve">  </w:t>
            </w:r>
            <w:r>
              <w:t>5.132A</w:t>
            </w:r>
          </w:p>
        </w:tc>
      </w:tr>
      <w:tr w:rsidR="00456EDE" w:rsidTr="00456EDE">
        <w:trPr>
          <w:cantSplit/>
          <w:jc w:val="center"/>
        </w:trPr>
        <w:tc>
          <w:tcPr>
            <w:tcW w:w="3118" w:type="dxa"/>
            <w:tcBorders>
              <w:left w:val="single" w:sz="4" w:space="0" w:color="auto"/>
              <w:bottom w:val="single" w:sz="4" w:space="0" w:color="auto"/>
              <w:right w:val="single" w:sz="4" w:space="0" w:color="auto"/>
            </w:tcBorders>
          </w:tcPr>
          <w:p w:rsidR="00456EDE" w:rsidRPr="00456EDE" w:rsidRDefault="00456EDE" w:rsidP="00456EDE">
            <w:pPr>
              <w:pStyle w:val="TableTextS5"/>
              <w:ind w:left="170" w:hanging="170"/>
              <w:rPr>
                <w:rStyle w:val="Tablefreq"/>
                <w:b w:val="0"/>
              </w:rPr>
            </w:pPr>
            <w:r w:rsidRPr="00456EDE">
              <w:rPr>
                <w:rStyle w:val="Tablefreq"/>
                <w:b w:val="0"/>
                <w:lang w:val="fr-CH"/>
              </w:rPr>
              <w:t>5.133A</w:t>
            </w:r>
            <w:bookmarkStart w:id="10" w:name="_GoBack"/>
            <w:bookmarkEnd w:id="10"/>
          </w:p>
        </w:tc>
        <w:tc>
          <w:tcPr>
            <w:tcW w:w="3119" w:type="dxa"/>
            <w:tcBorders>
              <w:left w:val="single" w:sz="4" w:space="0" w:color="auto"/>
              <w:bottom w:val="single" w:sz="4" w:space="0" w:color="auto"/>
              <w:right w:val="single" w:sz="4" w:space="0" w:color="auto"/>
            </w:tcBorders>
          </w:tcPr>
          <w:p w:rsidR="00456EDE" w:rsidRPr="00B76897" w:rsidRDefault="00456EDE" w:rsidP="00456EDE">
            <w:pPr>
              <w:pStyle w:val="TableTextS5"/>
              <w:rPr>
                <w:rStyle w:val="Tablefreq"/>
              </w:rPr>
            </w:pPr>
          </w:p>
        </w:tc>
        <w:tc>
          <w:tcPr>
            <w:tcW w:w="3119" w:type="dxa"/>
            <w:tcBorders>
              <w:left w:val="single" w:sz="4" w:space="0" w:color="auto"/>
              <w:bottom w:val="single" w:sz="4" w:space="0" w:color="auto"/>
              <w:right w:val="single" w:sz="4" w:space="0" w:color="auto"/>
            </w:tcBorders>
          </w:tcPr>
          <w:p w:rsidR="00456EDE" w:rsidRPr="00B76897" w:rsidRDefault="00456EDE" w:rsidP="00456EDE">
            <w:pPr>
              <w:pStyle w:val="TableTextS5"/>
              <w:rPr>
                <w:rStyle w:val="Tablefreq"/>
              </w:rPr>
            </w:pPr>
          </w:p>
        </w:tc>
      </w:tr>
      <w:tr w:rsidR="00DB1CAC" w:rsidTr="00456EDE">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B1CAC" w:rsidRPr="00BB3CC0" w:rsidRDefault="00CA0131" w:rsidP="006E12F9">
            <w:pPr>
              <w:pStyle w:val="TableTextS5"/>
              <w:tabs>
                <w:tab w:val="clear" w:pos="3119"/>
                <w:tab w:val="left" w:pos="2977"/>
              </w:tabs>
              <w:spacing w:before="30" w:after="30"/>
              <w:rPr>
                <w:rFonts w:ascii="Trebuchet MS" w:eastAsia="SimHei" w:hAnsi="Trebuchet MS"/>
                <w:lang w:eastAsia="zh-CN"/>
              </w:rPr>
            </w:pPr>
            <w:r w:rsidRPr="007F6BCC">
              <w:rPr>
                <w:rStyle w:val="Tablefreq"/>
                <w:lang w:eastAsia="zh-CN"/>
              </w:rPr>
              <w:t>5 275-5 450</w:t>
            </w:r>
            <w:r w:rsidRPr="00041148">
              <w:rPr>
                <w:lang w:eastAsia="zh-CN"/>
              </w:rPr>
              <w:tab/>
            </w:r>
            <w:r w:rsidRPr="007F6BCC">
              <w:rPr>
                <w:rFonts w:eastAsia="SimHei" w:hint="eastAsia"/>
                <w:b/>
                <w:bCs/>
                <w:lang w:eastAsia="zh-CN"/>
              </w:rPr>
              <w:t>固定</w:t>
            </w:r>
          </w:p>
          <w:p w:rsidR="00DB1CAC" w:rsidRPr="00041148" w:rsidRDefault="00CA0131" w:rsidP="006E12F9">
            <w:pPr>
              <w:pStyle w:val="TableTextS5"/>
              <w:tabs>
                <w:tab w:val="clear" w:pos="3119"/>
                <w:tab w:val="left" w:pos="2977"/>
              </w:tabs>
              <w:spacing w:before="30" w:after="30"/>
              <w:rPr>
                <w:lang w:eastAsia="zh-CN"/>
              </w:rPr>
            </w:pPr>
            <w:r w:rsidRPr="007F6BCC">
              <w:rPr>
                <w:rFonts w:eastAsia="SimHei"/>
                <w:b/>
                <w:bCs/>
                <w:lang w:eastAsia="zh-CN"/>
              </w:rPr>
              <w:tab/>
            </w:r>
            <w:r w:rsidRPr="007F6BCC">
              <w:rPr>
                <w:rFonts w:eastAsia="SimHei" w:hint="eastAsia"/>
                <w:b/>
                <w:bCs/>
                <w:lang w:eastAsia="zh-CN"/>
              </w:rPr>
              <w:tab/>
            </w:r>
            <w:r w:rsidRPr="007F6BCC">
              <w:rPr>
                <w:rFonts w:eastAsia="SimHei" w:hint="eastAsia"/>
                <w:b/>
                <w:bCs/>
                <w:lang w:eastAsia="zh-CN"/>
              </w:rPr>
              <w:t>移动</w:t>
            </w:r>
            <w:r w:rsidRPr="00041148">
              <w:rPr>
                <w:rFonts w:hint="eastAsia"/>
                <w:lang w:eastAsia="zh-CN"/>
              </w:rPr>
              <w:t>（航空移动除外）</w:t>
            </w:r>
          </w:p>
        </w:tc>
      </w:tr>
    </w:tbl>
    <w:p w:rsidR="00882E1F" w:rsidRDefault="00CA0131" w:rsidP="00456EDE">
      <w:pPr>
        <w:pStyle w:val="Reasons"/>
        <w:rPr>
          <w:lang w:val="en-US" w:eastAsia="zh-CN"/>
        </w:rPr>
      </w:pPr>
      <w:r>
        <w:rPr>
          <w:b/>
          <w:lang w:eastAsia="zh-CN"/>
        </w:rPr>
        <w:t>理由：</w:t>
      </w:r>
      <w:r>
        <w:rPr>
          <w:lang w:eastAsia="zh-CN"/>
        </w:rPr>
        <w:tab/>
      </w:r>
      <w:r w:rsidR="00793E6D">
        <w:rPr>
          <w:rFonts w:hint="eastAsia"/>
          <w:lang w:eastAsia="zh-CN"/>
        </w:rPr>
        <w:t>限制业余台站发射功率是</w:t>
      </w:r>
      <w:r w:rsidR="00793E6D">
        <w:rPr>
          <w:rFonts w:hint="eastAsia"/>
          <w:lang w:eastAsia="zh-CN"/>
        </w:rPr>
        <w:t>ITU-R</w:t>
      </w:r>
      <w:r w:rsidR="00793E6D">
        <w:rPr>
          <w:rFonts w:hint="eastAsia"/>
          <w:lang w:eastAsia="zh-CN"/>
        </w:rPr>
        <w:t>关于对</w:t>
      </w:r>
      <w:r w:rsidR="00793E6D">
        <w:rPr>
          <w:lang w:val="en-US" w:eastAsia="zh-CN"/>
        </w:rPr>
        <w:t>5 250-5 450 kHz</w:t>
      </w:r>
      <w:r w:rsidR="00793E6D">
        <w:rPr>
          <w:rFonts w:hint="eastAsia"/>
          <w:lang w:val="en-US" w:eastAsia="zh-CN"/>
        </w:rPr>
        <w:t>申请新的次</w:t>
      </w:r>
      <w:r w:rsidR="00AE7BB6">
        <w:rPr>
          <w:rFonts w:hint="eastAsia"/>
          <w:lang w:val="en-US" w:eastAsia="zh-CN"/>
        </w:rPr>
        <w:t>要划分的现有业务进行保护免受有害干扰的研究的最终结果。如此限制在国内可以减小业余台站的传播距离，而据《无线电规则》</w:t>
      </w:r>
      <w:r w:rsidR="00AE7BB6">
        <w:rPr>
          <w:rFonts w:hint="eastAsia"/>
          <w:lang w:val="en-US" w:eastAsia="zh-CN"/>
        </w:rPr>
        <w:t>25.1</w:t>
      </w:r>
      <w:r w:rsidR="00AE7BB6">
        <w:rPr>
          <w:rFonts w:hint="eastAsia"/>
          <w:lang w:val="en-US" w:eastAsia="zh-CN"/>
        </w:rPr>
        <w:t>款规定，业余业务的主要目的</w:t>
      </w:r>
      <w:r w:rsidR="00456EDE">
        <w:rPr>
          <w:rFonts w:hint="eastAsia"/>
          <w:lang w:val="en-US" w:eastAsia="zh-CN"/>
        </w:rPr>
        <w:t>是</w:t>
      </w:r>
      <w:r w:rsidR="00654285" w:rsidRPr="00654285">
        <w:rPr>
          <w:rFonts w:ascii="SimSun" w:hAnsi="SimSun"/>
          <w:lang w:val="en-US" w:eastAsia="zh-CN"/>
        </w:rPr>
        <w:t>“</w:t>
      </w:r>
      <w:r w:rsidR="00654285" w:rsidRPr="0021412C">
        <w:rPr>
          <w:rFonts w:asciiTheme="majorBidi" w:eastAsiaTheme="minorEastAsia" w:hAnsiTheme="majorBidi" w:cstheme="majorBidi"/>
          <w:lang w:val="en-US" w:eastAsia="zh-CN"/>
        </w:rPr>
        <w:t>不同国家业余台站之间无线电通信</w:t>
      </w:r>
      <w:r w:rsidR="00654285" w:rsidRPr="00654285">
        <w:rPr>
          <w:rFonts w:ascii="SimSun" w:hAnsi="SimSun"/>
          <w:lang w:val="en-US" w:eastAsia="zh-CN"/>
        </w:rPr>
        <w:t>”</w:t>
      </w:r>
      <w:r w:rsidR="00AE7BB6">
        <w:rPr>
          <w:rFonts w:ascii="SimSun" w:hAnsi="SimSun" w:hint="eastAsia"/>
          <w:lang w:val="en-US" w:eastAsia="zh-CN"/>
        </w:rPr>
        <w:t>。因此，这样对全球或区域划分进行频率划分有违业余业务的精神。</w:t>
      </w:r>
    </w:p>
    <w:p w:rsidR="00654285" w:rsidRDefault="00AE7BB6" w:rsidP="00456EDE">
      <w:pPr>
        <w:ind w:firstLineChars="200" w:firstLine="480"/>
        <w:rPr>
          <w:lang w:eastAsia="zh-CN"/>
        </w:rPr>
      </w:pPr>
      <w:r>
        <w:rPr>
          <w:rFonts w:hint="eastAsia"/>
          <w:lang w:eastAsia="zh-CN"/>
        </w:rPr>
        <w:t>但是，本主管部门将根据大会对此问题进行恰当合理的审议的基础上可以考虑其他解决方案。</w:t>
      </w:r>
    </w:p>
    <w:p w:rsidR="00654285" w:rsidRDefault="00654285" w:rsidP="0032202E">
      <w:pPr>
        <w:pStyle w:val="Reasons"/>
        <w:rPr>
          <w:lang w:eastAsia="zh-CN"/>
        </w:rPr>
      </w:pPr>
    </w:p>
    <w:p w:rsidR="00654285" w:rsidRDefault="00654285">
      <w:pPr>
        <w:jc w:val="center"/>
      </w:pPr>
      <w:r>
        <w:t>______________</w:t>
      </w:r>
    </w:p>
    <w:p w:rsidR="00654285" w:rsidRDefault="00654285">
      <w:pPr>
        <w:pStyle w:val="Reasons"/>
      </w:pPr>
    </w:p>
    <w:sectPr w:rsidR="00654285">
      <w:headerReference w:type="even" r:id="rId11"/>
      <w:headerReference w:type="default" r:id="rId12"/>
      <w:footerReference w:type="even" r:id="rId13"/>
      <w:footerReference w:type="default" r:id="rId14"/>
      <w:headerReference w:type="firs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CC" w:rsidRDefault="00442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FE6DA1">
      <w:rPr>
        <w:lang w:val="en-US"/>
      </w:rPr>
      <w:t>P:\CHI\ITU-R\CONF-R\CMR15\000\061ADD04C.docx</w:t>
    </w:r>
    <w:r>
      <w:fldChar w:fldCharType="end"/>
    </w:r>
    <w:r w:rsidR="00CA0131">
      <w:t xml:space="preserve"> (388281)</w:t>
    </w:r>
    <w:r w:rsidRPr="00DA0469">
      <w:rPr>
        <w:lang w:val="en-US"/>
      </w:rPr>
      <w:tab/>
    </w:r>
    <w:r>
      <w:fldChar w:fldCharType="begin"/>
    </w:r>
    <w:r>
      <w:instrText xml:space="preserve"> savedate \@ dd.MM.yy </w:instrText>
    </w:r>
    <w:r>
      <w:fldChar w:fldCharType="separate"/>
    </w:r>
    <w:r w:rsidR="00FE6DA1">
      <w:t>21.10.15</w:t>
    </w:r>
    <w:r>
      <w:fldChar w:fldCharType="end"/>
    </w:r>
    <w:r w:rsidRPr="00DA0469">
      <w:rPr>
        <w:lang w:val="en-US"/>
      </w:rPr>
      <w:tab/>
    </w:r>
    <w:r>
      <w:fldChar w:fldCharType="begin"/>
    </w:r>
    <w:r>
      <w:instrText xml:space="preserve"> printdate \@ dd.MM.yy </w:instrText>
    </w:r>
    <w:r>
      <w:fldChar w:fldCharType="separate"/>
    </w:r>
    <w:r w:rsidR="00FE6DA1">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FE6DA1">
      <w:rPr>
        <w:lang w:val="en-US"/>
      </w:rPr>
      <w:t>P:\CHI\ITU-R\CONF-R\CMR15\000\061ADD04C.docx</w:t>
    </w:r>
    <w:r>
      <w:fldChar w:fldCharType="end"/>
    </w:r>
    <w:r w:rsidR="00CA0131">
      <w:t xml:space="preserve"> (388281)</w:t>
    </w:r>
    <w:r w:rsidRPr="00DA0469">
      <w:rPr>
        <w:lang w:val="en-US"/>
      </w:rPr>
      <w:tab/>
    </w:r>
    <w:r>
      <w:fldChar w:fldCharType="begin"/>
    </w:r>
    <w:r>
      <w:instrText xml:space="preserve"> savedate \@ dd.MM.yy </w:instrText>
    </w:r>
    <w:r>
      <w:fldChar w:fldCharType="separate"/>
    </w:r>
    <w:r w:rsidR="00FE6DA1">
      <w:t>21.10.15</w:t>
    </w:r>
    <w:r>
      <w:fldChar w:fldCharType="end"/>
    </w:r>
    <w:r w:rsidRPr="00DA0469">
      <w:rPr>
        <w:lang w:val="en-US"/>
      </w:rPr>
      <w:tab/>
    </w:r>
    <w:r>
      <w:fldChar w:fldCharType="begin"/>
    </w:r>
    <w:r>
      <w:instrText xml:space="preserve"> printdate \@ dd.MM.yy </w:instrText>
    </w:r>
    <w:r>
      <w:fldChar w:fldCharType="separate"/>
    </w:r>
    <w:r w:rsidR="00FE6DA1">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654285" w:rsidRPr="008846A2" w:rsidRDefault="00654285" w:rsidP="00654285">
      <w:pPr>
        <w:pStyle w:val="FootnoteText"/>
        <w:rPr>
          <w:lang w:val="en-US" w:eastAsia="zh-CN"/>
        </w:rPr>
      </w:pPr>
      <w:r>
        <w:rPr>
          <w:rStyle w:val="FootnoteReference"/>
        </w:rPr>
        <w:footnoteRef/>
      </w:r>
      <w:r>
        <w:rPr>
          <w:lang w:eastAsia="zh-CN"/>
        </w:rPr>
        <w:t xml:space="preserve"> </w:t>
      </w:r>
      <w:r>
        <w:rPr>
          <w:lang w:eastAsia="zh-CN"/>
        </w:rPr>
        <w:tab/>
      </w:r>
      <w:r w:rsidRPr="00456EDE">
        <w:rPr>
          <w:rFonts w:hint="eastAsia"/>
        </w:rPr>
        <w:t>2012</w:t>
      </w:r>
      <w:r w:rsidRPr="00456EDE">
        <w:rPr>
          <w:rFonts w:hint="eastAsia"/>
        </w:rPr>
        <w:t>年世界无线电通信大会筹备会议报告第</w:t>
      </w:r>
      <w:r w:rsidRPr="00456EDE">
        <w:t>2/1.15/3</w:t>
      </w:r>
      <w:r w:rsidRPr="00456EDE">
        <w:rPr>
          <w:rFonts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CC" w:rsidRDefault="00442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E6DA1">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61(Add.4)-</w:t>
    </w:r>
    <w:r w:rsidR="00C929E0"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3CC" w:rsidRDefault="00442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423CC"/>
    <w:rsid w:val="00456EDE"/>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54285"/>
    <w:rsid w:val="00662E12"/>
    <w:rsid w:val="00691142"/>
    <w:rsid w:val="006B67CE"/>
    <w:rsid w:val="006C38ED"/>
    <w:rsid w:val="006E6182"/>
    <w:rsid w:val="006F3C60"/>
    <w:rsid w:val="00736415"/>
    <w:rsid w:val="00770D2A"/>
    <w:rsid w:val="007864F6"/>
    <w:rsid w:val="00793E6D"/>
    <w:rsid w:val="007B7C4B"/>
    <w:rsid w:val="007F0FC5"/>
    <w:rsid w:val="007F5C36"/>
    <w:rsid w:val="008047DB"/>
    <w:rsid w:val="008129A9"/>
    <w:rsid w:val="008221A4"/>
    <w:rsid w:val="00824BD6"/>
    <w:rsid w:val="0083672D"/>
    <w:rsid w:val="00844734"/>
    <w:rsid w:val="00865DFB"/>
    <w:rsid w:val="00882E1F"/>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86BB4"/>
    <w:rsid w:val="00AA5DA1"/>
    <w:rsid w:val="00AE369F"/>
    <w:rsid w:val="00AE7BB6"/>
    <w:rsid w:val="00B026CB"/>
    <w:rsid w:val="00B711CC"/>
    <w:rsid w:val="00B851D4"/>
    <w:rsid w:val="00B868FC"/>
    <w:rsid w:val="00B95072"/>
    <w:rsid w:val="00BB26CD"/>
    <w:rsid w:val="00BF28BF"/>
    <w:rsid w:val="00C07239"/>
    <w:rsid w:val="00C364B1"/>
    <w:rsid w:val="00C47D87"/>
    <w:rsid w:val="00C627F9"/>
    <w:rsid w:val="00C6584D"/>
    <w:rsid w:val="00C929E0"/>
    <w:rsid w:val="00CA0131"/>
    <w:rsid w:val="00CB4E5A"/>
    <w:rsid w:val="00CC73D7"/>
    <w:rsid w:val="00CF0AD7"/>
    <w:rsid w:val="00CF0BE1"/>
    <w:rsid w:val="00D52A14"/>
    <w:rsid w:val="00D6206A"/>
    <w:rsid w:val="00D74599"/>
    <w:rsid w:val="00DA0469"/>
    <w:rsid w:val="00DD13B7"/>
    <w:rsid w:val="00DF3B0C"/>
    <w:rsid w:val="00DF6759"/>
    <w:rsid w:val="00E14984"/>
    <w:rsid w:val="00E22A25"/>
    <w:rsid w:val="00E560F1"/>
    <w:rsid w:val="00E92319"/>
    <w:rsid w:val="00EE5E39"/>
    <w:rsid w:val="00F837F4"/>
    <w:rsid w:val="00FC59C4"/>
    <w:rsid w:val="00FE6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F15AAF-16DF-4457-868D-07622CBE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65428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R15-WRC15-C-0061!A4!MSW-C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39549-293D-4240-A28E-0F5F800C981B}">
  <ds:schemaRefs>
    <ds:schemaRef ds:uri="http://schemas.microsoft.com/office/2006/documentManagement/types"/>
    <ds:schemaRef ds:uri="http://www.w3.org/XML/1998/namespace"/>
    <ds:schemaRef ds:uri="http://purl.org/dc/dcmitype/"/>
    <ds:schemaRef ds:uri="996b2e75-67fd-4955-a3b0-5ab9934cb50b"/>
    <ds:schemaRef ds:uri="http://schemas.microsoft.com/office/infopath/2007/PartnerControls"/>
    <ds:schemaRef ds:uri="http://purl.org/dc/elements/1.1/"/>
    <ds:schemaRef ds:uri="http://schemas.openxmlformats.org/package/2006/metadata/core-properties"/>
    <ds:schemaRef ds:uri="32a1a8c5-2265-4ebc-b7a0-2071e2c5c9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550</Words>
  <Characters>714</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R15-WRC15-C-0061!A4!MSW-C</vt:lpstr>
    </vt:vector>
  </TitlesOfParts>
  <Manager>General Secretariat - Pool</Manager>
  <Company>International Telecommunication Union (ITU)</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R15-WRC15-C-0061!A4!MSW-C</dc:title>
  <dc:subject>World Radiocommunication Conference - 2015</dc:subject>
  <dc:creator>Documents Proposals Manager (DPM)</dc:creator>
  <cp:keywords>DPM_v5.2015.10.15_prod</cp:keywords>
  <dc:description/>
  <cp:lastModifiedBy>Zheng, Bingyue</cp:lastModifiedBy>
  <cp:revision>8</cp:revision>
  <cp:lastPrinted>2015-10-21T18:11:00Z</cp:lastPrinted>
  <dcterms:created xsi:type="dcterms:W3CDTF">2015-10-21T09:32:00Z</dcterms:created>
  <dcterms:modified xsi:type="dcterms:W3CDTF">2015-10-21T18:11:00Z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