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5954"/>
        <w:gridCol w:w="957"/>
        <w:gridCol w:w="3120"/>
      </w:tblGrid>
      <w:tr w:rsidR="0090121B" w:rsidRPr="0002785D" w:rsidTr="0050008E">
        <w:trPr>
          <w:cantSplit/>
        </w:trPr>
        <w:tc>
          <w:tcPr>
            <w:tcW w:w="6911" w:type="dxa"/>
            <w:gridSpan w:val="2"/>
          </w:tcPr>
          <w:p w:rsidR="0090121B" w:rsidRPr="00620311"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CE7431">
            <w:pPr>
              <w:spacing w:before="0" w:line="240" w:lineRule="atLeast"/>
              <w:jc w:val="right"/>
              <w:rPr>
                <w:lang w:val="en-US"/>
              </w:rPr>
            </w:pPr>
            <w:bookmarkStart w:id="0" w:name="ditulogo"/>
            <w:bookmarkEnd w:id="0"/>
            <w:r>
              <w:rPr>
                <w:noProof/>
                <w:lang w:val="en-US" w:eastAsia="zh-CN"/>
              </w:rPr>
              <w:drawing>
                <wp:inline distT="0" distB="0" distL="0" distR="0" wp14:anchorId="1C72FDB5" wp14:editId="027BB9D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50008E">
        <w:trPr>
          <w:cantSplit/>
        </w:trPr>
        <w:tc>
          <w:tcPr>
            <w:tcW w:w="6911" w:type="dxa"/>
            <w:gridSpan w:val="2"/>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90121B">
        <w:trPr>
          <w:cantSplit/>
        </w:trPr>
        <w:tc>
          <w:tcPr>
            <w:tcW w:w="6911" w:type="dxa"/>
            <w:gridSpan w:val="2"/>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1011C4">
        <w:trPr>
          <w:cantSplit/>
        </w:trPr>
        <w:tc>
          <w:tcPr>
            <w:tcW w:w="5954"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4077" w:type="dxa"/>
            <w:gridSpan w:val="2"/>
            <w:shd w:val="clear" w:color="auto" w:fill="auto"/>
          </w:tcPr>
          <w:p w:rsidR="0090121B" w:rsidRPr="0002785D" w:rsidRDefault="00AE658F" w:rsidP="0045384C">
            <w:pPr>
              <w:spacing w:before="0"/>
              <w:rPr>
                <w:rFonts w:ascii="Verdana" w:hAnsi="Verdana"/>
                <w:sz w:val="20"/>
                <w:lang w:val="en-US"/>
              </w:rPr>
            </w:pPr>
            <w:r>
              <w:rPr>
                <w:rFonts w:ascii="Verdana" w:eastAsia="SimSun" w:hAnsi="Verdana" w:cs="Traditional Arabic"/>
                <w:b/>
                <w:sz w:val="20"/>
                <w:lang w:val="en-US"/>
              </w:rPr>
              <w:t>Addéndum 2 al</w:t>
            </w:r>
            <w:r>
              <w:rPr>
                <w:rFonts w:ascii="Verdana" w:eastAsia="SimSun" w:hAnsi="Verdana" w:cs="Traditional Arabic"/>
                <w:b/>
                <w:sz w:val="20"/>
                <w:lang w:val="en-US"/>
              </w:rPr>
              <w:br/>
              <w:t>Documento 61(Add.23)(Add.1)</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rsidTr="001011C4">
        <w:trPr>
          <w:cantSplit/>
        </w:trPr>
        <w:tc>
          <w:tcPr>
            <w:tcW w:w="5954" w:type="dxa"/>
            <w:shd w:val="clear" w:color="auto" w:fill="auto"/>
          </w:tcPr>
          <w:p w:rsidR="000A5B9A" w:rsidRPr="0002785D" w:rsidRDefault="000A5B9A" w:rsidP="0045384C">
            <w:pPr>
              <w:spacing w:before="0" w:after="48"/>
              <w:rPr>
                <w:rFonts w:ascii="Verdana" w:hAnsi="Verdana"/>
                <w:b/>
                <w:smallCaps/>
                <w:sz w:val="20"/>
                <w:lang w:val="en-US"/>
              </w:rPr>
            </w:pPr>
          </w:p>
        </w:tc>
        <w:tc>
          <w:tcPr>
            <w:tcW w:w="4077" w:type="dxa"/>
            <w:gridSpan w:val="2"/>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14 de octubre de 2015</w:t>
            </w:r>
          </w:p>
        </w:tc>
      </w:tr>
      <w:tr w:rsidR="000A5B9A" w:rsidRPr="0002785D" w:rsidTr="001011C4">
        <w:trPr>
          <w:cantSplit/>
        </w:trPr>
        <w:tc>
          <w:tcPr>
            <w:tcW w:w="5954" w:type="dxa"/>
          </w:tcPr>
          <w:p w:rsidR="000A5B9A" w:rsidRPr="0002785D" w:rsidRDefault="000A5B9A" w:rsidP="0045384C">
            <w:pPr>
              <w:spacing w:before="0" w:after="48"/>
              <w:rPr>
                <w:rFonts w:ascii="Verdana" w:hAnsi="Verdana"/>
                <w:b/>
                <w:smallCaps/>
                <w:sz w:val="20"/>
                <w:lang w:val="en-US"/>
              </w:rPr>
            </w:pPr>
          </w:p>
        </w:tc>
        <w:tc>
          <w:tcPr>
            <w:tcW w:w="4077" w:type="dxa"/>
            <w:gridSpan w:val="2"/>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inglés</w:t>
            </w:r>
          </w:p>
        </w:tc>
      </w:tr>
      <w:tr w:rsidR="000A5B9A" w:rsidRPr="0002785D" w:rsidTr="006744FC">
        <w:trPr>
          <w:cantSplit/>
        </w:trPr>
        <w:tc>
          <w:tcPr>
            <w:tcW w:w="10031" w:type="dxa"/>
            <w:gridSpan w:val="3"/>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3"/>
          </w:tcPr>
          <w:p w:rsidR="000A5B9A" w:rsidRPr="0002785D" w:rsidRDefault="000A5B9A" w:rsidP="000A5B9A">
            <w:pPr>
              <w:pStyle w:val="Source"/>
              <w:rPr>
                <w:lang w:val="en-US"/>
              </w:rPr>
            </w:pPr>
            <w:bookmarkStart w:id="2" w:name="dsource" w:colFirst="0" w:colLast="0"/>
            <w:r w:rsidRPr="0002785D">
              <w:rPr>
                <w:lang w:val="en-US"/>
              </w:rPr>
              <w:t>Irán (República Islámica del)</w:t>
            </w:r>
          </w:p>
        </w:tc>
      </w:tr>
      <w:tr w:rsidR="000A5B9A" w:rsidRPr="00B70240" w:rsidTr="0050008E">
        <w:trPr>
          <w:cantSplit/>
        </w:trPr>
        <w:tc>
          <w:tcPr>
            <w:tcW w:w="10031" w:type="dxa"/>
            <w:gridSpan w:val="3"/>
          </w:tcPr>
          <w:p w:rsidR="000A5B9A" w:rsidRPr="00B70240" w:rsidRDefault="00B70240" w:rsidP="000A5B9A">
            <w:pPr>
              <w:pStyle w:val="Title1"/>
            </w:pPr>
            <w:bookmarkStart w:id="3" w:name="dtitle1" w:colFirst="0" w:colLast="0"/>
            <w:bookmarkEnd w:id="2"/>
            <w:r w:rsidRPr="00B70240">
              <w:t>Propuestas para los trabajos de la conferencia</w:t>
            </w:r>
          </w:p>
        </w:tc>
      </w:tr>
      <w:tr w:rsidR="000A5B9A" w:rsidRPr="00B70240" w:rsidTr="0050008E">
        <w:trPr>
          <w:cantSplit/>
        </w:trPr>
        <w:tc>
          <w:tcPr>
            <w:tcW w:w="10031" w:type="dxa"/>
            <w:gridSpan w:val="3"/>
          </w:tcPr>
          <w:p w:rsidR="000A5B9A" w:rsidRPr="00B70240" w:rsidRDefault="000A5B9A" w:rsidP="00692F90">
            <w:pPr>
              <w:pStyle w:val="Title2"/>
              <w:spacing w:before="240"/>
            </w:pPr>
            <w:bookmarkStart w:id="4" w:name="dtitle2" w:colFirst="0" w:colLast="0"/>
            <w:bookmarkEnd w:id="3"/>
          </w:p>
        </w:tc>
      </w:tr>
      <w:tr w:rsidR="000A5B9A" w:rsidTr="0050008E">
        <w:trPr>
          <w:cantSplit/>
        </w:trPr>
        <w:tc>
          <w:tcPr>
            <w:tcW w:w="10031" w:type="dxa"/>
            <w:gridSpan w:val="3"/>
          </w:tcPr>
          <w:p w:rsidR="000A5B9A" w:rsidRDefault="000A5B9A" w:rsidP="000A5B9A">
            <w:pPr>
              <w:pStyle w:val="Agendaitem"/>
            </w:pPr>
            <w:bookmarkStart w:id="5" w:name="dtitle3" w:colFirst="0" w:colLast="0"/>
            <w:bookmarkEnd w:id="4"/>
            <w:r w:rsidRPr="00AE658F">
              <w:t>Punto 9.1(9.1.2) del orden del día</w:t>
            </w:r>
          </w:p>
        </w:tc>
      </w:tr>
    </w:tbl>
    <w:bookmarkEnd w:id="5"/>
    <w:p w:rsidR="006C20F8" w:rsidRPr="00211854" w:rsidRDefault="00C94CD7" w:rsidP="006C20F8">
      <w:r w:rsidRPr="00211854">
        <w:t>9</w:t>
      </w:r>
      <w:r w:rsidRPr="00211854">
        <w:tab/>
        <w:t>examinar y aprobar el Informe del Director de la Oficina de Radiocomunicaciones, de conformidad con el Artículo 7 del Convenio:</w:t>
      </w:r>
    </w:p>
    <w:p w:rsidR="001C0E40" w:rsidRPr="00482C06" w:rsidRDefault="00C94CD7" w:rsidP="00482C06">
      <w:r w:rsidRPr="00211854">
        <w:t>9.1</w:t>
      </w:r>
      <w:r w:rsidRPr="00211854">
        <w:tab/>
        <w:t>sobre las actividades del Sector de Radiocomunicaciones desde la CMR-12;</w:t>
      </w:r>
    </w:p>
    <w:p w:rsidR="001C0E40" w:rsidRPr="007C1B1E" w:rsidRDefault="00C94CD7" w:rsidP="00437537">
      <w:r>
        <w:t xml:space="preserve">9.1(9.1.2) </w:t>
      </w:r>
      <w:r>
        <w:tab/>
      </w:r>
      <w:r w:rsidRPr="00A064AD">
        <w:t xml:space="preserve">Resolución </w:t>
      </w:r>
      <w:r w:rsidRPr="00431ED2">
        <w:rPr>
          <w:b/>
          <w:bCs/>
        </w:rPr>
        <w:t>756 (CMR-12)</w:t>
      </w:r>
      <w:r w:rsidRPr="00A064AD">
        <w:t xml:space="preserve"> - Estudios sobre la posible reducción del arco de coordinación y los criterios técnicos utilizados para la aplicación del número </w:t>
      </w:r>
      <w:r w:rsidRPr="00431ED2">
        <w:rPr>
          <w:b/>
          <w:bCs/>
        </w:rPr>
        <w:t>9.41</w:t>
      </w:r>
      <w:r w:rsidRPr="00A064AD">
        <w:t xml:space="preserve"> con respecto a la coordinación con arreglo al número </w:t>
      </w:r>
      <w:r w:rsidRPr="00431ED2">
        <w:rPr>
          <w:b/>
          <w:bCs/>
        </w:rPr>
        <w:t>9.7</w:t>
      </w:r>
    </w:p>
    <w:p w:rsidR="00363A65" w:rsidRPr="00620311" w:rsidRDefault="00B70240" w:rsidP="001011C4">
      <w:pPr>
        <w:pStyle w:val="Headingb"/>
        <w:keepNext w:val="0"/>
        <w:rPr>
          <w:rFonts w:ascii="Times New Roman Bold" w:hAnsi="Times New Roman Bold" w:cs="Times New Roman Bold"/>
        </w:rPr>
      </w:pPr>
      <w:r w:rsidRPr="00620311">
        <w:rPr>
          <w:rFonts w:ascii="Times New Roman Bold" w:hAnsi="Times New Roman Bold" w:cs="Times New Roman Bold"/>
        </w:rPr>
        <w:t>Introducción</w:t>
      </w:r>
    </w:p>
    <w:p w:rsidR="00620311" w:rsidRDefault="00620311" w:rsidP="001011C4">
      <w:pPr>
        <w:rPr>
          <w:lang w:eastAsia="ja-JP"/>
        </w:rPr>
      </w:pPr>
      <w:r>
        <w:rPr>
          <w:lang w:eastAsia="ja-JP"/>
        </w:rPr>
        <w:t>La utilización de los recursos órbita y espectro está aumentando y las dificultades de las nuevas redes de satélite para acceder al espectro aumentan en consecuencia. La situación es particularmente difícil en algunas bandas de frecuencias comúnmente utilizadas por numerosos satélites operacionales, pero también se plantean dificultades debidas a numerosas notificaciones de redes de satélite de otras bandas de frecuencias.</w:t>
      </w:r>
    </w:p>
    <w:p w:rsidR="00620311" w:rsidRDefault="00620311" w:rsidP="00730D23">
      <w:pPr>
        <w:rPr>
          <w:lang w:eastAsia="ja-JP"/>
        </w:rPr>
      </w:pPr>
      <w:r>
        <w:rPr>
          <w:lang w:eastAsia="ja-JP"/>
        </w:rPr>
        <w:t>Por estos motivos, se buscan mejores posibilidades de admitir nuevas redes y facilitar una utilización más eficiente de los recursos del espectro, al tiempo que se garantiza una protección adecuada de las redes que funcionan de conformidad con el Reglamento de Radiocomunicaciones.</w:t>
      </w:r>
    </w:p>
    <w:p w:rsidR="00620311" w:rsidRPr="00C474F3" w:rsidRDefault="00620311" w:rsidP="00730D23">
      <w:pPr>
        <w:rPr>
          <w:lang w:eastAsia="nb-NO"/>
        </w:rPr>
      </w:pPr>
      <w:r w:rsidRPr="00C474F3">
        <w:rPr>
          <w:lang w:eastAsia="nb-NO"/>
        </w:rPr>
        <w:t>En el marco de las actividades encaminadas a mejorar el proceso de coordinación, la CMR</w:t>
      </w:r>
      <w:r w:rsidRPr="00C474F3">
        <w:rPr>
          <w:lang w:eastAsia="nb-NO"/>
        </w:rPr>
        <w:noBreakHyphen/>
        <w:t>12 decidió reducir el arco de coordinación en las gamas de frecuencias de 6/4 GHz, 14/10/11/12 GHz y 21,4-22 GHz.</w:t>
      </w:r>
      <w:r w:rsidRPr="00C474F3" w:rsidDel="005D1115">
        <w:rPr>
          <w:lang w:eastAsia="nb-NO"/>
        </w:rPr>
        <w:t xml:space="preserve"> </w:t>
      </w:r>
      <w:r w:rsidRPr="00C474F3">
        <w:rPr>
          <w:lang w:eastAsia="nb-NO"/>
        </w:rPr>
        <w:t>Además, decidió seguir estudiando ambos temas para preparar la CMR</w:t>
      </w:r>
      <w:r w:rsidRPr="00C474F3">
        <w:rPr>
          <w:lang w:eastAsia="nb-NO"/>
        </w:rPr>
        <w:noBreakHyphen/>
        <w:t>15 y, en su Resolución </w:t>
      </w:r>
      <w:r w:rsidRPr="00692F90">
        <w:rPr>
          <w:lang w:eastAsia="nb-NO"/>
        </w:rPr>
        <w:t>756 (CMR</w:t>
      </w:r>
      <w:r w:rsidRPr="00692F90">
        <w:rPr>
          <w:lang w:eastAsia="nb-NO"/>
        </w:rPr>
        <w:noBreakHyphen/>
        <w:t>12)</w:t>
      </w:r>
      <w:r w:rsidRPr="00C474F3">
        <w:rPr>
          <w:lang w:eastAsia="nb-NO"/>
        </w:rPr>
        <w:t xml:space="preserve"> </w:t>
      </w:r>
      <w:r w:rsidRPr="00C474F3">
        <w:rPr>
          <w:i/>
          <w:iCs/>
          <w:lang w:eastAsia="nb-NO"/>
        </w:rPr>
        <w:t>resolvió invitar al UIT-R</w:t>
      </w:r>
      <w:r w:rsidRPr="00C474F3">
        <w:rPr>
          <w:lang w:eastAsia="nb-NO"/>
        </w:rPr>
        <w:t>:</w:t>
      </w:r>
    </w:p>
    <w:p w:rsidR="00620311" w:rsidRPr="00620311" w:rsidRDefault="00620311" w:rsidP="00A80057">
      <w:pPr>
        <w:pStyle w:val="enumlev1"/>
        <w:rPr>
          <w:lang w:eastAsia="de-DE"/>
        </w:rPr>
      </w:pPr>
      <w:r w:rsidRPr="00620311">
        <w:rPr>
          <w:lang w:eastAsia="de-DE"/>
        </w:rPr>
        <w:t>1)</w:t>
      </w:r>
      <w:r w:rsidRPr="00620311">
        <w:rPr>
          <w:lang w:eastAsia="de-DE"/>
        </w:rPr>
        <w:tab/>
        <w:t>a llevar a cabo estudios con objeto de analizar la efectividad y la adecuación del criterio vigente (Δ</w:t>
      </w:r>
      <w:r w:rsidRPr="00410119">
        <w:rPr>
          <w:i/>
          <w:lang w:eastAsia="de-DE"/>
        </w:rPr>
        <w:t>T/T</w:t>
      </w:r>
      <w:r w:rsidRPr="00620311">
        <w:rPr>
          <w:lang w:eastAsia="de-DE"/>
        </w:rPr>
        <w:t xml:space="preserve"> &gt; 6%) utilizado para la aplicación del número </w:t>
      </w:r>
      <w:r w:rsidRPr="00692F90">
        <w:rPr>
          <w:bCs/>
          <w:lang w:eastAsia="de-DE"/>
        </w:rPr>
        <w:t>9.41</w:t>
      </w:r>
      <w:r w:rsidRPr="00620311">
        <w:rPr>
          <w:lang w:eastAsia="de-DE"/>
        </w:rPr>
        <w:t xml:space="preserve"> y a examinar otras posibles alternativas (incluidas las </w:t>
      </w:r>
      <w:r w:rsidR="00B70240">
        <w:rPr>
          <w:lang w:eastAsia="de-DE"/>
        </w:rPr>
        <w:t>que figuran</w:t>
      </w:r>
      <w:r w:rsidRPr="00620311">
        <w:rPr>
          <w:lang w:eastAsia="de-DE"/>
        </w:rPr>
        <w:t xml:space="preserve"> en los Anexos 1 y 2 a esta Resolución), según proceda, para las bandas a las que se hace referencia en el </w:t>
      </w:r>
      <w:r w:rsidRPr="00B70240">
        <w:rPr>
          <w:i/>
          <w:iCs/>
          <w:lang w:eastAsia="de-DE"/>
        </w:rPr>
        <w:t>reconociendo e)</w:t>
      </w:r>
      <w:r w:rsidRPr="00620311">
        <w:rPr>
          <w:lang w:eastAsia="de-DE"/>
        </w:rPr>
        <w:t>; y</w:t>
      </w:r>
    </w:p>
    <w:p w:rsidR="00620311" w:rsidRPr="00620311" w:rsidRDefault="00620311" w:rsidP="00A80057">
      <w:pPr>
        <w:pStyle w:val="enumlev1"/>
        <w:rPr>
          <w:lang w:eastAsia="de-DE"/>
        </w:rPr>
      </w:pPr>
      <w:r w:rsidRPr="00620311">
        <w:rPr>
          <w:lang w:eastAsia="de-DE"/>
        </w:rPr>
        <w:t>2)</w:t>
      </w:r>
      <w:r w:rsidRPr="00620311">
        <w:rPr>
          <w:lang w:eastAsia="de-DE"/>
        </w:rPr>
        <w:tab/>
        <w:t xml:space="preserve">a estudiar si son apropiadas reducciones adicionales </w:t>
      </w:r>
      <w:r w:rsidR="00C50967">
        <w:rPr>
          <w:lang w:eastAsia="de-DE"/>
        </w:rPr>
        <w:t>de los arcos</w:t>
      </w:r>
      <w:r w:rsidRPr="00620311">
        <w:rPr>
          <w:lang w:eastAsia="de-DE"/>
        </w:rPr>
        <w:t xml:space="preserve"> de coordinación en el Apéndice 5 (Rev.CMR-12) del RR para las </w:t>
      </w:r>
      <w:r w:rsidR="00C50967">
        <w:rPr>
          <w:lang w:eastAsia="de-DE"/>
        </w:rPr>
        <w:t>bandas</w:t>
      </w:r>
      <w:r w:rsidRPr="00620311">
        <w:rPr>
          <w:lang w:eastAsia="de-DE"/>
        </w:rPr>
        <w:t xml:space="preserve"> de frecuencias 6/4 GHz y 14/10/11/12 GHz y si es adecuado reducir el arco de coordinación en la </w:t>
      </w:r>
      <w:r w:rsidR="00C50967">
        <w:rPr>
          <w:lang w:eastAsia="de-DE"/>
        </w:rPr>
        <w:t>banda</w:t>
      </w:r>
      <w:r w:rsidRPr="00620311">
        <w:rPr>
          <w:lang w:eastAsia="de-DE"/>
        </w:rPr>
        <w:t xml:space="preserve"> de 30/20 GHz.</w:t>
      </w:r>
    </w:p>
    <w:p w:rsidR="00C94CD7" w:rsidRPr="00773FB6" w:rsidRDefault="00C94CD7" w:rsidP="00410119">
      <w:r w:rsidRPr="00C474F3">
        <w:lastRenderedPageBreak/>
        <w:t xml:space="preserve">Además de los estudios pedidos específicamente en </w:t>
      </w:r>
      <w:r w:rsidRPr="00C474F3">
        <w:rPr>
          <w:i/>
          <w:iCs/>
        </w:rPr>
        <w:t>resuelve invitar al UIT-R</w:t>
      </w:r>
      <w:r w:rsidRPr="00C474F3">
        <w:t xml:space="preserve"> 1 y 2 de la Resolución </w:t>
      </w:r>
      <w:r w:rsidRPr="00692F90">
        <w:rPr>
          <w:bCs/>
        </w:rPr>
        <w:t>756</w:t>
      </w:r>
      <w:r w:rsidRPr="00692F90">
        <w:rPr>
          <w:bCs/>
          <w:lang w:eastAsia="nb-NO"/>
        </w:rPr>
        <w:t xml:space="preserve"> (CMR</w:t>
      </w:r>
      <w:r w:rsidRPr="00692F90">
        <w:rPr>
          <w:bCs/>
          <w:lang w:eastAsia="nb-NO"/>
        </w:rPr>
        <w:noBreakHyphen/>
        <w:t>12)</w:t>
      </w:r>
      <w:r w:rsidRPr="00692F90">
        <w:t>,</w:t>
      </w:r>
      <w:r w:rsidRPr="00C474F3">
        <w:t xml:space="preserve"> también debería contemplarse la necesidad de mantener los mismos criterios utilizados en aplicación de los números </w:t>
      </w:r>
      <w:r w:rsidRPr="00692F90">
        <w:rPr>
          <w:bCs/>
        </w:rPr>
        <w:t>9.41</w:t>
      </w:r>
      <w:r w:rsidRPr="00C474F3">
        <w:t xml:space="preserve"> y </w:t>
      </w:r>
      <w:r w:rsidRPr="00692F90">
        <w:rPr>
          <w:bCs/>
        </w:rPr>
        <w:t>9.7</w:t>
      </w:r>
      <w:r w:rsidRPr="00C474F3">
        <w:rPr>
          <w:bCs/>
        </w:rPr>
        <w:t xml:space="preserve"> del RR para las bandas de frecuencias y los servicios recogidos en el punto 9) de la columna de bandas de frecuencias del Cuadro 5-1 </w:t>
      </w:r>
      <w:r w:rsidR="00C50967">
        <w:rPr>
          <w:bCs/>
        </w:rPr>
        <w:t>que figura en el</w:t>
      </w:r>
      <w:r w:rsidRPr="00C474F3">
        <w:rPr>
          <w:bCs/>
        </w:rPr>
        <w:t xml:space="preserve"> Apéndice </w:t>
      </w:r>
      <w:r w:rsidRPr="00692F90">
        <w:rPr>
          <w:bCs/>
        </w:rPr>
        <w:t>5</w:t>
      </w:r>
      <w:r w:rsidRPr="00C474F3">
        <w:t xml:space="preserve"> al RR</w:t>
      </w:r>
      <w:r w:rsidR="00927911">
        <w:t>,</w:t>
      </w:r>
      <w:r w:rsidRPr="00C474F3">
        <w:t xml:space="preserve"> conforme a la disposición del número </w:t>
      </w:r>
      <w:r w:rsidRPr="00692F90">
        <w:rPr>
          <w:bCs/>
        </w:rPr>
        <w:t>9.7</w:t>
      </w:r>
      <w:r w:rsidRPr="00C474F3">
        <w:t xml:space="preserve"> del RR. </w:t>
      </w:r>
      <w:r w:rsidRPr="00773FB6">
        <w:t>También debería</w:t>
      </w:r>
      <w:r w:rsidR="00927911">
        <w:t>n</w:t>
      </w:r>
      <w:r w:rsidRPr="00773FB6">
        <w:t xml:space="preserve"> estudiarse </w:t>
      </w:r>
      <w:r w:rsidR="00927911">
        <w:t>las repercusiones</w:t>
      </w:r>
      <w:r w:rsidRPr="00773FB6">
        <w:t xml:space="preserve"> de ese planteamiento en el Artículo </w:t>
      </w:r>
      <w:r w:rsidRPr="00692F90">
        <w:t>11</w:t>
      </w:r>
      <w:r w:rsidRPr="00773FB6">
        <w:rPr>
          <w:bCs/>
        </w:rPr>
        <w:t xml:space="preserve"> </w:t>
      </w:r>
      <w:r w:rsidR="00927911">
        <w:rPr>
          <w:bCs/>
        </w:rPr>
        <w:t xml:space="preserve">del RR </w:t>
      </w:r>
      <w:r w:rsidR="00410119">
        <w:rPr>
          <w:bCs/>
        </w:rPr>
        <w:t>(por</w:t>
      </w:r>
      <w:r w:rsidRPr="00773FB6">
        <w:rPr>
          <w:bCs/>
        </w:rPr>
        <w:t xml:space="preserve"> ej</w:t>
      </w:r>
      <w:r w:rsidR="00410119">
        <w:rPr>
          <w:bCs/>
        </w:rPr>
        <w:t>emplo</w:t>
      </w:r>
      <w:r w:rsidRPr="00773FB6">
        <w:rPr>
          <w:bCs/>
        </w:rPr>
        <w:t xml:space="preserve"> </w:t>
      </w:r>
      <w:r w:rsidRPr="00773FB6">
        <w:t>número</w:t>
      </w:r>
      <w:r w:rsidR="00410119">
        <w:t> </w:t>
      </w:r>
      <w:r w:rsidRPr="00692F90">
        <w:rPr>
          <w:bCs/>
        </w:rPr>
        <w:t>11.32A</w:t>
      </w:r>
      <w:r w:rsidRPr="00773FB6">
        <w:rPr>
          <w:b/>
          <w:bCs/>
        </w:rPr>
        <w:t xml:space="preserve"> </w:t>
      </w:r>
      <w:r w:rsidRPr="00773FB6">
        <w:t>del RR)</w:t>
      </w:r>
      <w:r w:rsidR="00692F90">
        <w:t>.</w:t>
      </w:r>
    </w:p>
    <w:p w:rsidR="00C94CD7" w:rsidRPr="002920F7" w:rsidRDefault="00927911" w:rsidP="00410119">
      <w:r w:rsidRPr="00927911">
        <w:rPr>
          <w:lang w:eastAsia="de-DE"/>
        </w:rPr>
        <w:t xml:space="preserve">Cabe señalar que la </w:t>
      </w:r>
      <w:r w:rsidR="00410119">
        <w:rPr>
          <w:lang w:eastAsia="de-DE"/>
        </w:rPr>
        <w:t>R</w:t>
      </w:r>
      <w:r w:rsidRPr="00927911">
        <w:rPr>
          <w:lang w:eastAsia="de-DE"/>
        </w:rPr>
        <w:t xml:space="preserve">esolución anteriormente mencionada </w:t>
      </w:r>
      <w:r w:rsidR="00111FCE">
        <w:rPr>
          <w:lang w:eastAsia="de-DE"/>
        </w:rPr>
        <w:t xml:space="preserve">surgió a raíz de la dificultad de obtener acceso a los recursos orbitales y de espectro debido a las numerosas notificaciones de la UIT  y la coordinación innecesaria. Sigue </w:t>
      </w:r>
      <w:r w:rsidR="002920F7">
        <w:rPr>
          <w:lang w:eastAsia="de-DE"/>
        </w:rPr>
        <w:t>compitiendo al</w:t>
      </w:r>
      <w:r w:rsidR="00111FCE">
        <w:rPr>
          <w:lang w:eastAsia="de-DE"/>
        </w:rPr>
        <w:t xml:space="preserve"> GT 4A de la Comisión de Estudio 4 del UIT-R determinar </w:t>
      </w:r>
      <w:r w:rsidR="00587A64">
        <w:rPr>
          <w:lang w:eastAsia="de-DE"/>
        </w:rPr>
        <w:t xml:space="preserve">de forma </w:t>
      </w:r>
      <w:r w:rsidR="002920F7">
        <w:rPr>
          <w:lang w:eastAsia="de-DE"/>
        </w:rPr>
        <w:t>exhaustiva,</w:t>
      </w:r>
      <w:r w:rsidR="00587A64">
        <w:rPr>
          <w:lang w:eastAsia="de-DE"/>
        </w:rPr>
        <w:t xml:space="preserve"> durante el presente periodo de estudios</w:t>
      </w:r>
      <w:r w:rsidR="002920F7">
        <w:rPr>
          <w:lang w:eastAsia="de-DE"/>
        </w:rPr>
        <w:t>,</w:t>
      </w:r>
      <w:r w:rsidR="00587A64">
        <w:rPr>
          <w:lang w:eastAsia="de-DE"/>
        </w:rPr>
        <w:t xml:space="preserve"> </w:t>
      </w:r>
      <w:r w:rsidR="00111FCE">
        <w:rPr>
          <w:lang w:eastAsia="de-DE"/>
        </w:rPr>
        <w:t>si medidas tales como la introducción de máscaras de dfp</w:t>
      </w:r>
      <w:bookmarkStart w:id="6" w:name="_GoBack"/>
      <w:bookmarkEnd w:id="6"/>
      <w:r w:rsidR="00111FCE">
        <w:rPr>
          <w:lang w:eastAsia="de-DE"/>
        </w:rPr>
        <w:t xml:space="preserve"> y/o criterios </w:t>
      </w:r>
      <w:r w:rsidR="00111FCE" w:rsidRPr="00410119">
        <w:rPr>
          <w:i/>
          <w:lang w:eastAsia="de-DE"/>
        </w:rPr>
        <w:t>C/I</w:t>
      </w:r>
      <w:r w:rsidR="00111FCE">
        <w:rPr>
          <w:lang w:eastAsia="de-DE"/>
        </w:rPr>
        <w:t xml:space="preserve">, </w:t>
      </w:r>
      <w:r w:rsidR="00C34A47">
        <w:rPr>
          <w:lang w:eastAsia="de-DE"/>
        </w:rPr>
        <w:t>el aumento del criterio vigente</w:t>
      </w:r>
      <w:r w:rsidR="00111FCE">
        <w:rPr>
          <w:lang w:eastAsia="de-DE"/>
        </w:rPr>
        <w:t xml:space="preserve"> </w:t>
      </w:r>
      <w:r w:rsidR="00111FCE" w:rsidRPr="00C010F8">
        <w:rPr>
          <w:rFonts w:eastAsia="TimesNewRoman"/>
          <w:lang w:val="nb-NO" w:eastAsia="de-DE"/>
        </w:rPr>
        <w:t>Δ</w:t>
      </w:r>
      <w:r w:rsidR="00111FCE" w:rsidRPr="00111FCE">
        <w:rPr>
          <w:i/>
          <w:iCs/>
          <w:lang w:eastAsia="de-DE"/>
        </w:rPr>
        <w:t>T</w:t>
      </w:r>
      <w:r w:rsidR="00111FCE" w:rsidRPr="00111FCE">
        <w:rPr>
          <w:lang w:eastAsia="de-DE"/>
        </w:rPr>
        <w:t>/</w:t>
      </w:r>
      <w:r w:rsidR="00111FCE" w:rsidRPr="00111FCE">
        <w:rPr>
          <w:i/>
          <w:iCs/>
          <w:lang w:eastAsia="de-DE"/>
        </w:rPr>
        <w:t>T</w:t>
      </w:r>
      <w:r w:rsidR="00692F90" w:rsidRPr="00692F90">
        <w:rPr>
          <w:iCs/>
          <w:lang w:eastAsia="de-DE"/>
        </w:rPr>
        <w:t>,</w:t>
      </w:r>
      <w:r w:rsidR="00692F90">
        <w:rPr>
          <w:lang w:eastAsia="de-DE"/>
        </w:rPr>
        <w:t xml:space="preserve"> </w:t>
      </w:r>
      <w:r w:rsidR="00111FCE" w:rsidRPr="00111FCE">
        <w:rPr>
          <w:lang w:eastAsia="de-DE"/>
        </w:rPr>
        <w:t xml:space="preserve">o </w:t>
      </w:r>
      <w:r w:rsidR="00111FCE">
        <w:rPr>
          <w:lang w:eastAsia="de-DE"/>
        </w:rPr>
        <w:t>la reducción de los arcos de coordinación, o todo ello, contribuirá</w:t>
      </w:r>
      <w:r w:rsidR="002920F7">
        <w:rPr>
          <w:lang w:eastAsia="de-DE"/>
        </w:rPr>
        <w:t>n</w:t>
      </w:r>
      <w:r w:rsidR="00111FCE">
        <w:rPr>
          <w:lang w:eastAsia="de-DE"/>
        </w:rPr>
        <w:t xml:space="preserve"> a subsanar </w:t>
      </w:r>
      <w:r w:rsidR="002920F7">
        <w:rPr>
          <w:lang w:eastAsia="de-DE"/>
        </w:rPr>
        <w:t>dicha</w:t>
      </w:r>
      <w:r w:rsidR="00111FCE">
        <w:rPr>
          <w:lang w:eastAsia="de-DE"/>
        </w:rPr>
        <w:t xml:space="preserve"> dificultad y a mantener la protección de las redes de satélites actuales y futuras, </w:t>
      </w:r>
      <w:r w:rsidR="002920F7">
        <w:rPr>
          <w:lang w:eastAsia="de-DE"/>
        </w:rPr>
        <w:t>habida cuenta de</w:t>
      </w:r>
      <w:r w:rsidR="00111FCE">
        <w:rPr>
          <w:lang w:eastAsia="de-DE"/>
        </w:rPr>
        <w:t xml:space="preserve"> que los cambios de criterio podrían dar lugar a una interferencia</w:t>
      </w:r>
      <w:r w:rsidR="002920F7">
        <w:rPr>
          <w:lang w:eastAsia="de-DE"/>
        </w:rPr>
        <w:t xml:space="preserve"> más perjudicial</w:t>
      </w:r>
      <w:r w:rsidR="00111FCE">
        <w:rPr>
          <w:lang w:eastAsia="de-DE"/>
        </w:rPr>
        <w:t>.</w:t>
      </w:r>
      <w:r w:rsidR="00C94CD7" w:rsidRPr="002920F7">
        <w:rPr>
          <w:lang w:eastAsia="de-DE"/>
        </w:rPr>
        <w:t xml:space="preserve"> </w:t>
      </w:r>
    </w:p>
    <w:p w:rsidR="00C94CD7" w:rsidRPr="002920F7" w:rsidRDefault="002920F7" w:rsidP="00692F90">
      <w:pPr>
        <w:pStyle w:val="Headingb"/>
      </w:pPr>
      <w:r w:rsidRPr="002920F7">
        <w:t>Consideraciones reglamentarias y de procedimiento con respecto al</w:t>
      </w:r>
      <w:r w:rsidR="00C94CD7" w:rsidRPr="002920F7">
        <w:t xml:space="preserve"> </w:t>
      </w:r>
      <w:r w:rsidR="00C94CD7" w:rsidRPr="002920F7">
        <w:rPr>
          <w:i/>
          <w:iCs/>
        </w:rPr>
        <w:t>res</w:t>
      </w:r>
      <w:r w:rsidRPr="002920F7">
        <w:rPr>
          <w:i/>
          <w:iCs/>
        </w:rPr>
        <w:t>uelve</w:t>
      </w:r>
      <w:r w:rsidR="00C94CD7" w:rsidRPr="002920F7">
        <w:t xml:space="preserve"> 1 </w:t>
      </w:r>
      <w:r>
        <w:t>de la</w:t>
      </w:r>
      <w:r w:rsidR="00C94CD7" w:rsidRPr="002920F7">
        <w:t xml:space="preserve"> </w:t>
      </w:r>
      <w:r w:rsidRPr="002920F7">
        <w:t>Resolución</w:t>
      </w:r>
      <w:r w:rsidR="00C94CD7" w:rsidRPr="002920F7">
        <w:t xml:space="preserve"> 756 (</w:t>
      </w:r>
      <w:r>
        <w:t>CMR</w:t>
      </w:r>
      <w:r w:rsidR="00C94CD7" w:rsidRPr="002920F7">
        <w:t>-12)</w:t>
      </w:r>
    </w:p>
    <w:p w:rsidR="000642C4" w:rsidRDefault="00C94CD7">
      <w:pPr>
        <w:pStyle w:val="Proposal"/>
      </w:pPr>
      <w:r>
        <w:rPr>
          <w:u w:val="single"/>
        </w:rPr>
        <w:t>NOC</w:t>
      </w:r>
      <w:r>
        <w:tab/>
        <w:t>IRN/61A23A1A2/1</w:t>
      </w:r>
    </w:p>
    <w:p w:rsidR="00F008F3" w:rsidRPr="00245062" w:rsidRDefault="00C94CD7" w:rsidP="00D44B91">
      <w:pPr>
        <w:pStyle w:val="ArtNo"/>
      </w:pPr>
      <w:r w:rsidRPr="00245062">
        <w:t xml:space="preserve">ARTÍCULO </w:t>
      </w:r>
      <w:r w:rsidRPr="00245062">
        <w:rPr>
          <w:rStyle w:val="href"/>
        </w:rPr>
        <w:t>9</w:t>
      </w:r>
    </w:p>
    <w:p w:rsidR="00F008F3" w:rsidRPr="00245062" w:rsidRDefault="00C94CD7" w:rsidP="00835B7C">
      <w:pPr>
        <w:pStyle w:val="Arttitle"/>
        <w:rPr>
          <w:b w:val="0"/>
          <w:bCs/>
          <w:sz w:val="16"/>
        </w:rPr>
      </w:pPr>
      <w:r w:rsidRPr="00245062">
        <w:t xml:space="preserve">Procedimiento para efectuar la coordinación u obtener el acuerdo </w:t>
      </w:r>
      <w:r w:rsidRPr="00245062">
        <w:br/>
        <w:t>de otras administraciones</w:t>
      </w:r>
      <w:r w:rsidRPr="00245062">
        <w:rPr>
          <w:rStyle w:val="FootnoteReference"/>
          <w:bCs/>
          <w:szCs w:val="18"/>
        </w:rPr>
        <w:t>1</w:t>
      </w:r>
      <w:r w:rsidRPr="00245062">
        <w:rPr>
          <w:bCs/>
          <w:position w:val="6"/>
          <w:sz w:val="18"/>
          <w:szCs w:val="18"/>
        </w:rPr>
        <w:t xml:space="preserve">, </w:t>
      </w:r>
      <w:r w:rsidRPr="00245062">
        <w:rPr>
          <w:rStyle w:val="FootnoteReference"/>
          <w:bCs/>
          <w:szCs w:val="18"/>
        </w:rPr>
        <w:t>2</w:t>
      </w:r>
      <w:r w:rsidRPr="00245062">
        <w:rPr>
          <w:bCs/>
          <w:position w:val="6"/>
          <w:sz w:val="18"/>
          <w:szCs w:val="18"/>
        </w:rPr>
        <w:t xml:space="preserve">, </w:t>
      </w:r>
      <w:r w:rsidRPr="00245062">
        <w:rPr>
          <w:rStyle w:val="FootnoteReference"/>
          <w:bCs/>
          <w:szCs w:val="18"/>
        </w:rPr>
        <w:t>3,</w:t>
      </w:r>
      <w:r w:rsidRPr="00245062">
        <w:rPr>
          <w:bCs/>
          <w:position w:val="6"/>
          <w:sz w:val="18"/>
          <w:szCs w:val="18"/>
        </w:rPr>
        <w:t xml:space="preserve"> </w:t>
      </w:r>
      <w:r w:rsidRPr="00245062">
        <w:rPr>
          <w:rStyle w:val="FootnoteReference"/>
          <w:bCs/>
          <w:szCs w:val="18"/>
        </w:rPr>
        <w:t>4</w:t>
      </w:r>
      <w:r w:rsidRPr="00245062">
        <w:rPr>
          <w:bCs/>
          <w:position w:val="6"/>
          <w:sz w:val="18"/>
          <w:szCs w:val="18"/>
        </w:rPr>
        <w:t xml:space="preserve">, </w:t>
      </w:r>
      <w:r w:rsidRPr="00245062">
        <w:rPr>
          <w:rStyle w:val="FootnoteReference"/>
          <w:bCs/>
          <w:szCs w:val="18"/>
        </w:rPr>
        <w:t>5</w:t>
      </w:r>
      <w:r w:rsidRPr="00245062">
        <w:rPr>
          <w:bCs/>
          <w:position w:val="6"/>
          <w:sz w:val="18"/>
          <w:szCs w:val="18"/>
        </w:rPr>
        <w:t xml:space="preserve">, </w:t>
      </w:r>
      <w:r w:rsidRPr="00245062">
        <w:rPr>
          <w:rStyle w:val="FootnoteReference"/>
          <w:bCs/>
          <w:szCs w:val="18"/>
        </w:rPr>
        <w:t>6</w:t>
      </w:r>
      <w:r w:rsidRPr="00245062">
        <w:rPr>
          <w:bCs/>
          <w:position w:val="6"/>
          <w:sz w:val="18"/>
          <w:szCs w:val="18"/>
        </w:rPr>
        <w:t xml:space="preserve">, </w:t>
      </w:r>
      <w:r w:rsidRPr="00245062">
        <w:rPr>
          <w:rStyle w:val="FootnoteReference"/>
          <w:bCs/>
          <w:szCs w:val="18"/>
        </w:rPr>
        <w:t>7</w:t>
      </w:r>
      <w:r w:rsidRPr="00245062">
        <w:rPr>
          <w:bCs/>
          <w:position w:val="6"/>
          <w:sz w:val="18"/>
          <w:szCs w:val="18"/>
        </w:rPr>
        <w:t xml:space="preserve">, </w:t>
      </w:r>
      <w:r w:rsidRPr="00245062">
        <w:rPr>
          <w:rStyle w:val="FootnoteReference"/>
          <w:bCs/>
          <w:szCs w:val="18"/>
        </w:rPr>
        <w:t xml:space="preserve">8, </w:t>
      </w:r>
      <w:r w:rsidRPr="00256D14">
        <w:rPr>
          <w:rStyle w:val="FootnoteReference"/>
          <w:bCs/>
          <w:szCs w:val="18"/>
        </w:rPr>
        <w:t>8</w:t>
      </w:r>
      <w:r w:rsidRPr="0071678E">
        <w:rPr>
          <w:rStyle w:val="FootnoteReference"/>
          <w:bCs/>
          <w:i/>
          <w:iCs/>
          <w:szCs w:val="18"/>
        </w:rPr>
        <w:t>bis</w:t>
      </w:r>
      <w:r w:rsidRPr="00245062">
        <w:rPr>
          <w:b w:val="0"/>
          <w:sz w:val="16"/>
          <w:szCs w:val="16"/>
        </w:rPr>
        <w:t>     </w:t>
      </w:r>
      <w:r w:rsidRPr="00245062">
        <w:rPr>
          <w:b w:val="0"/>
          <w:sz w:val="16"/>
        </w:rPr>
        <w:t>(CMR-12)</w:t>
      </w:r>
    </w:p>
    <w:p w:rsidR="000642C4" w:rsidRDefault="00C94CD7">
      <w:pPr>
        <w:pStyle w:val="Reasons"/>
      </w:pPr>
      <w:r>
        <w:rPr>
          <w:b/>
        </w:rPr>
        <w:t>Motivos:</w:t>
      </w:r>
      <w:r>
        <w:tab/>
      </w:r>
      <w:r w:rsidRPr="00C474F3">
        <w:t xml:space="preserve">No se requieren cambios a las disposiciones del Artículo </w:t>
      </w:r>
      <w:r w:rsidRPr="00692F90">
        <w:rPr>
          <w:bCs/>
        </w:rPr>
        <w:t>9</w:t>
      </w:r>
      <w:r>
        <w:t xml:space="preserve"> del RR respecto de la Opción 1D (NOC)</w:t>
      </w:r>
      <w:r w:rsidRPr="00C474F3">
        <w:t>.</w:t>
      </w:r>
    </w:p>
    <w:p w:rsidR="000642C4" w:rsidRDefault="00C94CD7">
      <w:pPr>
        <w:pStyle w:val="Proposal"/>
      </w:pPr>
      <w:r>
        <w:rPr>
          <w:u w:val="single"/>
        </w:rPr>
        <w:t>NOC</w:t>
      </w:r>
      <w:r>
        <w:tab/>
        <w:t>IRN/61A23A1A2/2</w:t>
      </w:r>
    </w:p>
    <w:p w:rsidR="00F008F3" w:rsidRPr="00245062" w:rsidRDefault="00C94CD7" w:rsidP="001A409B">
      <w:pPr>
        <w:pStyle w:val="ArtNo"/>
      </w:pPr>
      <w:r w:rsidRPr="00245062">
        <w:t xml:space="preserve">ARTÍCULO </w:t>
      </w:r>
      <w:r w:rsidRPr="00245062">
        <w:rPr>
          <w:rStyle w:val="href"/>
        </w:rPr>
        <w:t>11</w:t>
      </w:r>
    </w:p>
    <w:p w:rsidR="00F008F3" w:rsidRPr="00245062" w:rsidRDefault="00C94CD7" w:rsidP="00FD75A4">
      <w:pPr>
        <w:pStyle w:val="Arttitle"/>
        <w:spacing w:before="120"/>
        <w:rPr>
          <w:bCs/>
        </w:rPr>
      </w:pPr>
      <w:r w:rsidRPr="00245062">
        <w:t>Notificación e inscripción de asignaciones</w:t>
      </w:r>
      <w:r w:rsidRPr="00245062">
        <w:br/>
        <w:t>de frecuencia</w:t>
      </w:r>
      <w:r w:rsidRPr="00245062">
        <w:rPr>
          <w:rStyle w:val="FootnoteReference"/>
          <w:bCs/>
          <w:szCs w:val="18"/>
        </w:rPr>
        <w:t>1</w:t>
      </w:r>
      <w:r w:rsidRPr="00245062">
        <w:rPr>
          <w:bCs/>
          <w:position w:val="6"/>
          <w:sz w:val="18"/>
          <w:szCs w:val="18"/>
        </w:rPr>
        <w:t xml:space="preserve">, </w:t>
      </w:r>
      <w:r w:rsidRPr="00245062">
        <w:rPr>
          <w:rStyle w:val="FootnoteReference"/>
          <w:bCs/>
          <w:szCs w:val="18"/>
        </w:rPr>
        <w:t>2</w:t>
      </w:r>
      <w:r w:rsidRPr="00245062">
        <w:rPr>
          <w:bCs/>
          <w:position w:val="6"/>
          <w:sz w:val="18"/>
          <w:szCs w:val="18"/>
        </w:rPr>
        <w:t xml:space="preserve">, </w:t>
      </w:r>
      <w:r w:rsidRPr="00245062">
        <w:rPr>
          <w:rStyle w:val="FootnoteReference"/>
          <w:bCs/>
          <w:szCs w:val="18"/>
        </w:rPr>
        <w:t>3</w:t>
      </w:r>
      <w:r w:rsidRPr="00245062">
        <w:rPr>
          <w:bCs/>
          <w:position w:val="6"/>
          <w:sz w:val="18"/>
          <w:szCs w:val="18"/>
        </w:rPr>
        <w:t xml:space="preserve">, </w:t>
      </w:r>
      <w:r w:rsidRPr="00245062">
        <w:rPr>
          <w:rStyle w:val="FootnoteReference"/>
          <w:bCs/>
          <w:szCs w:val="18"/>
        </w:rPr>
        <w:t>4</w:t>
      </w:r>
      <w:r w:rsidRPr="00245062">
        <w:rPr>
          <w:bCs/>
          <w:position w:val="6"/>
          <w:sz w:val="18"/>
          <w:szCs w:val="18"/>
        </w:rPr>
        <w:t xml:space="preserve">, </w:t>
      </w:r>
      <w:r w:rsidRPr="00245062">
        <w:rPr>
          <w:rStyle w:val="FootnoteReference"/>
          <w:bCs/>
          <w:szCs w:val="18"/>
        </w:rPr>
        <w:t>5</w:t>
      </w:r>
      <w:r w:rsidRPr="00245062">
        <w:rPr>
          <w:bCs/>
          <w:position w:val="6"/>
          <w:sz w:val="18"/>
          <w:szCs w:val="18"/>
        </w:rPr>
        <w:t xml:space="preserve">, </w:t>
      </w:r>
      <w:r w:rsidRPr="00245062">
        <w:rPr>
          <w:rStyle w:val="FootnoteReference"/>
          <w:bCs/>
          <w:szCs w:val="18"/>
        </w:rPr>
        <w:t>6</w:t>
      </w:r>
      <w:r w:rsidRPr="00245062">
        <w:rPr>
          <w:bCs/>
          <w:position w:val="6"/>
          <w:sz w:val="18"/>
          <w:szCs w:val="18"/>
        </w:rPr>
        <w:t xml:space="preserve">, </w:t>
      </w:r>
      <w:r w:rsidRPr="00245062">
        <w:rPr>
          <w:rStyle w:val="FootnoteReference"/>
          <w:bCs/>
          <w:szCs w:val="18"/>
        </w:rPr>
        <w:t>7,</w:t>
      </w:r>
      <w:r w:rsidRPr="00245062">
        <w:rPr>
          <w:bCs/>
          <w:sz w:val="18"/>
          <w:szCs w:val="18"/>
        </w:rPr>
        <w:t xml:space="preserve"> </w:t>
      </w:r>
      <w:r w:rsidRPr="00245062">
        <w:rPr>
          <w:bCs/>
          <w:position w:val="6"/>
          <w:sz w:val="18"/>
          <w:szCs w:val="18"/>
        </w:rPr>
        <w:t>7</w:t>
      </w:r>
      <w:r w:rsidRPr="00245062">
        <w:rPr>
          <w:bCs/>
          <w:i/>
          <w:iCs/>
          <w:position w:val="6"/>
          <w:sz w:val="18"/>
          <w:szCs w:val="18"/>
        </w:rPr>
        <w:t>bis</w:t>
      </w:r>
      <w:r w:rsidRPr="00245062">
        <w:rPr>
          <w:b w:val="0"/>
          <w:sz w:val="16"/>
        </w:rPr>
        <w:t>     (CMR</w:t>
      </w:r>
      <w:r w:rsidRPr="00245062">
        <w:rPr>
          <w:b w:val="0"/>
          <w:sz w:val="16"/>
        </w:rPr>
        <w:noBreakHyphen/>
        <w:t>12)</w:t>
      </w:r>
    </w:p>
    <w:p w:rsidR="000642C4" w:rsidRDefault="00C94CD7" w:rsidP="002920F7">
      <w:pPr>
        <w:pStyle w:val="Reasons"/>
      </w:pPr>
      <w:r>
        <w:rPr>
          <w:b/>
        </w:rPr>
        <w:t>Motivos:</w:t>
      </w:r>
      <w:r>
        <w:tab/>
      </w:r>
      <w:r w:rsidRPr="00C474F3">
        <w:t xml:space="preserve">No se requieren cambios a las disposiciones del Artículo </w:t>
      </w:r>
      <w:r w:rsidR="002920F7" w:rsidRPr="00692F90">
        <w:rPr>
          <w:bCs/>
        </w:rPr>
        <w:t>11</w:t>
      </w:r>
      <w:r>
        <w:t xml:space="preserve"> del RR respecto de la Opción 1D (NOC)</w:t>
      </w:r>
      <w:r w:rsidRPr="00C474F3">
        <w:t>.</w:t>
      </w:r>
    </w:p>
    <w:p w:rsidR="00C94CD7" w:rsidRPr="00DE1D7F" w:rsidRDefault="00034517" w:rsidP="00730D23">
      <w:pPr>
        <w:rPr>
          <w:snapToGrid w:val="0"/>
          <w:lang w:eastAsia="ja-JP"/>
        </w:rPr>
      </w:pPr>
      <w:r w:rsidRPr="00034517">
        <w:rPr>
          <w:snapToGrid w:val="0"/>
          <w:lang w:eastAsia="ja-JP"/>
        </w:rPr>
        <w:t>Irá</w:t>
      </w:r>
      <w:r w:rsidR="00C94CD7" w:rsidRPr="00034517">
        <w:rPr>
          <w:snapToGrid w:val="0"/>
          <w:lang w:eastAsia="ja-JP"/>
        </w:rPr>
        <w:t xml:space="preserve">n </w:t>
      </w:r>
      <w:r w:rsidRPr="00034517">
        <w:rPr>
          <w:snapToGrid w:val="0"/>
          <w:lang w:eastAsia="ja-JP"/>
        </w:rPr>
        <w:t xml:space="preserve">sigue </w:t>
      </w:r>
      <w:r w:rsidR="00271077">
        <w:rPr>
          <w:snapToGrid w:val="0"/>
          <w:lang w:eastAsia="ja-JP"/>
        </w:rPr>
        <w:t>siendo de la opinión de que</w:t>
      </w:r>
      <w:r w:rsidRPr="00034517">
        <w:rPr>
          <w:snapToGrid w:val="0"/>
          <w:lang w:eastAsia="ja-JP"/>
        </w:rPr>
        <w:t xml:space="preserve"> la </w:t>
      </w:r>
      <w:r w:rsidR="005A1CD6">
        <w:rPr>
          <w:snapToGrid w:val="0"/>
          <w:lang w:eastAsia="ja-JP"/>
        </w:rPr>
        <w:t>adopción de un enfoque fragmentado para identificar/mejorar las disposiciones reglamentarias que rigen la utilización de los recursos orbitales/de espectro en los servicios espaciales, por ejemplo la reducción del arco de coordinación, la modificación del número 9.41 del RR, el aumen</w:t>
      </w:r>
      <w:r w:rsidR="00C34A47">
        <w:rPr>
          <w:snapToGrid w:val="0"/>
          <w:lang w:eastAsia="ja-JP"/>
        </w:rPr>
        <w:t>to del criterio sobre el umbral</w:t>
      </w:r>
      <w:r>
        <w:rPr>
          <w:snapToGrid w:val="0"/>
          <w:lang w:eastAsia="ja-JP"/>
        </w:rPr>
        <w:t xml:space="preserve"> </w:t>
      </w:r>
      <w:r w:rsidR="005A1CD6">
        <w:rPr>
          <w:snapToGrid w:val="0"/>
          <w:lang w:val="en-AU" w:eastAsia="ja-JP"/>
        </w:rPr>
        <w:t>Δ</w:t>
      </w:r>
      <w:r w:rsidR="005A1CD6" w:rsidRPr="00410119">
        <w:rPr>
          <w:i/>
          <w:snapToGrid w:val="0"/>
          <w:lang w:eastAsia="ja-JP"/>
        </w:rPr>
        <w:t>T/T</w:t>
      </w:r>
      <w:r w:rsidR="005A1CD6">
        <w:rPr>
          <w:snapToGrid w:val="0"/>
          <w:lang w:eastAsia="ja-JP"/>
        </w:rPr>
        <w:t xml:space="preserve"> o su sustitución por otro criterio (</w:t>
      </w:r>
      <w:r w:rsidR="005A1CD6" w:rsidRPr="00410119">
        <w:rPr>
          <w:i/>
          <w:snapToGrid w:val="0"/>
          <w:lang w:eastAsia="ja-JP"/>
        </w:rPr>
        <w:t>C/I</w:t>
      </w:r>
      <w:r w:rsidR="005A1CD6" w:rsidRPr="005A1CD6">
        <w:rPr>
          <w:snapToGrid w:val="0"/>
          <w:lang w:eastAsia="ja-JP"/>
        </w:rPr>
        <w:t xml:space="preserve"> </w:t>
      </w:r>
      <w:r w:rsidR="005A1CD6">
        <w:rPr>
          <w:snapToGrid w:val="0"/>
          <w:lang w:eastAsia="ja-JP"/>
        </w:rPr>
        <w:t xml:space="preserve">o máscara de DFP) de modo independiente no es apropiado. Dado que todas estas cuestiones guardan relación entre sí, las implicaciones de esta interrelación deben seguir estudiándose y examinándose </w:t>
      </w:r>
      <w:r w:rsidR="00DE1D7F">
        <w:rPr>
          <w:snapToGrid w:val="0"/>
          <w:lang w:eastAsia="ja-JP"/>
        </w:rPr>
        <w:t>con arreglo a un enfoque</w:t>
      </w:r>
      <w:r w:rsidR="005A1CD6">
        <w:rPr>
          <w:snapToGrid w:val="0"/>
          <w:lang w:eastAsia="ja-JP"/>
        </w:rPr>
        <w:t xml:space="preserve"> mundial mientras se adopta una decisión co</w:t>
      </w:r>
      <w:r w:rsidR="00C34A47">
        <w:rPr>
          <w:snapToGrid w:val="0"/>
          <w:lang w:eastAsia="ja-JP"/>
        </w:rPr>
        <w:t>n respecto a estas cuestiones.</w:t>
      </w:r>
    </w:p>
    <w:p w:rsidR="00C94CD7" w:rsidRPr="00DE1D7F" w:rsidRDefault="00C94CD7" w:rsidP="0032202E">
      <w:pPr>
        <w:pStyle w:val="Reasons"/>
      </w:pPr>
    </w:p>
    <w:p w:rsidR="00C94CD7" w:rsidRDefault="00C94CD7">
      <w:pPr>
        <w:jc w:val="center"/>
      </w:pPr>
      <w:r>
        <w:t>______________</w:t>
      </w:r>
    </w:p>
    <w:p w:rsidR="00C94CD7" w:rsidRPr="00C94CD7" w:rsidRDefault="00C94CD7">
      <w:pPr>
        <w:pStyle w:val="Reasons"/>
        <w:rPr>
          <w:lang w:val="en-AU"/>
        </w:rPr>
      </w:pPr>
    </w:p>
    <w:sectPr w:rsidR="00C94CD7" w:rsidRPr="00C94CD7">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A80057" w:rsidRDefault="0077084A">
    <w:pPr>
      <w:ind w:right="360"/>
    </w:pPr>
    <w:r>
      <w:fldChar w:fldCharType="begin"/>
    </w:r>
    <w:r w:rsidRPr="00A80057">
      <w:instrText xml:space="preserve"> FILENAME \p  \* MERGEFORMAT </w:instrText>
    </w:r>
    <w:r>
      <w:fldChar w:fldCharType="separate"/>
    </w:r>
    <w:r w:rsidR="00692F90">
      <w:rPr>
        <w:noProof/>
      </w:rPr>
      <w:t>P:\ESP\ITU-R\CONF-R\CMR15\000\061ADD23ADD01ADD02S.docx</w:t>
    </w:r>
    <w:r>
      <w:fldChar w:fldCharType="end"/>
    </w:r>
    <w:r w:rsidRPr="00A80057">
      <w:tab/>
    </w:r>
    <w:r>
      <w:fldChar w:fldCharType="begin"/>
    </w:r>
    <w:r>
      <w:instrText xml:space="preserve"> SAVEDATE \@ DD.MM.YY </w:instrText>
    </w:r>
    <w:r>
      <w:fldChar w:fldCharType="separate"/>
    </w:r>
    <w:r w:rsidR="00410119">
      <w:rPr>
        <w:noProof/>
      </w:rPr>
      <w:t>22.10.15</w:t>
    </w:r>
    <w:r>
      <w:fldChar w:fldCharType="end"/>
    </w:r>
    <w:r w:rsidRPr="00A80057">
      <w:tab/>
    </w:r>
    <w:r>
      <w:fldChar w:fldCharType="begin"/>
    </w:r>
    <w:r>
      <w:instrText xml:space="preserve"> PRINTDATE \@ DD.MM.YY </w:instrText>
    </w:r>
    <w:r>
      <w:fldChar w:fldCharType="separate"/>
    </w:r>
    <w:r w:rsidR="00692F90">
      <w:rPr>
        <w:noProof/>
      </w:rPr>
      <w:t>22.10.15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C34A47" w:rsidRDefault="00692F90" w:rsidP="00C34A47">
    <w:pPr>
      <w:pStyle w:val="Footer"/>
    </w:pPr>
    <w:fldSimple w:instr=" FILENAME \p  \* MERGEFORMAT ">
      <w:r>
        <w:t>P:\ESP\ITU-R\CONF-R\CMR15\000\061ADD23ADD01ADD02S.docx</w:t>
      </w:r>
    </w:fldSimple>
    <w:r w:rsidR="00C34A47">
      <w:t xml:space="preserve"> (388299)</w:t>
    </w:r>
    <w:r w:rsidR="00C34A47">
      <w:tab/>
    </w:r>
    <w:r w:rsidR="00C34A47">
      <w:fldChar w:fldCharType="begin"/>
    </w:r>
    <w:r w:rsidR="00C34A47">
      <w:instrText xml:space="preserve"> SAVEDATE \@ DD.MM.YY </w:instrText>
    </w:r>
    <w:r w:rsidR="00C34A47">
      <w:fldChar w:fldCharType="separate"/>
    </w:r>
    <w:r w:rsidR="00410119">
      <w:t>22.10.15</w:t>
    </w:r>
    <w:r w:rsidR="00C34A47">
      <w:fldChar w:fldCharType="end"/>
    </w:r>
    <w:r w:rsidR="00C34A47">
      <w:tab/>
    </w:r>
    <w:r w:rsidR="00C34A47">
      <w:fldChar w:fldCharType="begin"/>
    </w:r>
    <w:r w:rsidR="00C34A47">
      <w:instrText xml:space="preserve"> PRINTDATE \@ DD.MM.YY </w:instrText>
    </w:r>
    <w:r w:rsidR="00C34A47">
      <w:fldChar w:fldCharType="separate"/>
    </w:r>
    <w:r>
      <w:t>22.10.15</w:t>
    </w:r>
    <w:r w:rsidR="00C34A47">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C34A47" w:rsidRDefault="00410119" w:rsidP="00C34A47">
    <w:pPr>
      <w:pStyle w:val="Footer"/>
    </w:pPr>
    <w:r>
      <w:fldChar w:fldCharType="begin"/>
    </w:r>
    <w:r>
      <w:instrText xml:space="preserve"> FILENAME \p  \* MERGEFORMAT </w:instrText>
    </w:r>
    <w:r>
      <w:fldChar w:fldCharType="separate"/>
    </w:r>
    <w:r w:rsidR="00692F90">
      <w:t>P:\ESP\ITU-R\CONF-R\CMR15\000\061ADD23ADD01ADD02S.docx</w:t>
    </w:r>
    <w:r>
      <w:fldChar w:fldCharType="end"/>
    </w:r>
    <w:r w:rsidR="00C34A47">
      <w:t xml:space="preserve"> (388299)</w:t>
    </w:r>
    <w:r w:rsidR="00C34A47">
      <w:tab/>
    </w:r>
    <w:r w:rsidR="00C34A47">
      <w:fldChar w:fldCharType="begin"/>
    </w:r>
    <w:r w:rsidR="00C34A47">
      <w:instrText xml:space="preserve"> SAVEDATE \@ DD.MM.YY </w:instrText>
    </w:r>
    <w:r w:rsidR="00C34A47">
      <w:fldChar w:fldCharType="separate"/>
    </w:r>
    <w:r>
      <w:t>22.10.15</w:t>
    </w:r>
    <w:r w:rsidR="00C34A47">
      <w:fldChar w:fldCharType="end"/>
    </w:r>
    <w:r w:rsidR="00C34A47">
      <w:tab/>
    </w:r>
    <w:r w:rsidR="00C34A47">
      <w:fldChar w:fldCharType="begin"/>
    </w:r>
    <w:r w:rsidR="00C34A47">
      <w:instrText xml:space="preserve"> PRINTDATE \@ DD.MM.YY </w:instrText>
    </w:r>
    <w:r w:rsidR="00C34A47">
      <w:fldChar w:fldCharType="separate"/>
    </w:r>
    <w:r w:rsidR="00692F90">
      <w:t>22.10.15</w:t>
    </w:r>
    <w:r w:rsidR="00C34A4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10119">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61(Add.23)(Add.1)(Add.2)-</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34517"/>
    <w:rsid w:val="000642C4"/>
    <w:rsid w:val="00087AE8"/>
    <w:rsid w:val="000A5B9A"/>
    <w:rsid w:val="000E5BF9"/>
    <w:rsid w:val="000F0E6D"/>
    <w:rsid w:val="000F2391"/>
    <w:rsid w:val="001011C4"/>
    <w:rsid w:val="00111FCE"/>
    <w:rsid w:val="00121170"/>
    <w:rsid w:val="00123CC5"/>
    <w:rsid w:val="0015142D"/>
    <w:rsid w:val="001616DC"/>
    <w:rsid w:val="00163962"/>
    <w:rsid w:val="00167CBA"/>
    <w:rsid w:val="00191A97"/>
    <w:rsid w:val="001A083F"/>
    <w:rsid w:val="001C41FA"/>
    <w:rsid w:val="001E2B52"/>
    <w:rsid w:val="001E3F27"/>
    <w:rsid w:val="00236D2A"/>
    <w:rsid w:val="00255F12"/>
    <w:rsid w:val="00262C09"/>
    <w:rsid w:val="00271077"/>
    <w:rsid w:val="002920F7"/>
    <w:rsid w:val="002A791F"/>
    <w:rsid w:val="002C1B26"/>
    <w:rsid w:val="002C5D6C"/>
    <w:rsid w:val="002E701F"/>
    <w:rsid w:val="003248A9"/>
    <w:rsid w:val="00324FFA"/>
    <w:rsid w:val="0032680B"/>
    <w:rsid w:val="00363A65"/>
    <w:rsid w:val="003B1E8C"/>
    <w:rsid w:val="003C2508"/>
    <w:rsid w:val="003D0AA3"/>
    <w:rsid w:val="00410119"/>
    <w:rsid w:val="00440B3A"/>
    <w:rsid w:val="0045384C"/>
    <w:rsid w:val="00454553"/>
    <w:rsid w:val="004B124A"/>
    <w:rsid w:val="005133B5"/>
    <w:rsid w:val="00532097"/>
    <w:rsid w:val="0058350F"/>
    <w:rsid w:val="00583C7E"/>
    <w:rsid w:val="00587A64"/>
    <w:rsid w:val="005A1CD6"/>
    <w:rsid w:val="005D46FB"/>
    <w:rsid w:val="005F2605"/>
    <w:rsid w:val="005F3B0E"/>
    <w:rsid w:val="005F559C"/>
    <w:rsid w:val="00620311"/>
    <w:rsid w:val="00662BA0"/>
    <w:rsid w:val="00692AAE"/>
    <w:rsid w:val="00692F90"/>
    <w:rsid w:val="006D6E67"/>
    <w:rsid w:val="006E1A13"/>
    <w:rsid w:val="00701C20"/>
    <w:rsid w:val="00702F3D"/>
    <w:rsid w:val="0070518E"/>
    <w:rsid w:val="00730D23"/>
    <w:rsid w:val="007354E9"/>
    <w:rsid w:val="00765578"/>
    <w:rsid w:val="0077084A"/>
    <w:rsid w:val="00773FB6"/>
    <w:rsid w:val="00780ECF"/>
    <w:rsid w:val="007952C7"/>
    <w:rsid w:val="007C0B95"/>
    <w:rsid w:val="007C2317"/>
    <w:rsid w:val="007D330A"/>
    <w:rsid w:val="00866AE6"/>
    <w:rsid w:val="008750A8"/>
    <w:rsid w:val="008E5AF2"/>
    <w:rsid w:val="0090121B"/>
    <w:rsid w:val="009144C9"/>
    <w:rsid w:val="00927911"/>
    <w:rsid w:val="0094091F"/>
    <w:rsid w:val="00973754"/>
    <w:rsid w:val="009C0BED"/>
    <w:rsid w:val="009E11EC"/>
    <w:rsid w:val="00A118DB"/>
    <w:rsid w:val="00A4450C"/>
    <w:rsid w:val="00A80057"/>
    <w:rsid w:val="00AA5E6C"/>
    <w:rsid w:val="00AE5677"/>
    <w:rsid w:val="00AE658F"/>
    <w:rsid w:val="00AF2F78"/>
    <w:rsid w:val="00B239FA"/>
    <w:rsid w:val="00B52D55"/>
    <w:rsid w:val="00B70240"/>
    <w:rsid w:val="00B8288C"/>
    <w:rsid w:val="00BE2E80"/>
    <w:rsid w:val="00BE5EDD"/>
    <w:rsid w:val="00BE6A1F"/>
    <w:rsid w:val="00C126C4"/>
    <w:rsid w:val="00C34A47"/>
    <w:rsid w:val="00C50967"/>
    <w:rsid w:val="00C63EB5"/>
    <w:rsid w:val="00C94CD7"/>
    <w:rsid w:val="00CC01E0"/>
    <w:rsid w:val="00CD5FEE"/>
    <w:rsid w:val="00CE60D2"/>
    <w:rsid w:val="00CE7431"/>
    <w:rsid w:val="00D0288A"/>
    <w:rsid w:val="00D72A5D"/>
    <w:rsid w:val="00DC629B"/>
    <w:rsid w:val="00DE1D7F"/>
    <w:rsid w:val="00E05BFF"/>
    <w:rsid w:val="00E262F1"/>
    <w:rsid w:val="00E3176A"/>
    <w:rsid w:val="00E54754"/>
    <w:rsid w:val="00E56BD3"/>
    <w:rsid w:val="00E71D14"/>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2EF60D1-3579-4C0F-8221-5EDC8A12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paragraph" w:styleId="ListParagraph">
    <w:name w:val="List Paragraph"/>
    <w:basedOn w:val="Normal"/>
    <w:link w:val="ListParagraphChar"/>
    <w:uiPriority w:val="34"/>
    <w:qFormat/>
    <w:rsid w:val="00620311"/>
    <w:pPr>
      <w:tabs>
        <w:tab w:val="clear" w:pos="1134"/>
        <w:tab w:val="clear" w:pos="1871"/>
        <w:tab w:val="clear" w:pos="2268"/>
      </w:tabs>
      <w:overflowPunct/>
      <w:autoSpaceDE/>
      <w:autoSpaceDN/>
      <w:adjustRightInd/>
      <w:spacing w:before="0"/>
      <w:ind w:leftChars="400" w:left="840"/>
      <w:textAlignment w:val="auto"/>
    </w:pPr>
    <w:rPr>
      <w:rFonts w:eastAsia="BatangChe"/>
      <w:szCs w:val="24"/>
      <w:lang w:val="en-GB" w:bidi="fa-IR"/>
    </w:rPr>
  </w:style>
  <w:style w:type="character" w:customStyle="1" w:styleId="ListParagraphChar">
    <w:name w:val="List Paragraph Char"/>
    <w:link w:val="ListParagraph"/>
    <w:uiPriority w:val="34"/>
    <w:locked/>
    <w:rsid w:val="00620311"/>
    <w:rPr>
      <w:rFonts w:ascii="Times New Roman" w:eastAsia="BatangChe" w:hAnsi="Times New Roman"/>
      <w:sz w:val="24"/>
      <w:szCs w:val="24"/>
      <w:lang w:val="en-GB" w:eastAsia="en-US"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21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R15-WRC15-C-0061!A23-A1-A2!MSW-S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97716-2C9B-4D54-B856-E48E7A22F6BA}">
  <ds:schemaRefs>
    <ds:schemaRef ds:uri="http://purl.org/dc/elements/1.1/"/>
    <ds:schemaRef ds:uri="http://purl.org/dc/terms/"/>
    <ds:schemaRef ds:uri="http://schemas.microsoft.com/office/2006/documentManagement/types"/>
    <ds:schemaRef ds:uri="32a1a8c5-2265-4ebc-b7a0-2071e2c5c9bb"/>
    <ds:schemaRef ds:uri="996b2e75-67fd-4955-a3b0-5ab9934cb50b"/>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860E4758-147C-4AD7-957C-FAB9A329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805</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R15-WRC15-C-0061!A23-A1-A2!MSW-S</vt:lpstr>
    </vt:vector>
  </TitlesOfParts>
  <Manager>Secretaría General - Pool</Manager>
  <Company>Unión Internacional de Telecomunicaciones (UIT)</Company>
  <LinksUpToDate>false</LinksUpToDate>
  <CharactersWithSpaces>5106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R15-WRC15-C-0061!A23-A1-A2!MSW-S</dc:title>
  <dc:subject>Conferencia Mundial de Radiocomunicaciones - 2015</dc:subject>
  <dc:creator>Documents Proposals Manager (DPM)</dc:creator>
  <cp:keywords>DPM_v5.2015.10.15_prod</cp:keywords>
  <dc:description/>
  <cp:lastModifiedBy>spanish</cp:lastModifiedBy>
  <cp:revision>8</cp:revision>
  <cp:lastPrinted>2015-10-22T13:29:00Z</cp:lastPrinted>
  <dcterms:created xsi:type="dcterms:W3CDTF">2015-10-22T06:47:00Z</dcterms:created>
  <dcterms:modified xsi:type="dcterms:W3CDTF">2015-10-23T07:33:00Z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