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569" w:type="dxa"/>
        <w:tblLayout w:type="fixed"/>
        <w:tblLook w:val="0000" w:firstRow="0" w:lastRow="0" w:firstColumn="0" w:lastColumn="0" w:noHBand="0" w:noVBand="0"/>
      </w:tblPr>
      <w:tblGrid>
        <w:gridCol w:w="6663"/>
        <w:gridCol w:w="3368"/>
        <w:gridCol w:w="538"/>
      </w:tblGrid>
      <w:tr w:rsidR="00BB1D82" w:rsidRPr="00CB2BB5" w:rsidTr="00BB11CF">
        <w:trPr>
          <w:gridAfter w:val="1"/>
          <w:wAfter w:w="538" w:type="dxa"/>
          <w:cantSplit/>
        </w:trPr>
        <w:tc>
          <w:tcPr>
            <w:tcW w:w="6663" w:type="dxa"/>
          </w:tcPr>
          <w:p w:rsidR="00BB1D82" w:rsidRPr="00CB2BB5" w:rsidRDefault="00851625" w:rsidP="00CB2BB5">
            <w:pPr>
              <w:spacing w:before="400" w:after="48"/>
              <w:rPr>
                <w:rFonts w:ascii="Verdana" w:hAnsi="Verdana"/>
                <w:b/>
                <w:bCs/>
                <w:sz w:val="20"/>
                <w:lang w:val="fr-CH"/>
              </w:rPr>
            </w:pPr>
            <w:bookmarkStart w:id="0" w:name="_GoBack"/>
            <w:bookmarkEnd w:id="0"/>
            <w:r w:rsidRPr="00CB2BB5">
              <w:rPr>
                <w:rFonts w:ascii="Verdana" w:hAnsi="Verdana"/>
                <w:b/>
                <w:bCs/>
                <w:sz w:val="20"/>
                <w:lang w:val="fr-CH"/>
              </w:rPr>
              <w:t>Conférence mondiale des radiocommunications (CMR-15)</w:t>
            </w:r>
            <w:r w:rsidRPr="00CB2BB5">
              <w:rPr>
                <w:rFonts w:ascii="Verdana" w:hAnsi="Verdana"/>
                <w:b/>
                <w:bCs/>
                <w:sz w:val="20"/>
                <w:lang w:val="fr-CH"/>
              </w:rPr>
              <w:br/>
            </w:r>
            <w:r w:rsidRPr="00CB2BB5">
              <w:rPr>
                <w:rFonts w:ascii="Verdana" w:hAnsi="Verdana"/>
                <w:b/>
                <w:bCs/>
                <w:sz w:val="18"/>
                <w:szCs w:val="18"/>
                <w:lang w:val="fr-CH"/>
              </w:rPr>
              <w:t>Genève,</w:t>
            </w:r>
            <w:r w:rsidR="00E537FF" w:rsidRPr="00CB2BB5">
              <w:rPr>
                <w:rFonts w:ascii="Verdana" w:hAnsi="Verdana"/>
                <w:b/>
                <w:bCs/>
                <w:sz w:val="18"/>
                <w:szCs w:val="18"/>
                <w:lang w:val="fr-CH"/>
              </w:rPr>
              <w:t xml:space="preserve"> </w:t>
            </w:r>
            <w:r w:rsidRPr="00CB2BB5">
              <w:rPr>
                <w:rFonts w:ascii="Verdana" w:hAnsi="Verdana"/>
                <w:b/>
                <w:bCs/>
                <w:sz w:val="18"/>
                <w:szCs w:val="18"/>
                <w:lang w:val="fr-CH"/>
              </w:rPr>
              <w:t>2-27 novembre 2015</w:t>
            </w:r>
          </w:p>
        </w:tc>
        <w:tc>
          <w:tcPr>
            <w:tcW w:w="3368" w:type="dxa"/>
          </w:tcPr>
          <w:p w:rsidR="00BB1D82" w:rsidRPr="00CB2BB5" w:rsidRDefault="002C28A4" w:rsidP="00CB2BB5">
            <w:pPr>
              <w:spacing w:before="0"/>
              <w:jc w:val="right"/>
              <w:rPr>
                <w:lang w:val="en-US"/>
              </w:rPr>
            </w:pPr>
            <w:bookmarkStart w:id="1" w:name="ditulogo"/>
            <w:bookmarkEnd w:id="1"/>
            <w:r w:rsidRPr="00CB2BB5">
              <w:rPr>
                <w:noProof/>
                <w:lang w:val="en-GB" w:eastAsia="zh-CN"/>
              </w:rPr>
              <w:drawing>
                <wp:inline distT="0" distB="0" distL="0" distR="0" wp14:anchorId="01847CF8" wp14:editId="52BADDE1">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CB2BB5" w:rsidTr="00BB11CF">
        <w:trPr>
          <w:gridAfter w:val="1"/>
          <w:wAfter w:w="538" w:type="dxa"/>
          <w:cantSplit/>
        </w:trPr>
        <w:tc>
          <w:tcPr>
            <w:tcW w:w="6663" w:type="dxa"/>
            <w:tcBorders>
              <w:bottom w:val="single" w:sz="12" w:space="0" w:color="auto"/>
            </w:tcBorders>
          </w:tcPr>
          <w:p w:rsidR="00BB1D82" w:rsidRPr="00CB2BB5" w:rsidRDefault="002C28A4" w:rsidP="00CB2BB5">
            <w:pPr>
              <w:spacing w:before="0" w:after="48"/>
              <w:rPr>
                <w:b/>
                <w:smallCaps/>
                <w:szCs w:val="24"/>
                <w:lang w:val="en-US"/>
              </w:rPr>
            </w:pPr>
            <w:bookmarkStart w:id="2" w:name="dhead"/>
            <w:r w:rsidRPr="00CB2BB5">
              <w:rPr>
                <w:rFonts w:ascii="Verdana" w:hAnsi="Verdana"/>
                <w:b/>
                <w:bCs/>
                <w:sz w:val="20"/>
              </w:rPr>
              <w:t>UNION INTERNATIONALE DES TÉLÉCOMMUNICATIONS</w:t>
            </w:r>
          </w:p>
        </w:tc>
        <w:tc>
          <w:tcPr>
            <w:tcW w:w="3368" w:type="dxa"/>
            <w:tcBorders>
              <w:bottom w:val="single" w:sz="12" w:space="0" w:color="auto"/>
            </w:tcBorders>
          </w:tcPr>
          <w:p w:rsidR="00BB1D82" w:rsidRPr="00CB2BB5" w:rsidRDefault="00BB1D82" w:rsidP="00CB2BB5">
            <w:pPr>
              <w:spacing w:before="0"/>
              <w:rPr>
                <w:rFonts w:ascii="Verdana" w:hAnsi="Verdana"/>
                <w:szCs w:val="24"/>
                <w:lang w:val="en-US"/>
              </w:rPr>
            </w:pPr>
          </w:p>
        </w:tc>
      </w:tr>
      <w:tr w:rsidR="00BB1D82" w:rsidRPr="00CB2BB5" w:rsidTr="00BB11CF">
        <w:trPr>
          <w:gridAfter w:val="1"/>
          <w:wAfter w:w="538" w:type="dxa"/>
          <w:cantSplit/>
        </w:trPr>
        <w:tc>
          <w:tcPr>
            <w:tcW w:w="6663" w:type="dxa"/>
            <w:tcBorders>
              <w:top w:val="single" w:sz="12" w:space="0" w:color="auto"/>
            </w:tcBorders>
          </w:tcPr>
          <w:p w:rsidR="00BB1D82" w:rsidRPr="00CB2BB5" w:rsidRDefault="00BB1D82" w:rsidP="00CB2BB5">
            <w:pPr>
              <w:spacing w:before="0" w:after="48"/>
              <w:rPr>
                <w:rFonts w:ascii="Verdana" w:hAnsi="Verdana"/>
                <w:b/>
                <w:smallCaps/>
                <w:sz w:val="20"/>
                <w:lang w:val="en-US"/>
              </w:rPr>
            </w:pPr>
          </w:p>
        </w:tc>
        <w:tc>
          <w:tcPr>
            <w:tcW w:w="3368" w:type="dxa"/>
            <w:tcBorders>
              <w:top w:val="single" w:sz="12" w:space="0" w:color="auto"/>
            </w:tcBorders>
          </w:tcPr>
          <w:p w:rsidR="00BB1D82" w:rsidRPr="00CB2BB5" w:rsidRDefault="00BB1D82" w:rsidP="00CB2BB5">
            <w:pPr>
              <w:spacing w:before="0"/>
              <w:rPr>
                <w:rFonts w:ascii="Verdana" w:hAnsi="Verdana"/>
                <w:sz w:val="20"/>
                <w:lang w:val="en-US"/>
              </w:rPr>
            </w:pPr>
          </w:p>
        </w:tc>
      </w:tr>
      <w:tr w:rsidR="00BB1D82" w:rsidRPr="00CB2BB5" w:rsidTr="00BB11CF">
        <w:trPr>
          <w:cantSplit/>
        </w:trPr>
        <w:tc>
          <w:tcPr>
            <w:tcW w:w="6663" w:type="dxa"/>
            <w:shd w:val="clear" w:color="auto" w:fill="auto"/>
          </w:tcPr>
          <w:p w:rsidR="00BB1D82" w:rsidRPr="00CB2BB5" w:rsidRDefault="006D4724" w:rsidP="00CB2BB5">
            <w:pPr>
              <w:spacing w:before="0"/>
              <w:rPr>
                <w:rFonts w:ascii="Verdana" w:hAnsi="Verdana"/>
                <w:b/>
                <w:sz w:val="20"/>
                <w:lang w:val="en-US"/>
              </w:rPr>
            </w:pPr>
            <w:r w:rsidRPr="00CB2BB5">
              <w:rPr>
                <w:rFonts w:ascii="Verdana" w:hAnsi="Verdana"/>
                <w:b/>
                <w:sz w:val="20"/>
                <w:lang w:val="en-US"/>
              </w:rPr>
              <w:t>SÉANCE PLÉNIÈRE</w:t>
            </w:r>
          </w:p>
        </w:tc>
        <w:tc>
          <w:tcPr>
            <w:tcW w:w="3906" w:type="dxa"/>
            <w:gridSpan w:val="2"/>
            <w:shd w:val="clear" w:color="auto" w:fill="auto"/>
          </w:tcPr>
          <w:p w:rsidR="00BB1D82" w:rsidRPr="00CB2BB5" w:rsidRDefault="006D4724" w:rsidP="00CB2BB5">
            <w:pPr>
              <w:spacing w:before="0"/>
              <w:rPr>
                <w:rFonts w:ascii="Verdana" w:hAnsi="Verdana"/>
                <w:sz w:val="20"/>
                <w:lang w:val="fr-CH"/>
              </w:rPr>
            </w:pPr>
            <w:r w:rsidRPr="00CB2BB5">
              <w:rPr>
                <w:rFonts w:ascii="Verdana" w:eastAsia="SimSun" w:hAnsi="Verdana" w:cs="Traditional Arabic"/>
                <w:b/>
                <w:sz w:val="20"/>
                <w:lang w:val="fr-CH"/>
              </w:rPr>
              <w:t>Addendum 2 au</w:t>
            </w:r>
            <w:r w:rsidRPr="00CB2BB5">
              <w:rPr>
                <w:rFonts w:ascii="Verdana" w:eastAsia="SimSun" w:hAnsi="Verdana" w:cs="Traditional Arabic"/>
                <w:b/>
                <w:sz w:val="20"/>
                <w:lang w:val="fr-CH"/>
              </w:rPr>
              <w:br/>
              <w:t>Document 61(Add.23)(Add.1)</w:t>
            </w:r>
            <w:r w:rsidR="00BB1D82" w:rsidRPr="00CB2BB5">
              <w:rPr>
                <w:rFonts w:ascii="Verdana" w:hAnsi="Verdana"/>
                <w:b/>
                <w:sz w:val="20"/>
                <w:lang w:val="fr-CH"/>
              </w:rPr>
              <w:t>-</w:t>
            </w:r>
            <w:r w:rsidRPr="00CB2BB5">
              <w:rPr>
                <w:rFonts w:ascii="Verdana" w:hAnsi="Verdana"/>
                <w:b/>
                <w:sz w:val="20"/>
                <w:lang w:val="fr-CH"/>
              </w:rPr>
              <w:t>F</w:t>
            </w:r>
          </w:p>
        </w:tc>
      </w:tr>
      <w:bookmarkEnd w:id="2"/>
      <w:tr w:rsidR="00690C7B" w:rsidRPr="00CB2BB5" w:rsidTr="00BB11CF">
        <w:trPr>
          <w:gridAfter w:val="1"/>
          <w:wAfter w:w="538" w:type="dxa"/>
          <w:cantSplit/>
        </w:trPr>
        <w:tc>
          <w:tcPr>
            <w:tcW w:w="6663" w:type="dxa"/>
            <w:shd w:val="clear" w:color="auto" w:fill="auto"/>
          </w:tcPr>
          <w:p w:rsidR="00690C7B" w:rsidRPr="00CB2BB5" w:rsidRDefault="00690C7B" w:rsidP="00CB2BB5">
            <w:pPr>
              <w:spacing w:before="0"/>
              <w:rPr>
                <w:rFonts w:ascii="Verdana" w:hAnsi="Verdana"/>
                <w:b/>
                <w:sz w:val="20"/>
                <w:lang w:val="fr-CH"/>
              </w:rPr>
            </w:pPr>
          </w:p>
        </w:tc>
        <w:tc>
          <w:tcPr>
            <w:tcW w:w="3368" w:type="dxa"/>
            <w:shd w:val="clear" w:color="auto" w:fill="auto"/>
          </w:tcPr>
          <w:p w:rsidR="00690C7B" w:rsidRPr="00CB2BB5" w:rsidRDefault="00690C7B" w:rsidP="00CB2BB5">
            <w:pPr>
              <w:spacing w:before="0"/>
              <w:rPr>
                <w:rFonts w:ascii="Verdana" w:hAnsi="Verdana"/>
                <w:b/>
                <w:sz w:val="20"/>
                <w:lang w:val="en-US"/>
              </w:rPr>
            </w:pPr>
            <w:r w:rsidRPr="00CB2BB5">
              <w:rPr>
                <w:rFonts w:ascii="Verdana" w:hAnsi="Verdana"/>
                <w:b/>
                <w:sz w:val="20"/>
                <w:lang w:val="en-US"/>
              </w:rPr>
              <w:t>14 octobre 2015</w:t>
            </w:r>
          </w:p>
        </w:tc>
      </w:tr>
      <w:tr w:rsidR="00690C7B" w:rsidRPr="00CB2BB5" w:rsidTr="00BB11CF">
        <w:trPr>
          <w:gridAfter w:val="1"/>
          <w:wAfter w:w="538" w:type="dxa"/>
          <w:cantSplit/>
        </w:trPr>
        <w:tc>
          <w:tcPr>
            <w:tcW w:w="6663" w:type="dxa"/>
          </w:tcPr>
          <w:p w:rsidR="00690C7B" w:rsidRPr="00CB2BB5" w:rsidRDefault="00690C7B" w:rsidP="00CB2BB5">
            <w:pPr>
              <w:spacing w:before="0" w:after="48"/>
              <w:rPr>
                <w:rFonts w:ascii="Verdana" w:hAnsi="Verdana"/>
                <w:b/>
                <w:smallCaps/>
                <w:sz w:val="20"/>
                <w:lang w:val="en-US"/>
              </w:rPr>
            </w:pPr>
          </w:p>
        </w:tc>
        <w:tc>
          <w:tcPr>
            <w:tcW w:w="3368" w:type="dxa"/>
          </w:tcPr>
          <w:p w:rsidR="00690C7B" w:rsidRPr="00CB2BB5" w:rsidRDefault="00690C7B" w:rsidP="00CB2BB5">
            <w:pPr>
              <w:spacing w:before="0"/>
              <w:rPr>
                <w:rFonts w:ascii="Verdana" w:hAnsi="Verdana"/>
                <w:b/>
                <w:sz w:val="20"/>
                <w:lang w:val="en-US"/>
              </w:rPr>
            </w:pPr>
            <w:r w:rsidRPr="00CB2BB5">
              <w:rPr>
                <w:rFonts w:ascii="Verdana" w:hAnsi="Verdana"/>
                <w:b/>
                <w:sz w:val="20"/>
                <w:lang w:val="en-US"/>
              </w:rPr>
              <w:t>Original: anglais</w:t>
            </w:r>
          </w:p>
        </w:tc>
      </w:tr>
      <w:tr w:rsidR="00690C7B" w:rsidRPr="00CB2BB5" w:rsidTr="00BB11CF">
        <w:trPr>
          <w:gridAfter w:val="1"/>
          <w:wAfter w:w="538" w:type="dxa"/>
          <w:cantSplit/>
        </w:trPr>
        <w:tc>
          <w:tcPr>
            <w:tcW w:w="10031" w:type="dxa"/>
            <w:gridSpan w:val="2"/>
          </w:tcPr>
          <w:p w:rsidR="00690C7B" w:rsidRPr="00CB2BB5" w:rsidRDefault="00690C7B" w:rsidP="00CB2BB5">
            <w:pPr>
              <w:spacing w:before="0"/>
              <w:rPr>
                <w:rFonts w:ascii="Verdana" w:hAnsi="Verdana"/>
                <w:b/>
                <w:sz w:val="20"/>
                <w:lang w:val="en-US"/>
              </w:rPr>
            </w:pPr>
          </w:p>
        </w:tc>
      </w:tr>
      <w:tr w:rsidR="00690C7B" w:rsidRPr="00CB2BB5" w:rsidTr="00BB11CF">
        <w:trPr>
          <w:gridAfter w:val="1"/>
          <w:wAfter w:w="538" w:type="dxa"/>
          <w:cantSplit/>
        </w:trPr>
        <w:tc>
          <w:tcPr>
            <w:tcW w:w="10031" w:type="dxa"/>
            <w:gridSpan w:val="2"/>
          </w:tcPr>
          <w:p w:rsidR="00690C7B" w:rsidRPr="00CB2BB5" w:rsidRDefault="00690C7B" w:rsidP="00CB2BB5">
            <w:pPr>
              <w:pStyle w:val="Source"/>
              <w:rPr>
                <w:lang w:val="en-US"/>
              </w:rPr>
            </w:pPr>
            <w:bookmarkStart w:id="3" w:name="dsource" w:colFirst="0" w:colLast="0"/>
            <w:r w:rsidRPr="00CB2BB5">
              <w:rPr>
                <w:lang w:val="en-US"/>
              </w:rPr>
              <w:t>Iran (République islamique d')</w:t>
            </w:r>
          </w:p>
        </w:tc>
      </w:tr>
      <w:tr w:rsidR="00690C7B" w:rsidRPr="00CB2BB5" w:rsidTr="00BB11CF">
        <w:trPr>
          <w:gridAfter w:val="1"/>
          <w:wAfter w:w="538" w:type="dxa"/>
          <w:cantSplit/>
        </w:trPr>
        <w:tc>
          <w:tcPr>
            <w:tcW w:w="10031" w:type="dxa"/>
            <w:gridSpan w:val="2"/>
          </w:tcPr>
          <w:p w:rsidR="00690C7B" w:rsidRPr="00CB2BB5" w:rsidRDefault="002B124D" w:rsidP="00CB2BB5">
            <w:pPr>
              <w:pStyle w:val="Title1"/>
              <w:rPr>
                <w:lang w:val="fr-CH"/>
              </w:rPr>
            </w:pPr>
            <w:bookmarkStart w:id="4" w:name="dtitle1" w:colFirst="0" w:colLast="0"/>
            <w:bookmarkEnd w:id="3"/>
            <w:r w:rsidRPr="00CB2BB5">
              <w:rPr>
                <w:lang w:val="fr-CH"/>
              </w:rPr>
              <w:t>PropOSITIONS POUR LES TRAVAUX DE LA CONFÉ</w:t>
            </w:r>
            <w:r w:rsidR="00690C7B" w:rsidRPr="00CB2BB5">
              <w:rPr>
                <w:lang w:val="fr-CH"/>
              </w:rPr>
              <w:t>rence</w:t>
            </w:r>
          </w:p>
        </w:tc>
      </w:tr>
      <w:tr w:rsidR="00690C7B" w:rsidRPr="00CB2BB5" w:rsidTr="00BB11CF">
        <w:trPr>
          <w:gridAfter w:val="1"/>
          <w:wAfter w:w="538" w:type="dxa"/>
          <w:cantSplit/>
        </w:trPr>
        <w:tc>
          <w:tcPr>
            <w:tcW w:w="10031" w:type="dxa"/>
            <w:gridSpan w:val="2"/>
          </w:tcPr>
          <w:p w:rsidR="00690C7B" w:rsidRPr="00CB2BB5" w:rsidRDefault="00690C7B" w:rsidP="00CB2BB5">
            <w:pPr>
              <w:pStyle w:val="Title2"/>
              <w:rPr>
                <w:lang w:val="fr-CH"/>
              </w:rPr>
            </w:pPr>
            <w:bookmarkStart w:id="5" w:name="dtitle2" w:colFirst="0" w:colLast="0"/>
            <w:bookmarkEnd w:id="4"/>
          </w:p>
        </w:tc>
      </w:tr>
      <w:tr w:rsidR="00690C7B" w:rsidRPr="00CB2BB5" w:rsidTr="00BB11CF">
        <w:trPr>
          <w:gridAfter w:val="1"/>
          <w:wAfter w:w="538" w:type="dxa"/>
          <w:cantSplit/>
        </w:trPr>
        <w:tc>
          <w:tcPr>
            <w:tcW w:w="10031" w:type="dxa"/>
            <w:gridSpan w:val="2"/>
          </w:tcPr>
          <w:p w:rsidR="00690C7B" w:rsidRPr="00CB2BB5" w:rsidRDefault="00690C7B" w:rsidP="00CB2BB5">
            <w:pPr>
              <w:pStyle w:val="Agendaitem"/>
            </w:pPr>
            <w:bookmarkStart w:id="6" w:name="dtitle3" w:colFirst="0" w:colLast="0"/>
            <w:bookmarkEnd w:id="5"/>
            <w:r w:rsidRPr="00CB2BB5">
              <w:t>Point 9.1(9.1.2) de l'ordre du jour</w:t>
            </w:r>
          </w:p>
        </w:tc>
      </w:tr>
    </w:tbl>
    <w:bookmarkEnd w:id="6"/>
    <w:p w:rsidR="001C0E40" w:rsidRPr="00CB2BB5" w:rsidRDefault="006875A9" w:rsidP="00CB2BB5">
      <w:pPr>
        <w:rPr>
          <w:lang w:val="fr-CA"/>
        </w:rPr>
      </w:pPr>
      <w:r w:rsidRPr="00CB2BB5">
        <w:rPr>
          <w:lang w:val="fr-CA"/>
        </w:rPr>
        <w:t>9</w:t>
      </w:r>
      <w:r w:rsidRPr="00CB2BB5">
        <w:rPr>
          <w:lang w:val="fr-CA"/>
        </w:rPr>
        <w:tab/>
        <w:t>examiner et approuver le rapport du Directeur du Bureau des radiocommunications, conformément à l'article 7 de la Convention:</w:t>
      </w:r>
    </w:p>
    <w:p w:rsidR="001C0E40" w:rsidRPr="00CB2BB5" w:rsidRDefault="006875A9" w:rsidP="00CB2BB5">
      <w:pPr>
        <w:rPr>
          <w:lang w:val="fr-CA"/>
        </w:rPr>
      </w:pPr>
      <w:r w:rsidRPr="00CB2BB5">
        <w:rPr>
          <w:lang w:val="fr-CA"/>
        </w:rPr>
        <w:t>9.1</w:t>
      </w:r>
      <w:r w:rsidRPr="00CB2BB5">
        <w:rPr>
          <w:lang w:val="fr-CA"/>
        </w:rPr>
        <w:tab/>
        <w:t>sur les activités du Secteur des radiocommunications depuis la CMR</w:t>
      </w:r>
      <w:r w:rsidRPr="00CB2BB5">
        <w:rPr>
          <w:lang w:val="fr-CA"/>
        </w:rPr>
        <w:noBreakHyphen/>
        <w:t xml:space="preserve">12; </w:t>
      </w:r>
    </w:p>
    <w:p w:rsidR="001C0E40" w:rsidRPr="00CB2BB5" w:rsidRDefault="006875A9" w:rsidP="00CB2BB5">
      <w:pPr>
        <w:rPr>
          <w:b/>
          <w:bCs/>
          <w:lang w:val="fr-CH"/>
        </w:rPr>
      </w:pPr>
      <w:r w:rsidRPr="00CB2BB5">
        <w:rPr>
          <w:lang w:val="fr-CH"/>
        </w:rPr>
        <w:t>9.1(9.1.2)</w:t>
      </w:r>
      <w:r w:rsidRPr="00CB2BB5">
        <w:rPr>
          <w:lang w:val="fr-CH"/>
        </w:rPr>
        <w:tab/>
        <w:t xml:space="preserve">Résolution </w:t>
      </w:r>
      <w:r w:rsidRPr="00CB2BB5">
        <w:rPr>
          <w:b/>
          <w:bCs/>
          <w:lang w:val="fr-CH"/>
        </w:rPr>
        <w:t>756 (CMR-12)</w:t>
      </w:r>
      <w:r w:rsidRPr="00CB2BB5">
        <w:rPr>
          <w:lang w:val="fr-CH"/>
        </w:rPr>
        <w:t xml:space="preserve"> – Etudes relatives à la réduction possible de l'arc de coordination et aux critères techniques utilisés dans l'application du numéro </w:t>
      </w:r>
      <w:r w:rsidRPr="00CB2BB5">
        <w:rPr>
          <w:b/>
          <w:bCs/>
          <w:lang w:val="fr-CH"/>
        </w:rPr>
        <w:t>9.41</w:t>
      </w:r>
      <w:r w:rsidRPr="00CB2BB5">
        <w:rPr>
          <w:lang w:val="fr-CH"/>
        </w:rPr>
        <w:t xml:space="preserve"> en ce qui concerne la coordination au titre du numéro </w:t>
      </w:r>
      <w:r w:rsidRPr="00CB2BB5">
        <w:rPr>
          <w:b/>
          <w:bCs/>
          <w:lang w:val="fr-CH"/>
        </w:rPr>
        <w:t>9.7</w:t>
      </w:r>
    </w:p>
    <w:p w:rsidR="003A583E" w:rsidRPr="00CB2BB5" w:rsidRDefault="0014720C" w:rsidP="00CB2BB5">
      <w:pPr>
        <w:pStyle w:val="Headingb"/>
        <w:rPr>
          <w:bCs/>
          <w:lang w:val="fr-CH"/>
        </w:rPr>
      </w:pPr>
      <w:r w:rsidRPr="00CB2BB5">
        <w:rPr>
          <w:bCs/>
          <w:lang w:val="fr-CH"/>
        </w:rPr>
        <w:t>Introduction</w:t>
      </w:r>
    </w:p>
    <w:p w:rsidR="0014720C" w:rsidRPr="00DC75BE" w:rsidRDefault="0014720C" w:rsidP="00CB2BB5">
      <w:pPr>
        <w:rPr>
          <w:lang w:val="fr-CH"/>
        </w:rPr>
      </w:pPr>
      <w:r w:rsidRPr="00DC75BE">
        <w:rPr>
          <w:lang w:eastAsia="ja-JP"/>
        </w:rPr>
        <w:t>L'utilisation des ressources orbites/spectre augmente, ce qui rend l'accès au spectre plus difficile pour de nouveaux réseaux à satellite. La situation est particulièrement critique dans certaines bandes de fréquences couramment utilisées par de nombreux satellites en service, mais il existe également des difficultés dans d'autres bandes de fréquences en raison de la soumission de nombreux réseaux à satellite.</w:t>
      </w:r>
    </w:p>
    <w:p w:rsidR="0014720C" w:rsidRPr="00DC75BE" w:rsidRDefault="0014720C" w:rsidP="00F363FB">
      <w:pPr>
        <w:rPr>
          <w:lang w:val="fr-CH"/>
        </w:rPr>
      </w:pPr>
      <w:r w:rsidRPr="00DC75BE">
        <w:rPr>
          <w:lang w:eastAsia="ja-JP"/>
        </w:rPr>
        <w:t>C'est pourquoi l'on cherche à améliorer les méthodes emplo</w:t>
      </w:r>
      <w:r w:rsidR="00CB2BB5" w:rsidRPr="00DC75BE">
        <w:rPr>
          <w:lang w:eastAsia="ja-JP"/>
        </w:rPr>
        <w:t>yées pour prendre en charge</w:t>
      </w:r>
      <w:r w:rsidRPr="00DC75BE">
        <w:rPr>
          <w:lang w:eastAsia="ja-JP"/>
        </w:rPr>
        <w:t xml:space="preserve"> de nouveaux réseaux et favoriser une utilisation plus efficace des ressources du spectre, tout en garantissant un niveau de protection suffisant pour les réseaux existants exploités conformément aux dispositions du Règlement des radiocommunications.</w:t>
      </w:r>
    </w:p>
    <w:p w:rsidR="0014720C" w:rsidRPr="00DC75BE" w:rsidRDefault="0014720C" w:rsidP="00CB2BB5">
      <w:pPr>
        <w:rPr>
          <w:lang w:eastAsia="ja-JP"/>
        </w:rPr>
      </w:pPr>
      <w:r w:rsidRPr="00DC75BE">
        <w:rPr>
          <w:lang w:eastAsia="ja-JP"/>
        </w:rPr>
        <w:t>Dans le cadre des efforts visant à améliorer la procédure de coordination, la CMR</w:t>
      </w:r>
      <w:r w:rsidRPr="00DC75BE">
        <w:rPr>
          <w:lang w:eastAsia="ja-JP"/>
        </w:rPr>
        <w:noBreakHyphen/>
        <w:t>12 a décidé de réduire l'arc de coordination dans les gammes de fréquences des 6/4 GHz et des 14/10/11/12 GHz, ainsi que dans la bande de fréquences 21,4</w:t>
      </w:r>
      <w:r w:rsidRPr="00DC75BE">
        <w:rPr>
          <w:lang w:eastAsia="ja-JP"/>
        </w:rPr>
        <w:noBreakHyphen/>
        <w:t>22 GHz. En outre, la CMR</w:t>
      </w:r>
      <w:r w:rsidRPr="00DC75BE">
        <w:rPr>
          <w:lang w:eastAsia="ja-JP"/>
        </w:rPr>
        <w:noBreakHyphen/>
        <w:t>12 a décidé que ces deux questions devaient être étudiées plus avant dans le cadre de la préparation de la CMR</w:t>
      </w:r>
      <w:r w:rsidRPr="00DC75BE">
        <w:rPr>
          <w:lang w:eastAsia="ja-JP"/>
        </w:rPr>
        <w:noBreakHyphen/>
        <w:t>15 et a inclus dans sa Résolution 756 (CMR</w:t>
      </w:r>
      <w:r w:rsidRPr="00DC75BE">
        <w:rPr>
          <w:lang w:eastAsia="ja-JP"/>
        </w:rPr>
        <w:noBreakHyphen/>
        <w:t xml:space="preserve">12) un </w:t>
      </w:r>
      <w:r w:rsidRPr="00DC75BE">
        <w:rPr>
          <w:i/>
          <w:iCs/>
          <w:lang w:eastAsia="ja-JP"/>
        </w:rPr>
        <w:t>décide d'inviter l'UIT</w:t>
      </w:r>
      <w:r w:rsidRPr="00DC75BE">
        <w:rPr>
          <w:i/>
          <w:iCs/>
          <w:lang w:eastAsia="ja-JP"/>
        </w:rPr>
        <w:noBreakHyphen/>
        <w:t>R</w:t>
      </w:r>
      <w:r w:rsidRPr="00DC75BE">
        <w:rPr>
          <w:lang w:eastAsia="ja-JP"/>
        </w:rPr>
        <w:t>:</w:t>
      </w:r>
    </w:p>
    <w:p w:rsidR="0014720C" w:rsidRPr="00DC75BE" w:rsidRDefault="0014720C" w:rsidP="00DA6837">
      <w:pPr>
        <w:pStyle w:val="enumlev1"/>
        <w:rPr>
          <w:lang w:eastAsia="de-DE"/>
        </w:rPr>
      </w:pPr>
      <w:r w:rsidRPr="00DC75BE">
        <w:rPr>
          <w:lang w:eastAsia="de-DE"/>
        </w:rPr>
        <w:t>1</w:t>
      </w:r>
      <w:r w:rsidR="006A757A" w:rsidRPr="00DC75BE">
        <w:rPr>
          <w:lang w:eastAsia="de-DE"/>
        </w:rPr>
        <w:t>)</w:t>
      </w:r>
      <w:r w:rsidRPr="00DC75BE">
        <w:rPr>
          <w:lang w:eastAsia="de-DE"/>
        </w:rPr>
        <w:tab/>
        <w:t>à procéder à des études pour examiner si l'actuel critère (</w:t>
      </w:r>
      <w:r w:rsidRPr="00DC75BE">
        <w:t>Δ</w:t>
      </w:r>
      <w:r w:rsidRPr="00DC75BE">
        <w:rPr>
          <w:i/>
          <w:iCs/>
        </w:rPr>
        <w:t>T</w:t>
      </w:r>
      <w:r w:rsidRPr="00DC75BE">
        <w:t>/</w:t>
      </w:r>
      <w:r w:rsidRPr="00DC75BE">
        <w:rPr>
          <w:i/>
          <w:iCs/>
        </w:rPr>
        <w:t>T</w:t>
      </w:r>
      <w:r w:rsidRPr="00DC75BE">
        <w:rPr>
          <w:lang w:eastAsia="de-DE"/>
        </w:rPr>
        <w:t xml:space="preserve"> &gt; 6%) utilisé dans l'application du numéro 9.41 est efficace et approprié et à envisager d'autres solutions possibles (y compris les solutions décrites dans l</w:t>
      </w:r>
      <w:r w:rsidR="001D4DA4" w:rsidRPr="00DC75BE">
        <w:rPr>
          <w:lang w:eastAsia="de-DE"/>
        </w:rPr>
        <w:t>es Annexes 1 et 2 de cette</w:t>
      </w:r>
      <w:r w:rsidRPr="00DC75BE">
        <w:rPr>
          <w:lang w:eastAsia="de-DE"/>
        </w:rPr>
        <w:t xml:space="preserve"> Résolution), selon qu'il conviendra, pour les bandes visées au point </w:t>
      </w:r>
      <w:r w:rsidRPr="00DC75BE">
        <w:rPr>
          <w:i/>
          <w:iCs/>
          <w:lang w:eastAsia="de-DE"/>
        </w:rPr>
        <w:t>e)</w:t>
      </w:r>
      <w:r w:rsidRPr="00DC75BE">
        <w:rPr>
          <w:lang w:eastAsia="de-DE"/>
        </w:rPr>
        <w:t xml:space="preserve"> du </w:t>
      </w:r>
      <w:r w:rsidRPr="00DC75BE">
        <w:rPr>
          <w:i/>
          <w:iCs/>
          <w:lang w:eastAsia="de-DE"/>
        </w:rPr>
        <w:t>reconnaissant</w:t>
      </w:r>
      <w:r w:rsidRPr="00DC75BE">
        <w:rPr>
          <w:lang w:eastAsia="de-DE"/>
        </w:rPr>
        <w:t>; et</w:t>
      </w:r>
    </w:p>
    <w:p w:rsidR="0014720C" w:rsidRPr="00DC75BE" w:rsidRDefault="0014720C" w:rsidP="00DA6837">
      <w:pPr>
        <w:pStyle w:val="enumlev1"/>
        <w:rPr>
          <w:lang w:eastAsia="de-DE"/>
        </w:rPr>
      </w:pPr>
      <w:r w:rsidRPr="00DC75BE">
        <w:rPr>
          <w:lang w:eastAsia="de-DE"/>
        </w:rPr>
        <w:lastRenderedPageBreak/>
        <w:t>2</w:t>
      </w:r>
      <w:r w:rsidR="006A757A" w:rsidRPr="00DC75BE">
        <w:rPr>
          <w:lang w:eastAsia="de-DE"/>
        </w:rPr>
        <w:t>)</w:t>
      </w:r>
      <w:r w:rsidRPr="00DC75BE">
        <w:rPr>
          <w:lang w:eastAsia="de-DE"/>
        </w:rPr>
        <w:tab/>
        <w:t xml:space="preserve">à étudier si de nouvelles réductions des valeurs de l'arc de coordination dans l'Appendice 5 (Rév.CMR-12) du RR sont appropriées pour les bandes des 6/4 GHz et des 14/10/11/12 GHz et s'il est judicieux de réduire la valeur de l'arc de coordination dans la </w:t>
      </w:r>
      <w:r w:rsidR="006A757A" w:rsidRPr="00DC75BE">
        <w:rPr>
          <w:lang w:eastAsia="de-DE"/>
        </w:rPr>
        <w:t>bande des 30/20 GHz.</w:t>
      </w:r>
    </w:p>
    <w:p w:rsidR="0014720C" w:rsidRPr="00DC75BE" w:rsidRDefault="00743AED" w:rsidP="00CB2BB5">
      <w:r w:rsidRPr="00DC75BE">
        <w:t xml:space="preserve">Outre les études demandées expressément dans les points 1 et 2 du </w:t>
      </w:r>
      <w:r w:rsidRPr="00DC75BE">
        <w:rPr>
          <w:i/>
          <w:iCs/>
        </w:rPr>
        <w:t>décide d'inviter l'UIT</w:t>
      </w:r>
      <w:r w:rsidRPr="00DC75BE">
        <w:rPr>
          <w:i/>
          <w:iCs/>
        </w:rPr>
        <w:noBreakHyphen/>
        <w:t>R</w:t>
      </w:r>
      <w:r w:rsidRPr="00DC75BE">
        <w:t xml:space="preserve"> de la Résolution 756 (CMR</w:t>
      </w:r>
      <w:r w:rsidRPr="00DC75BE">
        <w:noBreakHyphen/>
        <w:t>12), il convient également d'étudier la nécessité de conserver les critères utilisés lors de l'application des numéros 9.41 et 9.7 du RR pour les bandes de fréquences et les services visés dans l'élément 9) de la colonne bandes de fréquences du Tableau 5-1 de l'Appendice 5 du RR pour le numéro 9.7 du RR. Il convient également d'étudier les incidences de cette approche sur l'application de l'Article 11 du RR (par exemple sur l'application du numéro 11.32A du RR).</w:t>
      </w:r>
    </w:p>
    <w:p w:rsidR="006A757A" w:rsidRPr="00CB2BB5" w:rsidRDefault="006A757A" w:rsidP="00F363FB">
      <w:pPr>
        <w:rPr>
          <w:lang w:val="fr-CH"/>
        </w:rPr>
      </w:pPr>
      <w:r w:rsidRPr="00DC75BE">
        <w:rPr>
          <w:lang w:val="fr-CH"/>
        </w:rPr>
        <w:t>Il est entendu que la Résolution dont il est question ci-dessus</w:t>
      </w:r>
      <w:r w:rsidR="001D4DA4" w:rsidRPr="00DC75BE">
        <w:rPr>
          <w:lang w:val="fr-CH"/>
        </w:rPr>
        <w:t xml:space="preserve"> a été élaborée en raison de</w:t>
      </w:r>
      <w:r w:rsidRPr="00DC75BE">
        <w:rPr>
          <w:lang w:val="fr-CH"/>
        </w:rPr>
        <w:t xml:space="preserve"> la difficulté d’accès aux ressources spectrales et orbitales </w:t>
      </w:r>
      <w:r w:rsidR="001D4DA4" w:rsidRPr="00DC75BE">
        <w:rPr>
          <w:lang w:val="fr-CH"/>
        </w:rPr>
        <w:t>liée au</w:t>
      </w:r>
      <w:r w:rsidR="00A72F4C" w:rsidRPr="00DC75BE">
        <w:rPr>
          <w:lang w:val="fr-CH"/>
        </w:rPr>
        <w:t xml:space="preserve"> grand nombre de fiches de notif</w:t>
      </w:r>
      <w:r w:rsidR="001D4DA4" w:rsidRPr="00DC75BE">
        <w:rPr>
          <w:lang w:val="fr-CH"/>
        </w:rPr>
        <w:t>ication traitées par l’UIT et aux</w:t>
      </w:r>
      <w:r w:rsidR="00A72F4C" w:rsidRPr="00DC75BE">
        <w:rPr>
          <w:lang w:val="fr-CH"/>
        </w:rPr>
        <w:t xml:space="preserve"> cas de coordination inutile. Au cours de la présente période d’études, le GT 4A de la Commission d’études 4 de l’UIT-R doit encore déterminer en détail à quel point des mesures telles que </w:t>
      </w:r>
      <w:r w:rsidR="001D4DA4" w:rsidRPr="00DC75BE">
        <w:rPr>
          <w:lang w:val="fr-CH"/>
        </w:rPr>
        <w:t>l'application</w:t>
      </w:r>
      <w:r w:rsidR="00A72F4C" w:rsidRPr="00DC75BE">
        <w:rPr>
          <w:color w:val="000000"/>
        </w:rPr>
        <w:t xml:space="preserve"> de</w:t>
      </w:r>
      <w:r w:rsidR="00A72F4C" w:rsidRPr="00DC75BE">
        <w:rPr>
          <w:lang w:val="fr-CH"/>
        </w:rPr>
        <w:t xml:space="preserve"> </w:t>
      </w:r>
      <w:r w:rsidR="00A72F4C" w:rsidRPr="00DC75BE">
        <w:rPr>
          <w:color w:val="000000"/>
        </w:rPr>
        <w:t xml:space="preserve">gabarits de puissance surfacique et/ou </w:t>
      </w:r>
      <w:r w:rsidR="00F363FB">
        <w:rPr>
          <w:color w:val="000000"/>
        </w:rPr>
        <w:t>de critères</w:t>
      </w:r>
      <w:r w:rsidR="00A72F4C" w:rsidRPr="00DC75BE">
        <w:rPr>
          <w:color w:val="000000"/>
        </w:rPr>
        <w:t xml:space="preserve"> </w:t>
      </w:r>
      <w:r w:rsidR="00A72F4C" w:rsidRPr="00DA6837">
        <w:rPr>
          <w:i/>
          <w:iCs/>
          <w:color w:val="000000"/>
        </w:rPr>
        <w:t>C/I</w:t>
      </w:r>
      <w:r w:rsidR="00A72F4C" w:rsidRPr="00DC75BE">
        <w:rPr>
          <w:color w:val="000000"/>
        </w:rPr>
        <w:t xml:space="preserve">, l’augmentation du critère </w:t>
      </w:r>
      <w:r w:rsidR="00A72F4C" w:rsidRPr="00DA6837">
        <w:rPr>
          <w:i/>
          <w:iCs/>
          <w:lang w:val="en-US"/>
        </w:rPr>
        <w:t>Δ</w:t>
      </w:r>
      <w:r w:rsidR="00A72F4C" w:rsidRPr="00DA6837">
        <w:rPr>
          <w:i/>
          <w:iCs/>
          <w:lang w:val="fr-CH"/>
        </w:rPr>
        <w:t>T/T</w:t>
      </w:r>
      <w:r w:rsidR="00A72F4C" w:rsidRPr="00DC75BE">
        <w:rPr>
          <w:lang w:val="fr-CH"/>
        </w:rPr>
        <w:t xml:space="preserve"> actuel ou la réduction des arcs de coordination, ou une combinaison de ces mesures, représenteront une solution au problème tout en </w:t>
      </w:r>
      <w:r w:rsidR="004E4189" w:rsidRPr="00DC75BE">
        <w:rPr>
          <w:lang w:val="fr-CH"/>
        </w:rPr>
        <w:t>continuant à assurer</w:t>
      </w:r>
      <w:r w:rsidR="00C447F9" w:rsidRPr="00DC75BE">
        <w:rPr>
          <w:lang w:val="fr-CH"/>
        </w:rPr>
        <w:t xml:space="preserve"> la protection des réseaux à satellite existants et en projet, car toute modification des critères pourrait entraîner une augmentation des brouillages préjudiciables.</w:t>
      </w:r>
    </w:p>
    <w:p w:rsidR="00743AED" w:rsidRDefault="00C447F9" w:rsidP="00DC75BE">
      <w:pPr>
        <w:pStyle w:val="Headingb"/>
        <w:rPr>
          <w:lang w:val="fr-CH"/>
        </w:rPr>
      </w:pPr>
      <w:r w:rsidRPr="00CB2BB5">
        <w:rPr>
          <w:color w:val="000000"/>
        </w:rPr>
        <w:t>Considérations touchant à la réglementation et aux procédures</w:t>
      </w:r>
      <w:r w:rsidRPr="00CB2BB5">
        <w:rPr>
          <w:lang w:val="fr-CH"/>
        </w:rPr>
        <w:t xml:space="preserve"> en ce qui concerne le point 1 du </w:t>
      </w:r>
      <w:r w:rsidRPr="00CB2BB5">
        <w:rPr>
          <w:i/>
          <w:iCs/>
          <w:lang w:val="fr-CH"/>
        </w:rPr>
        <w:t>décide</w:t>
      </w:r>
      <w:r w:rsidRPr="00CB2BB5">
        <w:rPr>
          <w:lang w:val="fr-CH"/>
        </w:rPr>
        <w:t xml:space="preserve"> de la Résolution 756 (CMR-12) </w:t>
      </w:r>
    </w:p>
    <w:p w:rsidR="00DC75BE" w:rsidRPr="00DC75BE" w:rsidRDefault="00DC75BE" w:rsidP="00DC75BE">
      <w:pPr>
        <w:rPr>
          <w:lang w:val="fr-CH"/>
        </w:rPr>
      </w:pPr>
    </w:p>
    <w:p w:rsidR="00072E94" w:rsidRPr="00CB2BB5" w:rsidRDefault="006875A9" w:rsidP="00CB2BB5">
      <w:pPr>
        <w:pStyle w:val="Proposal"/>
        <w:rPr>
          <w:lang w:val="fr-CH"/>
        </w:rPr>
      </w:pPr>
      <w:r w:rsidRPr="00CB2BB5">
        <w:rPr>
          <w:u w:val="single"/>
          <w:lang w:val="fr-CH"/>
        </w:rPr>
        <w:t>NOC</w:t>
      </w:r>
      <w:r w:rsidRPr="00CB2BB5">
        <w:rPr>
          <w:lang w:val="fr-CH"/>
        </w:rPr>
        <w:tab/>
        <w:t>IRN/61A23A1A2/1</w:t>
      </w:r>
    </w:p>
    <w:p w:rsidR="004A6A8C" w:rsidRPr="00CB2BB5" w:rsidRDefault="006875A9" w:rsidP="00CB2BB5">
      <w:pPr>
        <w:pStyle w:val="ArtNo"/>
        <w:rPr>
          <w:lang w:val="fr-CH"/>
        </w:rPr>
      </w:pPr>
      <w:r w:rsidRPr="00CB2BB5">
        <w:rPr>
          <w:lang w:val="fr-CH"/>
        </w:rPr>
        <w:t xml:space="preserve">ARTICLE </w:t>
      </w:r>
      <w:r w:rsidRPr="00CB2BB5">
        <w:rPr>
          <w:rStyle w:val="href"/>
          <w:color w:val="000000"/>
          <w:lang w:val="fr-CH"/>
        </w:rPr>
        <w:t>9</w:t>
      </w:r>
    </w:p>
    <w:p w:rsidR="004A6A8C" w:rsidRPr="00CB2BB5" w:rsidRDefault="006875A9" w:rsidP="00CB2BB5">
      <w:pPr>
        <w:pStyle w:val="Arttitle"/>
      </w:pPr>
      <w:r w:rsidRPr="00CB2BB5">
        <w:t>Procédure à appliquer pour effectuer la coordination avec d'autres administrations ou obtenir leur accord</w:t>
      </w:r>
      <w:r w:rsidRPr="00CB2BB5">
        <w:rPr>
          <w:rStyle w:val="FootnoteReference"/>
        </w:rPr>
        <w:t>1, 2, 3, 4, 5, 6, 7, 8, 8</w:t>
      </w:r>
      <w:r w:rsidRPr="00CB2BB5">
        <w:rPr>
          <w:rStyle w:val="FootnoteReference"/>
          <w:i/>
          <w:iCs/>
        </w:rPr>
        <w:t>bis</w:t>
      </w:r>
      <w:r w:rsidRPr="00CB2BB5">
        <w:rPr>
          <w:rStyle w:val="FootnoteReference"/>
        </w:rPr>
        <w:t> </w:t>
      </w:r>
      <w:r w:rsidRPr="00CB2BB5">
        <w:rPr>
          <w:b w:val="0"/>
          <w:bCs/>
          <w:sz w:val="16"/>
          <w:szCs w:val="16"/>
        </w:rPr>
        <w:t>   </w:t>
      </w:r>
      <w:r w:rsidR="00DC75BE">
        <w:rPr>
          <w:b w:val="0"/>
          <w:bCs/>
          <w:sz w:val="16"/>
          <w:szCs w:val="16"/>
        </w:rPr>
        <w:t> </w:t>
      </w:r>
      <w:r w:rsidRPr="00CB2BB5">
        <w:rPr>
          <w:b w:val="0"/>
          <w:bCs/>
          <w:sz w:val="16"/>
          <w:szCs w:val="16"/>
        </w:rPr>
        <w:t>(CMR-12)</w:t>
      </w:r>
    </w:p>
    <w:p w:rsidR="00072E94" w:rsidRPr="00CB2BB5" w:rsidRDefault="006875A9" w:rsidP="00CB2BB5">
      <w:pPr>
        <w:pStyle w:val="Reasons"/>
      </w:pPr>
      <w:r w:rsidRPr="00CB2BB5">
        <w:rPr>
          <w:b/>
        </w:rPr>
        <w:t>Motifs:</w:t>
      </w:r>
      <w:r w:rsidRPr="00CB2BB5">
        <w:tab/>
      </w:r>
      <w:r w:rsidR="00DF4FD3" w:rsidRPr="00CB2BB5">
        <w:rPr>
          <w:lang w:val="fr-CH"/>
        </w:rPr>
        <w:t>Pas de modification des dispositions de l'Article 9 du RR pour ce qui est de l'Option 1D (NOC).</w:t>
      </w:r>
    </w:p>
    <w:p w:rsidR="00072E94" w:rsidRPr="00CB2BB5" w:rsidRDefault="006875A9" w:rsidP="00CB2BB5">
      <w:pPr>
        <w:pStyle w:val="Proposal"/>
      </w:pPr>
      <w:r w:rsidRPr="00CB2BB5">
        <w:rPr>
          <w:u w:val="single"/>
        </w:rPr>
        <w:t>NOC</w:t>
      </w:r>
      <w:r w:rsidRPr="00CB2BB5">
        <w:tab/>
        <w:t>IRN/61A23A1A2/2</w:t>
      </w:r>
    </w:p>
    <w:p w:rsidR="004A6A8C" w:rsidRPr="00CB2BB5" w:rsidRDefault="006875A9" w:rsidP="00CB2BB5">
      <w:pPr>
        <w:pStyle w:val="ArtNo"/>
      </w:pPr>
      <w:r w:rsidRPr="00CB2BB5">
        <w:t xml:space="preserve">ARTICLE </w:t>
      </w:r>
      <w:r w:rsidRPr="00CB2BB5">
        <w:rPr>
          <w:rStyle w:val="href"/>
        </w:rPr>
        <w:t>11</w:t>
      </w:r>
    </w:p>
    <w:p w:rsidR="004A6A8C" w:rsidRPr="00CB2BB5" w:rsidRDefault="006875A9" w:rsidP="00CB2BB5">
      <w:pPr>
        <w:pStyle w:val="Arttitle"/>
      </w:pPr>
      <w:r w:rsidRPr="00CB2BB5">
        <w:t>Notification et inscription des assignations</w:t>
      </w:r>
      <w:r w:rsidRPr="00CB2BB5">
        <w:br/>
        <w:t>de fréquence</w:t>
      </w:r>
      <w:r w:rsidRPr="00CB2BB5">
        <w:rPr>
          <w:rStyle w:val="FootnoteReference"/>
        </w:rPr>
        <w:t>1, 2, 3, 4, 5, 6, 7, 7bis </w:t>
      </w:r>
      <w:r w:rsidRPr="00CB2BB5">
        <w:rPr>
          <w:b w:val="0"/>
          <w:bCs/>
          <w:sz w:val="16"/>
          <w:szCs w:val="16"/>
        </w:rPr>
        <w:t> </w:t>
      </w:r>
      <w:r w:rsidR="00DC75BE">
        <w:rPr>
          <w:b w:val="0"/>
          <w:bCs/>
          <w:sz w:val="16"/>
          <w:szCs w:val="16"/>
        </w:rPr>
        <w:t>  </w:t>
      </w:r>
      <w:r w:rsidRPr="00CB2BB5">
        <w:rPr>
          <w:b w:val="0"/>
          <w:bCs/>
          <w:sz w:val="16"/>
          <w:szCs w:val="16"/>
        </w:rPr>
        <w:t> (CMR-12)</w:t>
      </w:r>
    </w:p>
    <w:p w:rsidR="00072E94" w:rsidRPr="00CB2BB5" w:rsidRDefault="006875A9" w:rsidP="00CB2BB5">
      <w:pPr>
        <w:pStyle w:val="Reasons"/>
        <w:rPr>
          <w:lang w:val="fr-CH"/>
        </w:rPr>
      </w:pPr>
      <w:r w:rsidRPr="00CB2BB5">
        <w:rPr>
          <w:b/>
        </w:rPr>
        <w:t>Motifs:</w:t>
      </w:r>
      <w:r w:rsidRPr="00CB2BB5">
        <w:tab/>
      </w:r>
      <w:r w:rsidR="00DF4FD3" w:rsidRPr="00CB2BB5">
        <w:rPr>
          <w:lang w:val="fr-CH"/>
        </w:rPr>
        <w:t>Pas de modification des dispositions de l'Article 11 du RR pour ce qui est de l'Option 1D (NOC).</w:t>
      </w:r>
    </w:p>
    <w:p w:rsidR="00C447F9" w:rsidRPr="00CB2BB5" w:rsidRDefault="00C447F9" w:rsidP="00CB2BB5">
      <w:pPr>
        <w:pStyle w:val="Reasons"/>
        <w:rPr>
          <w:snapToGrid w:val="0"/>
          <w:lang w:val="fr-CH" w:eastAsia="ja-JP"/>
        </w:rPr>
      </w:pPr>
      <w:r w:rsidRPr="00CB2BB5">
        <w:rPr>
          <w:snapToGrid w:val="0"/>
          <w:lang w:val="fr-CH" w:eastAsia="ja-JP"/>
        </w:rPr>
        <w:t xml:space="preserve">L’Iran </w:t>
      </w:r>
      <w:r w:rsidR="00F22CA4" w:rsidRPr="00CB2BB5">
        <w:rPr>
          <w:snapToGrid w:val="0"/>
          <w:lang w:val="fr-CH" w:eastAsia="ja-JP"/>
        </w:rPr>
        <w:t>estime</w:t>
      </w:r>
      <w:r w:rsidRPr="00CB2BB5">
        <w:rPr>
          <w:snapToGrid w:val="0"/>
          <w:lang w:val="fr-CH" w:eastAsia="ja-JP"/>
        </w:rPr>
        <w:t xml:space="preserve"> toujours que l’utilisation d’une approche fragmentaire </w:t>
      </w:r>
      <w:r w:rsidR="004E4189" w:rsidRPr="00CB2BB5">
        <w:rPr>
          <w:snapToGrid w:val="0"/>
          <w:lang w:val="fr-CH" w:eastAsia="ja-JP"/>
        </w:rPr>
        <w:t xml:space="preserve">n’est pas appropriée </w:t>
      </w:r>
      <w:r w:rsidRPr="00CB2BB5">
        <w:rPr>
          <w:snapToGrid w:val="0"/>
          <w:lang w:val="fr-CH" w:eastAsia="ja-JP"/>
        </w:rPr>
        <w:t>pour la modification/l’amélioration des dispositions règlementaires régissant l’utilisation des ressources orbitales/spectrales dans les services spatiaux, comme la réduction de l’arc de coordination</w:t>
      </w:r>
      <w:r w:rsidR="001D4DA4">
        <w:rPr>
          <w:snapToGrid w:val="0"/>
          <w:lang w:val="fr-CH" w:eastAsia="ja-JP"/>
        </w:rPr>
        <w:t>, la modification du numéro 9.41</w:t>
      </w:r>
      <w:r w:rsidRPr="00CB2BB5">
        <w:rPr>
          <w:snapToGrid w:val="0"/>
          <w:lang w:val="fr-CH" w:eastAsia="ja-JP"/>
        </w:rPr>
        <w:t xml:space="preserve"> du </w:t>
      </w:r>
      <w:r w:rsidR="001D4DA4">
        <w:rPr>
          <w:snapToGrid w:val="0"/>
          <w:lang w:val="fr-CH" w:eastAsia="ja-JP"/>
        </w:rPr>
        <w:t>RR, l’augmentation d</w:t>
      </w:r>
      <w:r w:rsidR="00F22CA4" w:rsidRPr="00CB2BB5">
        <w:rPr>
          <w:snapToGrid w:val="0"/>
          <w:lang w:val="fr-CH" w:eastAsia="ja-JP"/>
        </w:rPr>
        <w:t>u</w:t>
      </w:r>
      <w:r w:rsidRPr="00CB2BB5">
        <w:rPr>
          <w:snapToGrid w:val="0"/>
          <w:lang w:val="fr-CH" w:eastAsia="ja-JP"/>
        </w:rPr>
        <w:t xml:space="preserve"> seuil</w:t>
      </w:r>
      <w:r w:rsidR="00F22CA4" w:rsidRPr="00CB2BB5">
        <w:rPr>
          <w:snapToGrid w:val="0"/>
          <w:lang w:val="fr-CH" w:eastAsia="ja-JP"/>
        </w:rPr>
        <w:t xml:space="preserve"> de</w:t>
      </w:r>
      <w:r w:rsidRPr="00CB2BB5">
        <w:rPr>
          <w:snapToGrid w:val="0"/>
          <w:lang w:val="fr-CH" w:eastAsia="ja-JP"/>
        </w:rPr>
        <w:t xml:space="preserve"> </w:t>
      </w:r>
      <w:r w:rsidRPr="00DA6837">
        <w:rPr>
          <w:i/>
          <w:iCs/>
          <w:snapToGrid w:val="0"/>
          <w:lang w:val="en-AU" w:eastAsia="ja-JP"/>
        </w:rPr>
        <w:t>Δ</w:t>
      </w:r>
      <w:r w:rsidRPr="00DA6837">
        <w:rPr>
          <w:i/>
          <w:iCs/>
          <w:snapToGrid w:val="0"/>
          <w:lang w:val="fr-CH" w:eastAsia="ja-JP"/>
        </w:rPr>
        <w:t>T/T</w:t>
      </w:r>
      <w:r w:rsidRPr="00CB2BB5">
        <w:rPr>
          <w:snapToGrid w:val="0"/>
          <w:lang w:val="fr-CH" w:eastAsia="ja-JP"/>
        </w:rPr>
        <w:t xml:space="preserve"> ou leur remplacement par </w:t>
      </w:r>
      <w:r w:rsidRPr="00CB2BB5">
        <w:rPr>
          <w:snapToGrid w:val="0"/>
          <w:lang w:val="fr-CH" w:eastAsia="ja-JP"/>
        </w:rPr>
        <w:lastRenderedPageBreak/>
        <w:t>d’autres cr</w:t>
      </w:r>
      <w:r w:rsidR="001D4DA4">
        <w:rPr>
          <w:snapToGrid w:val="0"/>
          <w:lang w:val="fr-CH" w:eastAsia="ja-JP"/>
        </w:rPr>
        <w:t xml:space="preserve">itères (tels que rapport </w:t>
      </w:r>
      <w:r w:rsidR="001D4DA4" w:rsidRPr="00DA6837">
        <w:rPr>
          <w:i/>
          <w:iCs/>
          <w:snapToGrid w:val="0"/>
          <w:lang w:val="fr-CH" w:eastAsia="ja-JP"/>
        </w:rPr>
        <w:t>C/I</w:t>
      </w:r>
      <w:r w:rsidR="001D4DA4">
        <w:rPr>
          <w:snapToGrid w:val="0"/>
          <w:lang w:val="fr-CH" w:eastAsia="ja-JP"/>
        </w:rPr>
        <w:t xml:space="preserve"> ou</w:t>
      </w:r>
      <w:r w:rsidRPr="00CB2BB5">
        <w:rPr>
          <w:snapToGrid w:val="0"/>
          <w:lang w:val="fr-CH" w:eastAsia="ja-JP"/>
        </w:rPr>
        <w:t xml:space="preserve"> gabarit de puissance surfacique)</w:t>
      </w:r>
      <w:r w:rsidR="004E4189" w:rsidRPr="00CB2BB5">
        <w:rPr>
          <w:snapToGrid w:val="0"/>
          <w:lang w:val="fr-CH" w:eastAsia="ja-JP"/>
        </w:rPr>
        <w:t xml:space="preserve"> de manière indépendante</w:t>
      </w:r>
      <w:r w:rsidRPr="00CB2BB5">
        <w:rPr>
          <w:snapToGrid w:val="0"/>
          <w:lang w:val="fr-CH" w:eastAsia="ja-JP"/>
        </w:rPr>
        <w:t xml:space="preserve">. </w:t>
      </w:r>
      <w:r w:rsidR="00F22CA4" w:rsidRPr="00CB2BB5">
        <w:rPr>
          <w:snapToGrid w:val="0"/>
          <w:lang w:val="fr-CH" w:eastAsia="ja-JP"/>
        </w:rPr>
        <w:t xml:space="preserve">Etant donné que toutes ces questions sont liées les unes aux autres, les répercussions de cette interconnexion devraient faire l’objet d’études supplémentaires et être envisagées dans le cadre d’une approche globale au moment de prendre des décisions. </w:t>
      </w:r>
    </w:p>
    <w:p w:rsidR="00DF4FD3" w:rsidRPr="00CB2BB5" w:rsidRDefault="00DF4FD3" w:rsidP="00CB2BB5">
      <w:pPr>
        <w:pStyle w:val="Reasons"/>
        <w:rPr>
          <w:lang w:val="fr-CH"/>
        </w:rPr>
      </w:pPr>
    </w:p>
    <w:p w:rsidR="00DF4FD3" w:rsidRPr="00F22CA4" w:rsidRDefault="00DF4FD3" w:rsidP="00CB2BB5">
      <w:pPr>
        <w:jc w:val="center"/>
      </w:pPr>
      <w:r w:rsidRPr="00CB2BB5">
        <w:t>______________</w:t>
      </w:r>
    </w:p>
    <w:sectPr w:rsidR="00DF4FD3" w:rsidRPr="00F22CA4">
      <w:headerReference w:type="default" r:id="rId13"/>
      <w:footerReference w:type="even" r:id="rId14"/>
      <w:footerReference w:type="default" r:id="rId15"/>
      <w:footerReference w:type="first" r:id="rId16"/>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08CF" w:rsidRDefault="007408CF">
      <w:r>
        <w:separator/>
      </w:r>
    </w:p>
  </w:endnote>
  <w:endnote w:type="continuationSeparator" w:id="0">
    <w:p w:rsidR="007408CF" w:rsidRDefault="0074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446FEC">
      <w:rPr>
        <w:noProof/>
        <w:lang w:val="en-US"/>
      </w:rPr>
      <w:t>P:\FRA\ITU-R\CONF-R\CMR15\000\061ADD23ADD01ADD02F.docx</w:t>
    </w:r>
    <w:r>
      <w:fldChar w:fldCharType="end"/>
    </w:r>
    <w:r>
      <w:rPr>
        <w:lang w:val="en-US"/>
      </w:rPr>
      <w:tab/>
    </w:r>
    <w:r>
      <w:fldChar w:fldCharType="begin"/>
    </w:r>
    <w:r>
      <w:instrText xml:space="preserve"> SAVEDATE \@ DD.MM.YY </w:instrText>
    </w:r>
    <w:r>
      <w:fldChar w:fldCharType="separate"/>
    </w:r>
    <w:r w:rsidR="00446FEC">
      <w:rPr>
        <w:noProof/>
      </w:rPr>
      <w:t>23.10.15</w:t>
    </w:r>
    <w:r>
      <w:fldChar w:fldCharType="end"/>
    </w:r>
    <w:r>
      <w:rPr>
        <w:lang w:val="en-US"/>
      </w:rPr>
      <w:tab/>
    </w:r>
    <w:r>
      <w:fldChar w:fldCharType="begin"/>
    </w:r>
    <w:r>
      <w:instrText xml:space="preserve"> PRINTDATE \@ DD.MM.YY </w:instrText>
    </w:r>
    <w:r>
      <w:fldChar w:fldCharType="separate"/>
    </w:r>
    <w:r w:rsidR="00446FEC">
      <w:rPr>
        <w:noProof/>
      </w:rPr>
      <w:t>23.10.15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DC75BE" w:rsidRDefault="00DC75BE" w:rsidP="00DC75BE">
    <w:pPr>
      <w:pStyle w:val="Footer"/>
    </w:pPr>
    <w:fldSimple w:instr=" FILENAME \p  \* MERGEFORMAT ">
      <w:r w:rsidR="00446FEC">
        <w:t>P:\FRA\ITU-R\CONF-R\CMR15\000\061ADD23ADD01ADD02F.docx</w:t>
      </w:r>
    </w:fldSimple>
    <w:r>
      <w:t xml:space="preserve"> (388299)</w:t>
    </w:r>
    <w:r>
      <w:tab/>
    </w:r>
    <w:r>
      <w:fldChar w:fldCharType="begin"/>
    </w:r>
    <w:r>
      <w:instrText xml:space="preserve"> SAVEDATE \@ DD.MM.YY </w:instrText>
    </w:r>
    <w:r>
      <w:fldChar w:fldCharType="separate"/>
    </w:r>
    <w:r w:rsidR="00446FEC">
      <w:t>23.10.15</w:t>
    </w:r>
    <w:r>
      <w:fldChar w:fldCharType="end"/>
    </w:r>
    <w:r>
      <w:tab/>
    </w:r>
    <w:r>
      <w:fldChar w:fldCharType="begin"/>
    </w:r>
    <w:r>
      <w:instrText xml:space="preserve"> PRINTDATE \@ DD.MM.YY </w:instrText>
    </w:r>
    <w:r>
      <w:fldChar w:fldCharType="separate"/>
    </w:r>
    <w:r w:rsidR="00446FEC">
      <w:t>23.10.15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DC75BE" w:rsidRDefault="00446FEC" w:rsidP="00DC75BE">
    <w:pPr>
      <w:pStyle w:val="Footer"/>
    </w:pPr>
    <w:r>
      <w:fldChar w:fldCharType="begin"/>
    </w:r>
    <w:r>
      <w:instrText xml:space="preserve"> FILENAME \p  \* MERGEFORMAT </w:instrText>
    </w:r>
    <w:r>
      <w:fldChar w:fldCharType="separate"/>
    </w:r>
    <w:r>
      <w:t>P:\FRA\ITU-R\CONF-R\CMR15\000\061ADD23ADD01ADD02F.docx</w:t>
    </w:r>
    <w:r>
      <w:fldChar w:fldCharType="end"/>
    </w:r>
    <w:r w:rsidR="00DC75BE">
      <w:t xml:space="preserve"> (388299)</w:t>
    </w:r>
    <w:r w:rsidR="00DC75BE">
      <w:tab/>
    </w:r>
    <w:r w:rsidR="00DC75BE">
      <w:fldChar w:fldCharType="begin"/>
    </w:r>
    <w:r w:rsidR="00DC75BE">
      <w:instrText xml:space="preserve"> SAVEDATE \@ DD.MM.YY </w:instrText>
    </w:r>
    <w:r w:rsidR="00DC75BE">
      <w:fldChar w:fldCharType="separate"/>
    </w:r>
    <w:r>
      <w:t>23.10.15</w:t>
    </w:r>
    <w:r w:rsidR="00DC75BE">
      <w:fldChar w:fldCharType="end"/>
    </w:r>
    <w:r w:rsidR="00DC75BE">
      <w:tab/>
    </w:r>
    <w:r w:rsidR="00DC75BE">
      <w:fldChar w:fldCharType="begin"/>
    </w:r>
    <w:r w:rsidR="00DC75BE">
      <w:instrText xml:space="preserve"> PRINTDATE \@ DD.MM.YY </w:instrText>
    </w:r>
    <w:r w:rsidR="00DC75BE">
      <w:fldChar w:fldCharType="separate"/>
    </w:r>
    <w:r>
      <w:t>23.10.15</w:t>
    </w:r>
    <w:r w:rsidR="00DC75B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08CF" w:rsidRDefault="007408CF">
      <w:r>
        <w:rPr>
          <w:b/>
        </w:rPr>
        <w:t>_______________</w:t>
      </w:r>
    </w:p>
  </w:footnote>
  <w:footnote w:type="continuationSeparator" w:id="0">
    <w:p w:rsidR="007408CF" w:rsidRDefault="007408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446FEC">
      <w:rPr>
        <w:noProof/>
      </w:rPr>
      <w:t>3</w:t>
    </w:r>
    <w:r>
      <w:fldChar w:fldCharType="end"/>
    </w:r>
  </w:p>
  <w:p w:rsidR="004F1F8E" w:rsidRDefault="004F1F8E" w:rsidP="002C28A4">
    <w:pPr>
      <w:pStyle w:val="Header"/>
    </w:pPr>
    <w:r>
      <w:t>CMR1</w:t>
    </w:r>
    <w:r w:rsidR="002C28A4">
      <w:t>5</w:t>
    </w:r>
    <w:r>
      <w:t>/</w:t>
    </w:r>
    <w:r w:rsidR="006A4B45">
      <w:t>61(Add.23)(Add.1)(Add.2)-</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72E94"/>
    <w:rsid w:val="00080E2C"/>
    <w:rsid w:val="000A4755"/>
    <w:rsid w:val="000B2E0C"/>
    <w:rsid w:val="000B3D0C"/>
    <w:rsid w:val="001167B9"/>
    <w:rsid w:val="001267A0"/>
    <w:rsid w:val="00131A56"/>
    <w:rsid w:val="0014720C"/>
    <w:rsid w:val="0015203F"/>
    <w:rsid w:val="00160C64"/>
    <w:rsid w:val="0018169B"/>
    <w:rsid w:val="0019352B"/>
    <w:rsid w:val="001960D0"/>
    <w:rsid w:val="001D4DA4"/>
    <w:rsid w:val="001F17E8"/>
    <w:rsid w:val="00204306"/>
    <w:rsid w:val="00232FD2"/>
    <w:rsid w:val="0026554E"/>
    <w:rsid w:val="002A4622"/>
    <w:rsid w:val="002A6F8F"/>
    <w:rsid w:val="002B124D"/>
    <w:rsid w:val="002B17E5"/>
    <w:rsid w:val="002C0EBF"/>
    <w:rsid w:val="002C28A4"/>
    <w:rsid w:val="00315AFE"/>
    <w:rsid w:val="003606A6"/>
    <w:rsid w:val="0036650C"/>
    <w:rsid w:val="00393ACD"/>
    <w:rsid w:val="003A583E"/>
    <w:rsid w:val="003E112B"/>
    <w:rsid w:val="003E1D1C"/>
    <w:rsid w:val="003E7B05"/>
    <w:rsid w:val="00446FEC"/>
    <w:rsid w:val="00466211"/>
    <w:rsid w:val="004834A9"/>
    <w:rsid w:val="004A034F"/>
    <w:rsid w:val="004D01FC"/>
    <w:rsid w:val="004E28C3"/>
    <w:rsid w:val="004E4189"/>
    <w:rsid w:val="004F1F8E"/>
    <w:rsid w:val="00512A32"/>
    <w:rsid w:val="00586CF2"/>
    <w:rsid w:val="005C3768"/>
    <w:rsid w:val="005C6C3F"/>
    <w:rsid w:val="00613635"/>
    <w:rsid w:val="0062093D"/>
    <w:rsid w:val="00637ECF"/>
    <w:rsid w:val="00647B59"/>
    <w:rsid w:val="006875A9"/>
    <w:rsid w:val="00690C7B"/>
    <w:rsid w:val="006A4B45"/>
    <w:rsid w:val="006A757A"/>
    <w:rsid w:val="006D4724"/>
    <w:rsid w:val="006F45F9"/>
    <w:rsid w:val="00701BAE"/>
    <w:rsid w:val="00721F04"/>
    <w:rsid w:val="00730E95"/>
    <w:rsid w:val="007408CF"/>
    <w:rsid w:val="007426B9"/>
    <w:rsid w:val="00743AED"/>
    <w:rsid w:val="00764342"/>
    <w:rsid w:val="00774362"/>
    <w:rsid w:val="00786598"/>
    <w:rsid w:val="007A04E8"/>
    <w:rsid w:val="00851625"/>
    <w:rsid w:val="00863C0A"/>
    <w:rsid w:val="008A3120"/>
    <w:rsid w:val="008D41BE"/>
    <w:rsid w:val="008D58D3"/>
    <w:rsid w:val="00923064"/>
    <w:rsid w:val="00930FFD"/>
    <w:rsid w:val="00936D25"/>
    <w:rsid w:val="00941EA5"/>
    <w:rsid w:val="00964700"/>
    <w:rsid w:val="00966C16"/>
    <w:rsid w:val="0098732F"/>
    <w:rsid w:val="009A045F"/>
    <w:rsid w:val="009C7E7C"/>
    <w:rsid w:val="00A00473"/>
    <w:rsid w:val="00A03C9B"/>
    <w:rsid w:val="00A2732E"/>
    <w:rsid w:val="00A37105"/>
    <w:rsid w:val="00A606C3"/>
    <w:rsid w:val="00A72F4C"/>
    <w:rsid w:val="00A83B09"/>
    <w:rsid w:val="00A84541"/>
    <w:rsid w:val="00AE1D7E"/>
    <w:rsid w:val="00AE36A0"/>
    <w:rsid w:val="00B00294"/>
    <w:rsid w:val="00B64FD0"/>
    <w:rsid w:val="00BA5BD0"/>
    <w:rsid w:val="00BB11CF"/>
    <w:rsid w:val="00BB1D82"/>
    <w:rsid w:val="00BF26E7"/>
    <w:rsid w:val="00C447F9"/>
    <w:rsid w:val="00C53FCA"/>
    <w:rsid w:val="00C66BE3"/>
    <w:rsid w:val="00C76BAF"/>
    <w:rsid w:val="00C814B9"/>
    <w:rsid w:val="00CB2BB5"/>
    <w:rsid w:val="00CD516F"/>
    <w:rsid w:val="00D119A7"/>
    <w:rsid w:val="00D25FBA"/>
    <w:rsid w:val="00D32B28"/>
    <w:rsid w:val="00D42954"/>
    <w:rsid w:val="00D66EAC"/>
    <w:rsid w:val="00D730DF"/>
    <w:rsid w:val="00D772F0"/>
    <w:rsid w:val="00D77BDC"/>
    <w:rsid w:val="00DA6837"/>
    <w:rsid w:val="00DC402B"/>
    <w:rsid w:val="00DC75BE"/>
    <w:rsid w:val="00DE0932"/>
    <w:rsid w:val="00DF4FD3"/>
    <w:rsid w:val="00E03A27"/>
    <w:rsid w:val="00E049F1"/>
    <w:rsid w:val="00E37A25"/>
    <w:rsid w:val="00E537FF"/>
    <w:rsid w:val="00E6539B"/>
    <w:rsid w:val="00E70A31"/>
    <w:rsid w:val="00EA3F38"/>
    <w:rsid w:val="00EA5AB6"/>
    <w:rsid w:val="00EC7615"/>
    <w:rsid w:val="00ED16AA"/>
    <w:rsid w:val="00EF662E"/>
    <w:rsid w:val="00F148F1"/>
    <w:rsid w:val="00F22CA4"/>
    <w:rsid w:val="00F363FB"/>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329AFE86-FCA2-4CEC-99E0-CE2B4354F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 w:type="paragraph" w:styleId="BalloonText">
    <w:name w:val="Balloon Text"/>
    <w:basedOn w:val="Normal"/>
    <w:link w:val="BalloonTextChar"/>
    <w:semiHidden/>
    <w:unhideWhenUsed/>
    <w:rsid w:val="006F45F9"/>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6F45F9"/>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R15-WRC15-C-0061!A23-A1-A2!MSW-F</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3.xml><?xml version="1.0" encoding="utf-8"?>
<ds:datastoreItem xmlns:ds="http://schemas.openxmlformats.org/officeDocument/2006/customXml" ds:itemID="{B6A46F10-5CA7-43CC-86EF-9D990C12C829}">
  <ds:schemaRefs>
    <ds:schemaRef ds:uri="http://schemas.microsoft.com/office/2006/documentManagement/types"/>
    <ds:schemaRef ds:uri="http://www.w3.org/XML/1998/namespace"/>
    <ds:schemaRef ds:uri="http://purl.org/dc/dcmitype/"/>
    <ds:schemaRef ds:uri="http://purl.org/dc/terms/"/>
    <ds:schemaRef ds:uri="32a1a8c5-2265-4ebc-b7a0-2071e2c5c9bb"/>
    <ds:schemaRef ds:uri="http://schemas.microsoft.com/office/2006/metadata/properties"/>
    <ds:schemaRef ds:uri="http://schemas.openxmlformats.org/package/2006/metadata/core-properties"/>
    <ds:schemaRef ds:uri="http://schemas.microsoft.com/office/infopath/2007/PartnerControls"/>
    <ds:schemaRef ds:uri="996b2e75-67fd-4955-a3b0-5ab9934cb50b"/>
    <ds:schemaRef ds:uri="http://purl.org/dc/elements/1.1/"/>
  </ds:schemaRefs>
</ds:datastoreItem>
</file>

<file path=customXml/itemProps4.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5.xml><?xml version="1.0" encoding="utf-8"?>
<ds:datastoreItem xmlns:ds="http://schemas.openxmlformats.org/officeDocument/2006/customXml" ds:itemID="{EA7548BF-BD2B-4A13-A68B-E78CD3276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832</Words>
  <Characters>4580</Characters>
  <Application>Microsoft Office Word</Application>
  <DocSecurity>0</DocSecurity>
  <Lines>90</Lines>
  <Paragraphs>31</Paragraphs>
  <ScaleCrop>false</ScaleCrop>
  <HeadingPairs>
    <vt:vector size="2" baseType="variant">
      <vt:variant>
        <vt:lpstr>Title</vt:lpstr>
      </vt:variant>
      <vt:variant>
        <vt:i4>1</vt:i4>
      </vt:variant>
    </vt:vector>
  </HeadingPairs>
  <TitlesOfParts>
    <vt:vector size="1" baseType="lpstr">
      <vt:lpstr>R15-WRC15-C-0061!A23-A1-A2!MSW-F</vt:lpstr>
    </vt:vector>
  </TitlesOfParts>
  <Manager>Secrétariat général - Pool</Manager>
  <Company>Union internationale des télécommunications (UIT)</Company>
  <LinksUpToDate>false</LinksUpToDate>
  <CharactersWithSpaces>5393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R15-WRC15-C-0061!A23-A1-A2!MSW-F</dc:title>
  <dc:subject>Conférence mondiale des radiocommunications - 2015</dc:subject>
  <dc:creator>Documents Proposals Manager (DPM)</dc:creator>
  <cp:keywords>DPM_v5.2015.10.15_prod</cp:keywords>
  <dc:description/>
  <cp:lastModifiedBy>Jones, Jacqueline</cp:lastModifiedBy>
  <cp:revision>8</cp:revision>
  <cp:lastPrinted>2015-10-23T07:49:00Z</cp:lastPrinted>
  <dcterms:created xsi:type="dcterms:W3CDTF">2015-10-21T11:35:00Z</dcterms:created>
  <dcterms:modified xsi:type="dcterms:W3CDTF">2015-10-23T07:49:00Z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