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348" w:type="dxa"/>
        <w:tblLayout w:type="fixed"/>
        <w:tblLook w:val="0000" w:firstRow="0" w:lastRow="0" w:firstColumn="0" w:lastColumn="0" w:noHBand="0" w:noVBand="0"/>
      </w:tblPr>
      <w:tblGrid>
        <w:gridCol w:w="6521"/>
        <w:gridCol w:w="390"/>
        <w:gridCol w:w="3120"/>
        <w:gridCol w:w="317"/>
      </w:tblGrid>
      <w:tr w:rsidR="00A066F1" w:rsidRPr="00CB6A61" w:rsidTr="00DA2B53">
        <w:trPr>
          <w:gridAfter w:val="1"/>
          <w:wAfter w:w="317" w:type="dxa"/>
          <w:cantSplit/>
        </w:trPr>
        <w:tc>
          <w:tcPr>
            <w:tcW w:w="6911" w:type="dxa"/>
            <w:gridSpan w:val="2"/>
          </w:tcPr>
          <w:p w:rsidR="00A066F1" w:rsidRPr="00CB6A61" w:rsidRDefault="00241FA2" w:rsidP="003B2284">
            <w:pPr>
              <w:spacing w:before="400" w:after="48" w:line="240" w:lineRule="atLeast"/>
              <w:rPr>
                <w:rFonts w:ascii="Verdana" w:hAnsi="Verdana"/>
                <w:position w:val="6"/>
              </w:rPr>
            </w:pPr>
            <w:r w:rsidRPr="00CB6A61">
              <w:rPr>
                <w:rFonts w:ascii="Verdana" w:hAnsi="Verdana" w:cs="Times"/>
                <w:b/>
                <w:position w:val="6"/>
                <w:sz w:val="22"/>
                <w:szCs w:val="22"/>
              </w:rPr>
              <w:t>World Radiocommunication Conference (WRC-15)</w:t>
            </w:r>
            <w:r w:rsidRPr="00CB6A61">
              <w:rPr>
                <w:rFonts w:ascii="Verdana" w:hAnsi="Verdana" w:cs="Times"/>
                <w:b/>
                <w:position w:val="6"/>
                <w:sz w:val="26"/>
                <w:szCs w:val="26"/>
              </w:rPr>
              <w:br/>
            </w:r>
            <w:r w:rsidRPr="00CB6A61">
              <w:rPr>
                <w:rFonts w:ascii="Verdana" w:hAnsi="Verdana"/>
                <w:b/>
                <w:bCs/>
                <w:position w:val="6"/>
                <w:sz w:val="18"/>
                <w:szCs w:val="18"/>
              </w:rPr>
              <w:t>Geneva, 2–27 November 2015</w:t>
            </w:r>
          </w:p>
        </w:tc>
        <w:tc>
          <w:tcPr>
            <w:tcW w:w="3120" w:type="dxa"/>
          </w:tcPr>
          <w:p w:rsidR="00A066F1" w:rsidRPr="00CB6A61" w:rsidRDefault="003B2284" w:rsidP="003B2284">
            <w:pPr>
              <w:spacing w:before="0" w:line="240" w:lineRule="atLeast"/>
              <w:jc w:val="right"/>
            </w:pPr>
            <w:bookmarkStart w:id="0" w:name="ditulogo"/>
            <w:bookmarkEnd w:id="0"/>
            <w:r w:rsidRPr="00CB6A61">
              <w:rPr>
                <w:noProof/>
                <w:lang w:eastAsia="zh-CN"/>
              </w:rPr>
              <w:drawing>
                <wp:inline distT="0" distB="0" distL="0" distR="0" wp14:anchorId="31019086" wp14:editId="241235D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CB6A61" w:rsidTr="00DA2B53">
        <w:trPr>
          <w:gridAfter w:val="1"/>
          <w:wAfter w:w="317" w:type="dxa"/>
          <w:cantSplit/>
        </w:trPr>
        <w:tc>
          <w:tcPr>
            <w:tcW w:w="6911" w:type="dxa"/>
            <w:gridSpan w:val="2"/>
            <w:tcBorders>
              <w:bottom w:val="single" w:sz="12" w:space="0" w:color="auto"/>
            </w:tcBorders>
          </w:tcPr>
          <w:p w:rsidR="00A066F1" w:rsidRPr="00CB6A61" w:rsidRDefault="003B2284" w:rsidP="00A066F1">
            <w:pPr>
              <w:spacing w:before="0" w:after="48" w:line="240" w:lineRule="atLeast"/>
              <w:rPr>
                <w:rFonts w:ascii="Verdana" w:hAnsi="Verdana"/>
                <w:b/>
                <w:smallCaps/>
                <w:sz w:val="20"/>
              </w:rPr>
            </w:pPr>
            <w:bookmarkStart w:id="1" w:name="dhead"/>
            <w:r w:rsidRPr="00CB6A61">
              <w:rPr>
                <w:rFonts w:ascii="Verdana" w:hAnsi="Verdana"/>
                <w:b/>
                <w:smallCaps/>
                <w:sz w:val="20"/>
              </w:rPr>
              <w:t>INTERNATIONAL TELECOMMUNICATION UNION</w:t>
            </w:r>
          </w:p>
        </w:tc>
        <w:tc>
          <w:tcPr>
            <w:tcW w:w="3120" w:type="dxa"/>
            <w:tcBorders>
              <w:bottom w:val="single" w:sz="12" w:space="0" w:color="auto"/>
            </w:tcBorders>
          </w:tcPr>
          <w:p w:rsidR="00A066F1" w:rsidRPr="00CB6A61" w:rsidRDefault="00A066F1" w:rsidP="00A066F1">
            <w:pPr>
              <w:spacing w:before="0" w:line="240" w:lineRule="atLeast"/>
              <w:rPr>
                <w:rFonts w:ascii="Verdana" w:hAnsi="Verdana"/>
                <w:szCs w:val="24"/>
              </w:rPr>
            </w:pPr>
          </w:p>
        </w:tc>
      </w:tr>
      <w:tr w:rsidR="00A066F1" w:rsidRPr="00CB6A61" w:rsidTr="00DA2B53">
        <w:trPr>
          <w:gridAfter w:val="1"/>
          <w:wAfter w:w="317" w:type="dxa"/>
          <w:cantSplit/>
        </w:trPr>
        <w:tc>
          <w:tcPr>
            <w:tcW w:w="6911" w:type="dxa"/>
            <w:gridSpan w:val="2"/>
            <w:tcBorders>
              <w:top w:val="single" w:sz="12" w:space="0" w:color="auto"/>
            </w:tcBorders>
          </w:tcPr>
          <w:p w:rsidR="00A066F1" w:rsidRPr="00CB6A61"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B6A61" w:rsidRDefault="00A066F1" w:rsidP="00A066F1">
            <w:pPr>
              <w:spacing w:before="0" w:line="240" w:lineRule="atLeast"/>
              <w:rPr>
                <w:rFonts w:ascii="Verdana" w:hAnsi="Verdana"/>
                <w:sz w:val="20"/>
              </w:rPr>
            </w:pPr>
          </w:p>
        </w:tc>
      </w:tr>
      <w:tr w:rsidR="00A066F1" w:rsidRPr="00CB6A61" w:rsidTr="00DA2B53">
        <w:trPr>
          <w:cantSplit/>
          <w:trHeight w:val="23"/>
        </w:trPr>
        <w:tc>
          <w:tcPr>
            <w:tcW w:w="6521" w:type="dxa"/>
            <w:shd w:val="clear" w:color="auto" w:fill="auto"/>
          </w:tcPr>
          <w:p w:rsidR="00A066F1" w:rsidRPr="00CB6A61"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CB6A61">
              <w:rPr>
                <w:rFonts w:ascii="Verdana" w:hAnsi="Verdana"/>
                <w:sz w:val="20"/>
                <w:szCs w:val="20"/>
              </w:rPr>
              <w:t>PLENARY MEETING</w:t>
            </w:r>
          </w:p>
        </w:tc>
        <w:tc>
          <w:tcPr>
            <w:tcW w:w="3827" w:type="dxa"/>
            <w:gridSpan w:val="3"/>
            <w:shd w:val="clear" w:color="auto" w:fill="auto"/>
          </w:tcPr>
          <w:p w:rsidR="00A066F1" w:rsidRPr="00CB6A61" w:rsidRDefault="00E55816" w:rsidP="00AA666F">
            <w:pPr>
              <w:tabs>
                <w:tab w:val="left" w:pos="851"/>
              </w:tabs>
              <w:spacing w:before="0" w:line="240" w:lineRule="atLeast"/>
              <w:rPr>
                <w:rFonts w:ascii="Verdana" w:hAnsi="Verdana"/>
                <w:sz w:val="20"/>
              </w:rPr>
            </w:pPr>
            <w:r w:rsidRPr="00CB6A61">
              <w:rPr>
                <w:rFonts w:ascii="Verdana" w:eastAsia="SimSun" w:hAnsi="Verdana" w:cs="Traditional Arabic"/>
                <w:b/>
                <w:sz w:val="20"/>
              </w:rPr>
              <w:t>Addendum 2 to</w:t>
            </w:r>
            <w:r w:rsidRPr="00CB6A61">
              <w:rPr>
                <w:rFonts w:ascii="Verdana" w:eastAsia="SimSun" w:hAnsi="Verdana" w:cs="Traditional Arabic"/>
                <w:b/>
                <w:sz w:val="20"/>
              </w:rPr>
              <w:br/>
              <w:t>Document 61(Add.23)(Add.1)</w:t>
            </w:r>
            <w:r w:rsidR="00A066F1" w:rsidRPr="00CB6A61">
              <w:rPr>
                <w:rFonts w:ascii="Verdana" w:hAnsi="Verdana"/>
                <w:b/>
                <w:sz w:val="20"/>
              </w:rPr>
              <w:t>-</w:t>
            </w:r>
            <w:r w:rsidR="005E10C9" w:rsidRPr="00CB6A61">
              <w:rPr>
                <w:rFonts w:ascii="Verdana" w:hAnsi="Verdana"/>
                <w:b/>
                <w:sz w:val="20"/>
              </w:rPr>
              <w:t>E</w:t>
            </w:r>
          </w:p>
        </w:tc>
      </w:tr>
      <w:tr w:rsidR="00A066F1" w:rsidRPr="00CB6A61" w:rsidTr="00DA2B53">
        <w:trPr>
          <w:gridAfter w:val="1"/>
          <w:wAfter w:w="317" w:type="dxa"/>
          <w:cantSplit/>
          <w:trHeight w:val="23"/>
        </w:trPr>
        <w:tc>
          <w:tcPr>
            <w:tcW w:w="6521" w:type="dxa"/>
            <w:shd w:val="clear" w:color="auto" w:fill="auto"/>
          </w:tcPr>
          <w:p w:rsidR="00A066F1" w:rsidRPr="00CB6A61"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510" w:type="dxa"/>
            <w:gridSpan w:val="2"/>
            <w:shd w:val="clear" w:color="auto" w:fill="auto"/>
          </w:tcPr>
          <w:p w:rsidR="00A066F1" w:rsidRPr="00CB6A61" w:rsidRDefault="00420873" w:rsidP="00A066F1">
            <w:pPr>
              <w:tabs>
                <w:tab w:val="left" w:pos="993"/>
              </w:tabs>
              <w:spacing w:before="0"/>
              <w:rPr>
                <w:rFonts w:ascii="Verdana" w:hAnsi="Verdana"/>
                <w:sz w:val="20"/>
              </w:rPr>
            </w:pPr>
            <w:r w:rsidRPr="00CB6A61">
              <w:rPr>
                <w:rFonts w:ascii="Verdana" w:hAnsi="Verdana"/>
                <w:b/>
                <w:sz w:val="20"/>
              </w:rPr>
              <w:t>14 October 2015</w:t>
            </w:r>
          </w:p>
        </w:tc>
      </w:tr>
      <w:tr w:rsidR="00A066F1" w:rsidRPr="00CB6A61" w:rsidTr="00DA2B53">
        <w:trPr>
          <w:gridAfter w:val="1"/>
          <w:wAfter w:w="317" w:type="dxa"/>
          <w:cantSplit/>
          <w:trHeight w:val="23"/>
        </w:trPr>
        <w:tc>
          <w:tcPr>
            <w:tcW w:w="6521" w:type="dxa"/>
            <w:shd w:val="clear" w:color="auto" w:fill="auto"/>
          </w:tcPr>
          <w:p w:rsidR="00A066F1" w:rsidRPr="00CB6A61"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510" w:type="dxa"/>
            <w:gridSpan w:val="2"/>
          </w:tcPr>
          <w:p w:rsidR="00A066F1" w:rsidRPr="00CB6A61" w:rsidRDefault="00E55816" w:rsidP="00A066F1">
            <w:pPr>
              <w:tabs>
                <w:tab w:val="left" w:pos="993"/>
              </w:tabs>
              <w:spacing w:before="0"/>
              <w:rPr>
                <w:rFonts w:ascii="Verdana" w:hAnsi="Verdana"/>
                <w:b/>
                <w:sz w:val="20"/>
              </w:rPr>
            </w:pPr>
            <w:r w:rsidRPr="00CB6A61">
              <w:rPr>
                <w:rFonts w:ascii="Verdana" w:hAnsi="Verdana"/>
                <w:b/>
                <w:sz w:val="20"/>
              </w:rPr>
              <w:t>Original: English</w:t>
            </w:r>
          </w:p>
        </w:tc>
      </w:tr>
      <w:tr w:rsidR="00A066F1" w:rsidRPr="00CB6A61" w:rsidTr="00DA2B53">
        <w:trPr>
          <w:gridAfter w:val="1"/>
          <w:wAfter w:w="317" w:type="dxa"/>
          <w:cantSplit/>
          <w:trHeight w:val="23"/>
        </w:trPr>
        <w:tc>
          <w:tcPr>
            <w:tcW w:w="10031" w:type="dxa"/>
            <w:gridSpan w:val="3"/>
            <w:shd w:val="clear" w:color="auto" w:fill="auto"/>
          </w:tcPr>
          <w:p w:rsidR="00A066F1" w:rsidRPr="00CB6A61" w:rsidRDefault="00A066F1" w:rsidP="00A066F1">
            <w:pPr>
              <w:tabs>
                <w:tab w:val="left" w:pos="993"/>
              </w:tabs>
              <w:spacing w:before="0"/>
              <w:rPr>
                <w:rFonts w:ascii="Verdana" w:hAnsi="Verdana"/>
                <w:b/>
                <w:sz w:val="20"/>
              </w:rPr>
            </w:pPr>
          </w:p>
        </w:tc>
      </w:tr>
      <w:tr w:rsidR="00E55816" w:rsidRPr="00CB6A61" w:rsidTr="00DA2B53">
        <w:trPr>
          <w:gridAfter w:val="1"/>
          <w:wAfter w:w="317" w:type="dxa"/>
          <w:cantSplit/>
          <w:trHeight w:val="23"/>
        </w:trPr>
        <w:tc>
          <w:tcPr>
            <w:tcW w:w="10031" w:type="dxa"/>
            <w:gridSpan w:val="3"/>
            <w:shd w:val="clear" w:color="auto" w:fill="auto"/>
          </w:tcPr>
          <w:p w:rsidR="00E55816" w:rsidRPr="00CB6A61" w:rsidRDefault="00884D60" w:rsidP="00E55816">
            <w:pPr>
              <w:pStyle w:val="Source"/>
            </w:pPr>
            <w:r w:rsidRPr="00CB6A61">
              <w:t>Iran (Islamic Republic of)</w:t>
            </w:r>
          </w:p>
        </w:tc>
      </w:tr>
      <w:tr w:rsidR="00E55816" w:rsidRPr="00CB6A61" w:rsidTr="00DA2B53">
        <w:trPr>
          <w:gridAfter w:val="1"/>
          <w:wAfter w:w="317" w:type="dxa"/>
          <w:cantSplit/>
          <w:trHeight w:val="23"/>
        </w:trPr>
        <w:tc>
          <w:tcPr>
            <w:tcW w:w="10031" w:type="dxa"/>
            <w:gridSpan w:val="3"/>
            <w:shd w:val="clear" w:color="auto" w:fill="auto"/>
          </w:tcPr>
          <w:p w:rsidR="00E55816" w:rsidRPr="00CB6A61" w:rsidRDefault="007D5320" w:rsidP="00E55816">
            <w:pPr>
              <w:pStyle w:val="Title1"/>
            </w:pPr>
            <w:r w:rsidRPr="00CB6A61">
              <w:t>Proposals for the work of the conference</w:t>
            </w:r>
          </w:p>
        </w:tc>
      </w:tr>
      <w:tr w:rsidR="00E55816" w:rsidRPr="00CB6A61" w:rsidTr="00DA2B53">
        <w:trPr>
          <w:gridAfter w:val="1"/>
          <w:wAfter w:w="317" w:type="dxa"/>
          <w:cantSplit/>
          <w:trHeight w:val="23"/>
        </w:trPr>
        <w:tc>
          <w:tcPr>
            <w:tcW w:w="10031" w:type="dxa"/>
            <w:gridSpan w:val="3"/>
            <w:shd w:val="clear" w:color="auto" w:fill="auto"/>
          </w:tcPr>
          <w:p w:rsidR="00E55816" w:rsidRPr="00CB6A61" w:rsidRDefault="00E55816" w:rsidP="00E55816">
            <w:pPr>
              <w:pStyle w:val="Title2"/>
            </w:pPr>
          </w:p>
        </w:tc>
      </w:tr>
      <w:tr w:rsidR="00A538A6" w:rsidRPr="00CB6A61" w:rsidTr="00DA2B53">
        <w:trPr>
          <w:gridAfter w:val="1"/>
          <w:wAfter w:w="317" w:type="dxa"/>
          <w:cantSplit/>
          <w:trHeight w:val="23"/>
        </w:trPr>
        <w:tc>
          <w:tcPr>
            <w:tcW w:w="10031" w:type="dxa"/>
            <w:gridSpan w:val="3"/>
            <w:shd w:val="clear" w:color="auto" w:fill="auto"/>
          </w:tcPr>
          <w:p w:rsidR="00A538A6" w:rsidRPr="00CB6A61" w:rsidRDefault="004B13CB" w:rsidP="004B13CB">
            <w:pPr>
              <w:pStyle w:val="Agendaitem"/>
              <w:rPr>
                <w:lang w:val="en-GB"/>
              </w:rPr>
            </w:pPr>
            <w:r w:rsidRPr="00CB6A61">
              <w:rPr>
                <w:lang w:val="en-GB"/>
              </w:rPr>
              <w:t>Agenda item 9.1(9.1.2)</w:t>
            </w:r>
          </w:p>
        </w:tc>
      </w:tr>
    </w:tbl>
    <w:bookmarkEnd w:id="6"/>
    <w:bookmarkEnd w:id="7"/>
    <w:p w:rsidR="00B02325" w:rsidRPr="00CB6A61" w:rsidRDefault="003B444A" w:rsidP="005A1B64">
      <w:pPr>
        <w:overflowPunct/>
        <w:autoSpaceDE/>
        <w:autoSpaceDN/>
        <w:adjustRightInd/>
        <w:textAlignment w:val="auto"/>
      </w:pPr>
      <w:r w:rsidRPr="00CB6A61">
        <w:t>9</w:t>
      </w:r>
      <w:r w:rsidRPr="00CB6A61">
        <w:tab/>
        <w:t>to consider and approve the Report of the Director of the Radiocommunication Bureau, in accordance with Article 7 of the Convention:</w:t>
      </w:r>
    </w:p>
    <w:p w:rsidR="00B02325" w:rsidRPr="00CB6A61" w:rsidRDefault="003B444A" w:rsidP="00653DA3">
      <w:pPr>
        <w:overflowPunct/>
        <w:autoSpaceDE/>
        <w:autoSpaceDN/>
        <w:adjustRightInd/>
        <w:spacing w:before="100"/>
        <w:textAlignment w:val="auto"/>
      </w:pPr>
      <w:r w:rsidRPr="00CB6A61">
        <w:t>9.1</w:t>
      </w:r>
      <w:r w:rsidRPr="00CB6A61">
        <w:tab/>
        <w:t>on the activities of the Radiocommunication Sector since WRC</w:t>
      </w:r>
      <w:r w:rsidRPr="00CB6A61">
        <w:noBreakHyphen/>
        <w:t>12;</w:t>
      </w:r>
    </w:p>
    <w:p w:rsidR="001C0E40" w:rsidRPr="00CB6A61" w:rsidRDefault="003B444A" w:rsidP="00B14E3E">
      <w:pPr>
        <w:rPr>
          <w:b/>
          <w:bCs/>
        </w:rPr>
      </w:pPr>
      <w:r w:rsidRPr="00CB6A61">
        <w:t xml:space="preserve">9.1(9.1.2) </w:t>
      </w:r>
      <w:r w:rsidRPr="00CB6A61">
        <w:tab/>
        <w:t xml:space="preserve">Resolution </w:t>
      </w:r>
      <w:r w:rsidRPr="00CB6A61">
        <w:rPr>
          <w:b/>
          <w:bCs/>
        </w:rPr>
        <w:t>756 (WRC-12)</w:t>
      </w:r>
      <w:r w:rsidRPr="00CB6A61">
        <w:t xml:space="preserve"> − Studies on possible reduction of the coordination arc and technical criteria used in application of No. </w:t>
      </w:r>
      <w:r w:rsidRPr="00CB6A61">
        <w:rPr>
          <w:b/>
          <w:bCs/>
        </w:rPr>
        <w:t>9.41</w:t>
      </w:r>
      <w:r w:rsidRPr="00CB6A61">
        <w:t xml:space="preserve"> in respect of coordination under No. </w:t>
      </w:r>
      <w:r w:rsidRPr="00CB6A61">
        <w:rPr>
          <w:b/>
          <w:bCs/>
        </w:rPr>
        <w:t>9.7</w:t>
      </w:r>
    </w:p>
    <w:p w:rsidR="00DA2B53" w:rsidRPr="00CB6A61" w:rsidRDefault="00DA2B53" w:rsidP="00B14E3E"/>
    <w:p w:rsidR="00D86CF3" w:rsidRPr="00CB6A61" w:rsidRDefault="00D86CF3" w:rsidP="004B5157">
      <w:pPr>
        <w:pStyle w:val="Headingb"/>
        <w:rPr>
          <w:lang w:val="en-GB"/>
        </w:rPr>
      </w:pPr>
      <w:r w:rsidRPr="00CB6A61">
        <w:rPr>
          <w:lang w:val="en-GB"/>
        </w:rPr>
        <w:t>Introduction</w:t>
      </w:r>
    </w:p>
    <w:p w:rsidR="00D86CF3" w:rsidRPr="00CB6A61" w:rsidRDefault="00D86CF3" w:rsidP="004B5157">
      <w:pPr>
        <w:rPr>
          <w:rFonts w:eastAsia="MS Mincho"/>
          <w:lang w:eastAsia="ja-JP"/>
        </w:rPr>
      </w:pPr>
      <w:r w:rsidRPr="00CB6A61">
        <w:rPr>
          <w:rFonts w:eastAsia="MS Mincho"/>
          <w:lang w:eastAsia="ja-JP"/>
        </w:rPr>
        <w:t xml:space="preserve">The use of orbit spectrum resources is increasing and the difficulties in getting access </w:t>
      </w:r>
      <w:r w:rsidRPr="00CB6A61">
        <w:rPr>
          <w:lang w:eastAsia="ja-JP"/>
        </w:rPr>
        <w:t>to spectrum</w:t>
      </w:r>
      <w:r w:rsidRPr="00CB6A61">
        <w:rPr>
          <w:rFonts w:eastAsia="MS Mincho"/>
          <w:lang w:eastAsia="ja-JP"/>
        </w:rPr>
        <w:t xml:space="preserve"> for new satellite networks </w:t>
      </w:r>
      <w:r w:rsidRPr="00CB6A61">
        <w:rPr>
          <w:lang w:eastAsia="ja-JP"/>
        </w:rPr>
        <w:t>are</w:t>
      </w:r>
      <w:r w:rsidRPr="00CB6A61">
        <w:rPr>
          <w:rFonts w:eastAsia="MS Mincho"/>
          <w:lang w:eastAsia="ja-JP"/>
        </w:rPr>
        <w:t xml:space="preserve"> increasing accordingly. The situation is in particular severe in some frequency bands that are commonly used by many operational satellites, but there are also difficulties due to many submissions for satellite networks in other frequency bands.</w:t>
      </w:r>
    </w:p>
    <w:p w:rsidR="00D86CF3" w:rsidRPr="00CB6A61" w:rsidRDefault="00D86CF3" w:rsidP="004B5157">
      <w:pPr>
        <w:rPr>
          <w:rFonts w:eastAsia="MS Mincho"/>
          <w:lang w:eastAsia="ja-JP"/>
        </w:rPr>
      </w:pPr>
      <w:r w:rsidRPr="00CB6A61">
        <w:rPr>
          <w:rFonts w:eastAsia="MS Mincho"/>
          <w:lang w:eastAsia="ja-JP"/>
        </w:rPr>
        <w:t>For these reasons, improved ways to accommodate new networks and facilitating more efficient use of the spectrum resources are sought while at the same time ensuring adequate protection of networks operating in accordance with the Radio Regulations.</w:t>
      </w:r>
    </w:p>
    <w:p w:rsidR="00D86CF3" w:rsidRPr="00CB6A61" w:rsidRDefault="00D86CF3" w:rsidP="004B5157">
      <w:pPr>
        <w:rPr>
          <w:rFonts w:eastAsia="MS Mincho"/>
          <w:lang w:eastAsia="ja-JP"/>
        </w:rPr>
      </w:pPr>
      <w:r w:rsidRPr="00CB6A61">
        <w:rPr>
          <w:lang w:eastAsia="nb-NO"/>
        </w:rPr>
        <w:t xml:space="preserve">As part of the effort to improve the coordination process, WRC-12 decided to reduce the coordination arc in the 6/4 GHz, 14/10/11/12 GHz and 21.4-22 GHz </w:t>
      </w:r>
      <w:r w:rsidRPr="00CB6A61">
        <w:t>frequency ranges</w:t>
      </w:r>
      <w:r w:rsidRPr="00CB6A61">
        <w:rPr>
          <w:lang w:eastAsia="nb-NO"/>
        </w:rPr>
        <w:t>.</w:t>
      </w:r>
      <w:r w:rsidRPr="00CB6A61" w:rsidDel="005D1115">
        <w:rPr>
          <w:lang w:eastAsia="nb-NO"/>
        </w:rPr>
        <w:t xml:space="preserve"> </w:t>
      </w:r>
      <w:r w:rsidRPr="00CB6A61">
        <w:rPr>
          <w:lang w:eastAsia="nb-NO"/>
        </w:rPr>
        <w:t xml:space="preserve">Furthermore, WRC-12 decided that these two issues would be further studied in preparation for WRC-15 and in its Resolution 756 (WRC-12) </w:t>
      </w:r>
      <w:r w:rsidRPr="00CB6A61">
        <w:rPr>
          <w:i/>
          <w:lang w:eastAsia="nb-NO"/>
        </w:rPr>
        <w:t>resolves to invite ITU-R</w:t>
      </w:r>
      <w:r w:rsidRPr="00CB6A61">
        <w:rPr>
          <w:lang w:eastAsia="nb-NO"/>
        </w:rPr>
        <w:t>:</w:t>
      </w:r>
    </w:p>
    <w:p w:rsidR="00D86CF3" w:rsidRPr="00CB6A61" w:rsidRDefault="004B5157" w:rsidP="004B5157">
      <w:pPr>
        <w:pStyle w:val="enumlev1"/>
        <w:rPr>
          <w:lang w:eastAsia="de-DE"/>
        </w:rPr>
      </w:pPr>
      <w:r w:rsidRPr="00CB6A61">
        <w:rPr>
          <w:lang w:eastAsia="de-DE"/>
        </w:rPr>
        <w:t>1)</w:t>
      </w:r>
      <w:r w:rsidRPr="00CB6A61">
        <w:rPr>
          <w:lang w:eastAsia="de-DE"/>
        </w:rPr>
        <w:tab/>
      </w:r>
      <w:r w:rsidR="00D86CF3" w:rsidRPr="00CB6A61">
        <w:rPr>
          <w:lang w:eastAsia="de-DE"/>
        </w:rPr>
        <w:t>to carry out studies to examine the effectiveness and appropriateness of the current criterion (</w:t>
      </w:r>
      <w:r w:rsidR="00D86CF3" w:rsidRPr="00CB6A61">
        <w:rPr>
          <w:rFonts w:eastAsia="TimesNewRoman"/>
          <w:lang w:eastAsia="de-DE"/>
        </w:rPr>
        <w:t>Δ</w:t>
      </w:r>
      <w:r w:rsidR="00D86CF3" w:rsidRPr="00CB6A61">
        <w:rPr>
          <w:i/>
          <w:iCs/>
          <w:lang w:eastAsia="de-DE"/>
        </w:rPr>
        <w:t>T</w:t>
      </w:r>
      <w:r w:rsidR="00D86CF3" w:rsidRPr="00CB6A61">
        <w:rPr>
          <w:lang w:eastAsia="de-DE"/>
        </w:rPr>
        <w:t>/</w:t>
      </w:r>
      <w:r w:rsidR="00D86CF3" w:rsidRPr="00CB6A61">
        <w:rPr>
          <w:i/>
          <w:iCs/>
          <w:lang w:eastAsia="de-DE"/>
        </w:rPr>
        <w:t xml:space="preserve">T </w:t>
      </w:r>
      <w:r w:rsidR="00D86CF3" w:rsidRPr="00CB6A61">
        <w:rPr>
          <w:lang w:eastAsia="de-DE"/>
        </w:rPr>
        <w:t xml:space="preserve">&gt; 6%) used in the application of No. 9.41 and consider any other possible alternatives (including the alternatives outlined in Annexes 1 and 2 to this Resolution), as appropriate, for the bands referred to in </w:t>
      </w:r>
      <w:r w:rsidR="00D86CF3" w:rsidRPr="00CB6A61">
        <w:rPr>
          <w:i/>
          <w:iCs/>
          <w:lang w:eastAsia="de-DE"/>
        </w:rPr>
        <w:t>recognizing e)</w:t>
      </w:r>
      <w:r w:rsidR="00D86CF3" w:rsidRPr="00CB6A61">
        <w:rPr>
          <w:lang w:eastAsia="de-DE"/>
        </w:rPr>
        <w:t>;</w:t>
      </w:r>
      <w:r w:rsidR="00D86CF3" w:rsidRPr="00CB6A61">
        <w:rPr>
          <w:lang w:eastAsia="ja-JP"/>
        </w:rPr>
        <w:t xml:space="preserve"> and</w:t>
      </w:r>
    </w:p>
    <w:p w:rsidR="00D86CF3" w:rsidRPr="00CB6A61" w:rsidRDefault="004B5157" w:rsidP="004B5157">
      <w:pPr>
        <w:pStyle w:val="enumlev1"/>
        <w:rPr>
          <w:lang w:eastAsia="de-DE"/>
        </w:rPr>
      </w:pPr>
      <w:r w:rsidRPr="00CB6A61">
        <w:rPr>
          <w:lang w:eastAsia="de-DE"/>
        </w:rPr>
        <w:t>2)</w:t>
      </w:r>
      <w:r w:rsidRPr="00CB6A61">
        <w:rPr>
          <w:lang w:eastAsia="de-DE"/>
        </w:rPr>
        <w:tab/>
      </w:r>
      <w:r w:rsidR="00D86CF3" w:rsidRPr="00CB6A61">
        <w:rPr>
          <w:lang w:eastAsia="de-DE"/>
        </w:rPr>
        <w:t>to study whether additional reductions in the coordination arcs in RR Appendix 5 (Rev.WRC-12) are appropriate for the 6/4 GHz and 14/10/11/12 GHz frequency bands, and whether it is appropriate to reduce the coordination arc in the 30/20 GHz band.</w:t>
      </w:r>
    </w:p>
    <w:p w:rsidR="00D86CF3" w:rsidRPr="00CB6A61" w:rsidRDefault="00D86CF3" w:rsidP="004B5157">
      <w:pPr>
        <w:rPr>
          <w:lang w:eastAsia="de-DE"/>
        </w:rPr>
      </w:pPr>
      <w:r w:rsidRPr="00CB6A61">
        <w:rPr>
          <w:lang w:eastAsia="de-DE"/>
        </w:rPr>
        <w:lastRenderedPageBreak/>
        <w:t xml:space="preserve">In addition to the studies specifically called for in </w:t>
      </w:r>
      <w:r w:rsidRPr="00CB6A61">
        <w:rPr>
          <w:i/>
          <w:iCs/>
          <w:lang w:eastAsia="de-DE"/>
        </w:rPr>
        <w:t>resolves to invite ITU-R</w:t>
      </w:r>
      <w:r w:rsidRPr="00CB6A61">
        <w:rPr>
          <w:lang w:eastAsia="de-DE"/>
        </w:rPr>
        <w:t xml:space="preserve"> 1 and 2 of Resolution 756 (WRC-12), consideration should also be given to the need to keep the same criteria used in application of RR No. 9.41 and RR No. 9.7 for the frequency bands and services covered in item 9) of the frequency band column of Table 5-1 of RR Appendix 5 under provision RR No. 9.7. Consideration should also be given to the impact of such an approach on RR Article</w:t>
      </w:r>
      <w:r w:rsidR="004B5157" w:rsidRPr="00CB6A61">
        <w:rPr>
          <w:lang w:eastAsia="de-DE"/>
        </w:rPr>
        <w:t> </w:t>
      </w:r>
      <w:r w:rsidRPr="00CB6A61">
        <w:rPr>
          <w:lang w:eastAsia="de-DE"/>
        </w:rPr>
        <w:t>11 (e.g. RR No. 11.32A).</w:t>
      </w:r>
    </w:p>
    <w:p w:rsidR="00D86CF3" w:rsidRPr="00CB6A61" w:rsidRDefault="00D86CF3" w:rsidP="004B5157">
      <w:pPr>
        <w:rPr>
          <w:lang w:eastAsia="de-DE"/>
        </w:rPr>
      </w:pPr>
      <w:r w:rsidRPr="00CB6A61">
        <w:rPr>
          <w:lang w:eastAsia="de-DE"/>
        </w:rPr>
        <w:t>It is understood that the above resolution came about due to difficulty in obtaining access to orbital and spectrum resources as caused by large number of ITU filings</w:t>
      </w:r>
      <w:r w:rsidR="004B5157" w:rsidRPr="00CB6A61">
        <w:rPr>
          <w:lang w:eastAsia="de-DE"/>
        </w:rPr>
        <w:t xml:space="preserve"> and unnecessary coordination. </w:t>
      </w:r>
      <w:r w:rsidRPr="00CB6A61">
        <w:rPr>
          <w:lang w:eastAsia="de-DE"/>
        </w:rPr>
        <w:t xml:space="preserve">To what extent the measures, such as introduction of pfd masks and/or </w:t>
      </w:r>
      <w:r w:rsidRPr="00CB6A61">
        <w:rPr>
          <w:i/>
          <w:iCs/>
          <w:lang w:eastAsia="de-DE"/>
        </w:rPr>
        <w:t>C</w:t>
      </w:r>
      <w:r w:rsidRPr="00CB6A61">
        <w:rPr>
          <w:lang w:eastAsia="de-DE"/>
        </w:rPr>
        <w:t>/</w:t>
      </w:r>
      <w:r w:rsidRPr="00CB6A61">
        <w:rPr>
          <w:i/>
          <w:iCs/>
          <w:lang w:eastAsia="de-DE"/>
        </w:rPr>
        <w:t>I</w:t>
      </w:r>
      <w:r w:rsidRPr="00CB6A61">
        <w:rPr>
          <w:lang w:eastAsia="de-DE"/>
        </w:rPr>
        <w:t xml:space="preserve"> criteria,  the increase of current</w:t>
      </w:r>
      <w:r w:rsidRPr="00CB6A61">
        <w:rPr>
          <w:rFonts w:eastAsia="MS Mincho"/>
          <w:lang w:eastAsia="ja-JP"/>
        </w:rPr>
        <w:t xml:space="preserve"> </w:t>
      </w:r>
      <w:r w:rsidRPr="00CB6A61">
        <w:rPr>
          <w:rFonts w:eastAsia="TimesNewRoman"/>
          <w:lang w:eastAsia="de-DE"/>
        </w:rPr>
        <w:t>Δ</w:t>
      </w:r>
      <w:r w:rsidRPr="00CB6A61">
        <w:rPr>
          <w:i/>
          <w:iCs/>
          <w:lang w:eastAsia="de-DE"/>
        </w:rPr>
        <w:t>T</w:t>
      </w:r>
      <w:r w:rsidRPr="00CB6A61">
        <w:rPr>
          <w:lang w:eastAsia="de-DE"/>
        </w:rPr>
        <w:t>/</w:t>
      </w:r>
      <w:r w:rsidRPr="00CB6A61">
        <w:rPr>
          <w:i/>
          <w:iCs/>
          <w:lang w:eastAsia="de-DE"/>
        </w:rPr>
        <w:t>T</w:t>
      </w:r>
      <w:r w:rsidRPr="00CB6A61">
        <w:rPr>
          <w:rFonts w:eastAsia="MS Mincho"/>
          <w:i/>
          <w:iCs/>
          <w:lang w:eastAsia="ja-JP"/>
        </w:rPr>
        <w:t xml:space="preserve"> </w:t>
      </w:r>
      <w:r w:rsidRPr="00CB6A61">
        <w:rPr>
          <w:iCs/>
          <w:lang w:eastAsia="de-DE"/>
        </w:rPr>
        <w:t xml:space="preserve">criterion, </w:t>
      </w:r>
      <w:r w:rsidRPr="00CB6A61">
        <w:rPr>
          <w:lang w:eastAsia="de-DE"/>
        </w:rPr>
        <w:t>or the reduction of coordination a</w:t>
      </w:r>
      <w:r w:rsidR="004B5157" w:rsidRPr="00CB6A61">
        <w:rPr>
          <w:lang w:eastAsia="de-DE"/>
        </w:rPr>
        <w:t>rcs, or combination of these, will represent resolution of</w:t>
      </w:r>
      <w:r w:rsidRPr="00CB6A61">
        <w:rPr>
          <w:lang w:eastAsia="de-DE"/>
        </w:rPr>
        <w:t xml:space="preserve"> the difficulty wh</w:t>
      </w:r>
      <w:r w:rsidR="004B5157" w:rsidRPr="00CB6A61">
        <w:rPr>
          <w:lang w:eastAsia="de-DE"/>
        </w:rPr>
        <w:t xml:space="preserve">ile maintaining the protection </w:t>
      </w:r>
      <w:r w:rsidRPr="00CB6A61">
        <w:rPr>
          <w:lang w:eastAsia="de-DE"/>
        </w:rPr>
        <w:t>of the ex</w:t>
      </w:r>
      <w:bookmarkStart w:id="8" w:name="_GoBack"/>
      <w:bookmarkEnd w:id="8"/>
      <w:r w:rsidRPr="00CB6A61">
        <w:rPr>
          <w:lang w:eastAsia="de-DE"/>
        </w:rPr>
        <w:t>isting</w:t>
      </w:r>
      <w:r w:rsidR="004B5157" w:rsidRPr="00CB6A61">
        <w:rPr>
          <w:lang w:eastAsia="de-DE"/>
        </w:rPr>
        <w:t xml:space="preserve"> and future satellite networks,</w:t>
      </w:r>
      <w:r w:rsidRPr="00CB6A61">
        <w:rPr>
          <w:lang w:eastAsia="de-DE"/>
        </w:rPr>
        <w:t xml:space="preserve"> as the criterion changes may result in more severe harmful </w:t>
      </w:r>
      <w:r w:rsidR="004B5157" w:rsidRPr="00CB6A61">
        <w:rPr>
          <w:lang w:eastAsia="de-DE"/>
        </w:rPr>
        <w:t xml:space="preserve">interference, remains a matter </w:t>
      </w:r>
      <w:r w:rsidRPr="00CB6A61">
        <w:rPr>
          <w:lang w:eastAsia="de-DE"/>
        </w:rPr>
        <w:t>within WP</w:t>
      </w:r>
      <w:r w:rsidR="00355ADB" w:rsidRPr="00CB6A61">
        <w:rPr>
          <w:lang w:eastAsia="de-DE"/>
        </w:rPr>
        <w:t xml:space="preserve"> </w:t>
      </w:r>
      <w:r w:rsidRPr="00CB6A61">
        <w:rPr>
          <w:lang w:eastAsia="de-DE"/>
        </w:rPr>
        <w:t xml:space="preserve">4A of the ITU-R Study Group 4 to resolve in a more comprehensive way during this study period. </w:t>
      </w:r>
    </w:p>
    <w:p w:rsidR="00D86CF3" w:rsidRPr="00CB6A61" w:rsidRDefault="00D86CF3" w:rsidP="004B5157">
      <w:pPr>
        <w:pStyle w:val="Headingb"/>
        <w:rPr>
          <w:lang w:val="en-GB"/>
        </w:rPr>
      </w:pPr>
      <w:r w:rsidRPr="00CB6A61">
        <w:rPr>
          <w:lang w:val="en-GB"/>
        </w:rPr>
        <w:t xml:space="preserve">Regulatory and procedural considerations in respect of </w:t>
      </w:r>
      <w:r w:rsidRPr="00CB6A61">
        <w:rPr>
          <w:i/>
          <w:iCs/>
          <w:lang w:val="en-GB"/>
        </w:rPr>
        <w:t>resolves</w:t>
      </w:r>
      <w:r w:rsidRPr="00CB6A61">
        <w:rPr>
          <w:lang w:val="en-GB"/>
        </w:rPr>
        <w:t xml:space="preserve"> 1 of Resolution 756 (WRC</w:t>
      </w:r>
      <w:r w:rsidR="004B5157" w:rsidRPr="00CB6A61">
        <w:rPr>
          <w:lang w:val="en-GB"/>
        </w:rPr>
        <w:noBreakHyphen/>
      </w:r>
      <w:r w:rsidRPr="00CB6A61">
        <w:rPr>
          <w:lang w:val="en-GB"/>
        </w:rPr>
        <w:t>12)</w:t>
      </w:r>
    </w:p>
    <w:p w:rsidR="00D637C8" w:rsidRPr="00CB6A61" w:rsidRDefault="003B444A">
      <w:pPr>
        <w:pStyle w:val="Proposal"/>
      </w:pPr>
      <w:r w:rsidRPr="00CB6A61">
        <w:rPr>
          <w:u w:val="single"/>
        </w:rPr>
        <w:t>NOC</w:t>
      </w:r>
      <w:r w:rsidRPr="00CB6A61">
        <w:tab/>
        <w:t>IRN/61A23A1A2/1</w:t>
      </w:r>
    </w:p>
    <w:p w:rsidR="009B463A" w:rsidRPr="00CB6A61" w:rsidRDefault="003B444A" w:rsidP="00FB1E26">
      <w:pPr>
        <w:pStyle w:val="ArtNo"/>
        <w:keepLines w:val="0"/>
      </w:pPr>
      <w:bookmarkStart w:id="9" w:name="_Toc327956592"/>
      <w:r w:rsidRPr="00CB6A61">
        <w:t xml:space="preserve">ARTICLE </w:t>
      </w:r>
      <w:r w:rsidRPr="00CB6A61">
        <w:rPr>
          <w:rStyle w:val="href"/>
        </w:rPr>
        <w:t>9</w:t>
      </w:r>
      <w:bookmarkEnd w:id="9"/>
    </w:p>
    <w:p w:rsidR="009B463A" w:rsidRPr="00CB6A61" w:rsidRDefault="003B444A" w:rsidP="00FB1E26">
      <w:pPr>
        <w:pStyle w:val="Arttitle"/>
        <w:keepLines w:val="0"/>
      </w:pPr>
      <w:bookmarkStart w:id="10" w:name="_Toc327956593"/>
      <w:r w:rsidRPr="00CB6A61">
        <w:t>Procedure for effecting coordination with or obtaining agreement of other administrations</w:t>
      </w:r>
      <w:r w:rsidRPr="00CB6A61">
        <w:rPr>
          <w:rStyle w:val="FootnoteReference"/>
        </w:rPr>
        <w:t>1, 2, 3, 4, 5, 6, 7, 8,</w:t>
      </w:r>
      <w:r w:rsidRPr="00CB6A61">
        <w:t xml:space="preserve"> </w:t>
      </w:r>
      <w:r w:rsidRPr="00CB6A61">
        <w:rPr>
          <w:rStyle w:val="FootnoteReference"/>
        </w:rPr>
        <w:t>8</w:t>
      </w:r>
      <w:r w:rsidRPr="00CB6A61">
        <w:rPr>
          <w:rStyle w:val="FootnoteReference"/>
          <w:i/>
          <w:iCs/>
        </w:rPr>
        <w:t>bis</w:t>
      </w:r>
      <w:r w:rsidRPr="00CB6A61">
        <w:rPr>
          <w:b w:val="0"/>
          <w:bCs/>
          <w:sz w:val="16"/>
          <w:szCs w:val="16"/>
        </w:rPr>
        <w:t>    (WRC</w:t>
      </w:r>
      <w:r w:rsidRPr="00CB6A61">
        <w:rPr>
          <w:b w:val="0"/>
          <w:bCs/>
          <w:sz w:val="16"/>
          <w:szCs w:val="16"/>
        </w:rPr>
        <w:noBreakHyphen/>
        <w:t>12)</w:t>
      </w:r>
      <w:bookmarkEnd w:id="10"/>
    </w:p>
    <w:p w:rsidR="00D637C8" w:rsidRPr="00CB6A61" w:rsidRDefault="003B444A">
      <w:pPr>
        <w:pStyle w:val="Reasons"/>
        <w:rPr>
          <w:lang w:eastAsia="de-DE"/>
        </w:rPr>
      </w:pPr>
      <w:r w:rsidRPr="00CB6A61">
        <w:rPr>
          <w:b/>
        </w:rPr>
        <w:t>Reasons:</w:t>
      </w:r>
      <w:r w:rsidRPr="00CB6A61">
        <w:tab/>
      </w:r>
      <w:r w:rsidR="00D86CF3" w:rsidRPr="00CB6A61">
        <w:rPr>
          <w:lang w:eastAsia="de-DE"/>
        </w:rPr>
        <w:t>No changes to the provisions of RR Article 9 in respect of Option 1D</w:t>
      </w:r>
      <w:r w:rsidR="00355ADB" w:rsidRPr="00CB6A61">
        <w:rPr>
          <w:lang w:eastAsia="de-DE"/>
        </w:rPr>
        <w:t xml:space="preserve"> </w:t>
      </w:r>
      <w:r w:rsidR="00D86CF3" w:rsidRPr="00CB6A61">
        <w:rPr>
          <w:lang w:eastAsia="de-DE"/>
        </w:rPr>
        <w:t>(NOC).</w:t>
      </w:r>
    </w:p>
    <w:p w:rsidR="00D637C8" w:rsidRPr="00CB6A61" w:rsidRDefault="003B444A">
      <w:pPr>
        <w:pStyle w:val="Proposal"/>
      </w:pPr>
      <w:r w:rsidRPr="00CB6A61">
        <w:rPr>
          <w:u w:val="single"/>
        </w:rPr>
        <w:t>NOC</w:t>
      </w:r>
      <w:r w:rsidRPr="00CB6A61">
        <w:tab/>
        <w:t>IRN/61A23A1A2/2</w:t>
      </w:r>
    </w:p>
    <w:p w:rsidR="009B463A" w:rsidRPr="00CB6A61" w:rsidRDefault="003B444A" w:rsidP="00FB3369">
      <w:pPr>
        <w:pStyle w:val="ArtNo"/>
      </w:pPr>
      <w:bookmarkStart w:id="11" w:name="_Toc327956595"/>
      <w:r w:rsidRPr="00CB6A61">
        <w:t xml:space="preserve">ARTICLE </w:t>
      </w:r>
      <w:r w:rsidRPr="00CB6A61">
        <w:rPr>
          <w:rStyle w:val="href"/>
          <w:noProof/>
        </w:rPr>
        <w:t>11</w:t>
      </w:r>
      <w:bookmarkEnd w:id="11"/>
    </w:p>
    <w:p w:rsidR="009B463A" w:rsidRPr="00CB6A61" w:rsidRDefault="003B444A" w:rsidP="009B463A">
      <w:pPr>
        <w:pStyle w:val="Arttitle"/>
        <w:rPr>
          <w:sz w:val="16"/>
          <w:szCs w:val="16"/>
        </w:rPr>
      </w:pPr>
      <w:bookmarkStart w:id="12" w:name="_Toc327956596"/>
      <w:r w:rsidRPr="00CB6A61">
        <w:t xml:space="preserve">Notification and recording of frequency </w:t>
      </w:r>
      <w:r w:rsidRPr="00CB6A61">
        <w:br/>
        <w:t>assignments</w:t>
      </w:r>
      <w:r w:rsidRPr="00CB6A61">
        <w:rPr>
          <w:rStyle w:val="FootnoteReference"/>
        </w:rPr>
        <w:t>1, 2, 3, 4, 5, 6, 7, 7</w:t>
      </w:r>
      <w:r w:rsidRPr="00CB6A61">
        <w:rPr>
          <w:rStyle w:val="FootnoteReference"/>
          <w:i/>
          <w:iCs/>
        </w:rPr>
        <w:t>bis</w:t>
      </w:r>
      <w:r w:rsidRPr="00CB6A61">
        <w:rPr>
          <w:b w:val="0"/>
          <w:bCs/>
          <w:sz w:val="16"/>
          <w:szCs w:val="16"/>
        </w:rPr>
        <w:t>    (WRC</w:t>
      </w:r>
      <w:r w:rsidRPr="00CB6A61">
        <w:rPr>
          <w:b w:val="0"/>
          <w:bCs/>
          <w:sz w:val="16"/>
          <w:szCs w:val="16"/>
        </w:rPr>
        <w:noBreakHyphen/>
        <w:t>12)</w:t>
      </w:r>
      <w:bookmarkEnd w:id="12"/>
    </w:p>
    <w:p w:rsidR="00D637C8" w:rsidRPr="00CB6A61" w:rsidRDefault="003B444A">
      <w:pPr>
        <w:pStyle w:val="Reasons"/>
        <w:rPr>
          <w:lang w:eastAsia="de-DE"/>
        </w:rPr>
      </w:pPr>
      <w:r w:rsidRPr="00CB6A61">
        <w:rPr>
          <w:b/>
        </w:rPr>
        <w:t>Reasons:</w:t>
      </w:r>
      <w:r w:rsidRPr="00CB6A61">
        <w:tab/>
      </w:r>
      <w:r w:rsidR="00D86CF3" w:rsidRPr="00CB6A61">
        <w:rPr>
          <w:lang w:eastAsia="de-DE"/>
        </w:rPr>
        <w:t>No changes to the provisions of RR Article 11 in respect of Option 1D</w:t>
      </w:r>
      <w:r w:rsidR="00355ADB" w:rsidRPr="00CB6A61">
        <w:rPr>
          <w:lang w:eastAsia="de-DE"/>
        </w:rPr>
        <w:t xml:space="preserve"> </w:t>
      </w:r>
      <w:r w:rsidR="00D86CF3" w:rsidRPr="00CB6A61">
        <w:rPr>
          <w:lang w:eastAsia="de-DE"/>
        </w:rPr>
        <w:t>(NOC).</w:t>
      </w:r>
    </w:p>
    <w:p w:rsidR="00D86CF3" w:rsidRPr="00CB6A61" w:rsidRDefault="00D86CF3" w:rsidP="004B5157">
      <w:pPr>
        <w:pStyle w:val="Reasons"/>
        <w:rPr>
          <w:snapToGrid w:val="0"/>
          <w:lang w:eastAsia="ja-JP"/>
        </w:rPr>
      </w:pPr>
      <w:r w:rsidRPr="00CB6A61">
        <w:rPr>
          <w:snapToGrid w:val="0"/>
          <w:lang w:eastAsia="ja-JP"/>
        </w:rPr>
        <w:t>Iran still is of the view that use of piecemeal approach to modify/enhance the regulatory provisions governing the use of orbital/spectrum resources in space services, such as reduction of coordination arc, modification to RR No. 9.41, increasing the Δ</w:t>
      </w:r>
      <w:r w:rsidRPr="00CB6A61">
        <w:rPr>
          <w:i/>
          <w:iCs/>
          <w:snapToGrid w:val="0"/>
          <w:lang w:eastAsia="ja-JP"/>
        </w:rPr>
        <w:t>T</w:t>
      </w:r>
      <w:r w:rsidRPr="00CB6A61">
        <w:rPr>
          <w:snapToGrid w:val="0"/>
          <w:lang w:eastAsia="ja-JP"/>
        </w:rPr>
        <w:t>/</w:t>
      </w:r>
      <w:r w:rsidRPr="00CB6A61">
        <w:rPr>
          <w:i/>
          <w:iCs/>
          <w:snapToGrid w:val="0"/>
          <w:lang w:eastAsia="ja-JP"/>
        </w:rPr>
        <w:t>T</w:t>
      </w:r>
      <w:r w:rsidRPr="00CB6A61">
        <w:rPr>
          <w:snapToGrid w:val="0"/>
          <w:lang w:eastAsia="ja-JP"/>
        </w:rPr>
        <w:t xml:space="preserve"> threshold criteria or changing it by another criteria (such as </w:t>
      </w:r>
      <w:r w:rsidRPr="00CB6A61">
        <w:rPr>
          <w:i/>
          <w:iCs/>
          <w:snapToGrid w:val="0"/>
          <w:lang w:eastAsia="ja-JP"/>
        </w:rPr>
        <w:t>C</w:t>
      </w:r>
      <w:r w:rsidRPr="00CB6A61">
        <w:rPr>
          <w:snapToGrid w:val="0"/>
          <w:lang w:eastAsia="ja-JP"/>
        </w:rPr>
        <w:t>/</w:t>
      </w:r>
      <w:r w:rsidRPr="00CB6A61">
        <w:rPr>
          <w:i/>
          <w:iCs/>
          <w:snapToGrid w:val="0"/>
          <w:lang w:eastAsia="ja-JP"/>
        </w:rPr>
        <w:t>I</w:t>
      </w:r>
      <w:r w:rsidRPr="00CB6A61">
        <w:rPr>
          <w:snapToGrid w:val="0"/>
          <w:lang w:eastAsia="ja-JP"/>
        </w:rPr>
        <w:t xml:space="preserve"> or PFD mask) in an independent manner is not appropriate. Due to the fact that all these issues are related with each other, the implications of this interconnection should be further studied and considered in a global approach while deciding on these issues.</w:t>
      </w:r>
    </w:p>
    <w:p w:rsidR="00D86CF3" w:rsidRPr="00CB6A61" w:rsidRDefault="00D86CF3" w:rsidP="0032202E">
      <w:pPr>
        <w:pStyle w:val="Reasons"/>
      </w:pPr>
    </w:p>
    <w:p w:rsidR="004B5157" w:rsidRPr="00CB6A61" w:rsidRDefault="004B5157" w:rsidP="0032202E">
      <w:pPr>
        <w:pStyle w:val="Reasons"/>
      </w:pPr>
    </w:p>
    <w:p w:rsidR="004B5157" w:rsidRPr="00CB6A61" w:rsidRDefault="004B5157">
      <w:pPr>
        <w:jc w:val="center"/>
      </w:pPr>
      <w:r w:rsidRPr="00CB6A61">
        <w:t>______________</w:t>
      </w:r>
    </w:p>
    <w:sectPr w:rsidR="004B5157" w:rsidRPr="00CB6A61">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DA2B53">
      <w:rPr>
        <w:noProof/>
      </w:rPr>
      <w:t>17.10.15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157" w:rsidRDefault="004B5157" w:rsidP="004B5157">
    <w:pPr>
      <w:pStyle w:val="Footer"/>
    </w:pPr>
    <w:r>
      <w:fldChar w:fldCharType="begin"/>
    </w:r>
    <w:r>
      <w:instrText xml:space="preserve"> FILENAME \p  \* MERGEFORMAT </w:instrText>
    </w:r>
    <w:r>
      <w:fldChar w:fldCharType="separate"/>
    </w:r>
    <w:r>
      <w:t>P:\ENG\ITU-R\CONF-R\CMR15\000\061ADD23ADD01ADD02E.docx</w:t>
    </w:r>
    <w:r>
      <w:fldChar w:fldCharType="end"/>
    </w:r>
    <w:r>
      <w:t xml:space="preserve"> (388299)</w:t>
    </w:r>
    <w:r>
      <w:tab/>
    </w:r>
    <w:r>
      <w:fldChar w:fldCharType="begin"/>
    </w:r>
    <w:r>
      <w:instrText xml:space="preserve"> SAVEDATE \@ DD.MM.YY </w:instrText>
    </w:r>
    <w:r>
      <w:fldChar w:fldCharType="separate"/>
    </w:r>
    <w:r>
      <w:t>18.10.15</w:t>
    </w:r>
    <w:r>
      <w:fldChar w:fldCharType="end"/>
    </w:r>
    <w: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157" w:rsidRDefault="004B5157">
    <w:pPr>
      <w:pStyle w:val="Footer"/>
    </w:pPr>
    <w:fldSimple w:instr=" FILENAME \p  \* MERGEFORMAT ">
      <w:r>
        <w:t>P:\ENG\ITU-R\CONF-R\CMR15\000\061ADD23ADD01ADD02E.docx</w:t>
      </w:r>
    </w:fldSimple>
    <w:r>
      <w:t xml:space="preserve"> (388299)</w:t>
    </w:r>
    <w:r>
      <w:tab/>
    </w:r>
    <w:r>
      <w:fldChar w:fldCharType="begin"/>
    </w:r>
    <w:r>
      <w:instrText xml:space="preserve"> SAVEDATE \@ DD.MM.YY </w:instrText>
    </w:r>
    <w:r>
      <w:fldChar w:fldCharType="separate"/>
    </w:r>
    <w:r>
      <w:t>18.10.15</w:t>
    </w:r>
    <w:r>
      <w:fldChar w:fldCharType="end"/>
    </w:r>
    <w:r>
      <w:tab/>
    </w:r>
    <w:r>
      <w:fldChar w:fldCharType="begin"/>
    </w:r>
    <w:r>
      <w:instrText xml:space="preserve"> PRINTDATE \@ DD.MM.YY </w:instrText>
    </w:r>
    <w:r>
      <w:fldChar w:fldCharType="separate"/>
    </w:r>
    <w:r>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CB6A61">
      <w:rPr>
        <w:noProof/>
      </w:rPr>
      <w:t>2</w:t>
    </w:r>
    <w:r>
      <w:fldChar w:fldCharType="end"/>
    </w:r>
  </w:p>
  <w:p w:rsidR="00A066F1" w:rsidRPr="00A066F1" w:rsidRDefault="00187BD9" w:rsidP="00241FA2">
    <w:pPr>
      <w:pStyle w:val="Header"/>
    </w:pPr>
    <w:r>
      <w:t>CMR1</w:t>
    </w:r>
    <w:r w:rsidR="00241FA2">
      <w:t>5</w:t>
    </w:r>
    <w:r w:rsidR="00A066F1">
      <w:t>/</w:t>
    </w:r>
    <w:bookmarkStart w:id="13" w:name="OLE_LINK1"/>
    <w:bookmarkStart w:id="14" w:name="OLE_LINK2"/>
    <w:bookmarkStart w:id="15" w:name="OLE_LINK3"/>
    <w:r w:rsidR="00EB55C6">
      <w:t>61(Add.23)(Add.1)(Add.2)</w:t>
    </w:r>
    <w:bookmarkEnd w:id="13"/>
    <w:bookmarkEnd w:id="14"/>
    <w:bookmarkEnd w:id="15"/>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555028F3"/>
    <w:multiLevelType w:val="hybridMultilevel"/>
    <w:tmpl w:val="D0D87074"/>
    <w:lvl w:ilvl="0" w:tplc="9FF053D4">
      <w:start w:val="1"/>
      <w:numFmt w:val="decimal"/>
      <w:lvlText w:val="%1)"/>
      <w:lvlJc w:val="left"/>
      <w:pPr>
        <w:ind w:left="786" w:hanging="360"/>
      </w:pPr>
      <w:rPr>
        <w:rFonts w:ascii="Times New Roman" w:eastAsia="BatangChe" w:hAnsi="Times New Roman" w:cs="Times New Roman"/>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55ADB"/>
    <w:rsid w:val="00361B37"/>
    <w:rsid w:val="00377BD3"/>
    <w:rsid w:val="00384088"/>
    <w:rsid w:val="003852CE"/>
    <w:rsid w:val="0039169B"/>
    <w:rsid w:val="003A7F8C"/>
    <w:rsid w:val="003B2284"/>
    <w:rsid w:val="003B444A"/>
    <w:rsid w:val="003B532E"/>
    <w:rsid w:val="003D0F8B"/>
    <w:rsid w:val="003E0DB6"/>
    <w:rsid w:val="0041348E"/>
    <w:rsid w:val="00420873"/>
    <w:rsid w:val="00492075"/>
    <w:rsid w:val="004969AD"/>
    <w:rsid w:val="004A26C4"/>
    <w:rsid w:val="004B13CB"/>
    <w:rsid w:val="004B5157"/>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3AFB"/>
    <w:rsid w:val="00CB44E5"/>
    <w:rsid w:val="00CB6A61"/>
    <w:rsid w:val="00CC247A"/>
    <w:rsid w:val="00CE388F"/>
    <w:rsid w:val="00CE5E47"/>
    <w:rsid w:val="00CF020F"/>
    <w:rsid w:val="00CF2B5B"/>
    <w:rsid w:val="00D14CE0"/>
    <w:rsid w:val="00D268B3"/>
    <w:rsid w:val="00D54009"/>
    <w:rsid w:val="00D5651D"/>
    <w:rsid w:val="00D57A34"/>
    <w:rsid w:val="00D637C8"/>
    <w:rsid w:val="00D74898"/>
    <w:rsid w:val="00D801ED"/>
    <w:rsid w:val="00D86CF3"/>
    <w:rsid w:val="00D936BC"/>
    <w:rsid w:val="00D96530"/>
    <w:rsid w:val="00DA2B53"/>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02E2AEE-BAE9-4E4F-8599-594441DF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ListParagraph">
    <w:name w:val="List Paragraph"/>
    <w:basedOn w:val="Normal"/>
    <w:link w:val="ListParagraphChar"/>
    <w:uiPriority w:val="34"/>
    <w:qFormat/>
    <w:rsid w:val="00D86CF3"/>
    <w:pPr>
      <w:tabs>
        <w:tab w:val="clear" w:pos="1134"/>
        <w:tab w:val="clear" w:pos="1871"/>
        <w:tab w:val="clear" w:pos="2268"/>
      </w:tabs>
      <w:overflowPunct/>
      <w:autoSpaceDE/>
      <w:autoSpaceDN/>
      <w:adjustRightInd/>
      <w:spacing w:before="0"/>
      <w:ind w:leftChars="400" w:left="840"/>
      <w:textAlignment w:val="auto"/>
    </w:pPr>
    <w:rPr>
      <w:rFonts w:eastAsia="BatangChe"/>
      <w:szCs w:val="24"/>
      <w:lang w:bidi="fa-IR"/>
    </w:rPr>
  </w:style>
  <w:style w:type="character" w:customStyle="1" w:styleId="ListParagraphChar">
    <w:name w:val="List Paragraph Char"/>
    <w:link w:val="ListParagraph"/>
    <w:uiPriority w:val="34"/>
    <w:locked/>
    <w:rsid w:val="00D86CF3"/>
    <w:rPr>
      <w:rFonts w:ascii="Times New Roman" w:eastAsia="BatangChe" w:hAnsi="Times New Roman"/>
      <w:sz w:val="24"/>
      <w:szCs w:val="24"/>
      <w:lang w:val="en-GB" w:eastAsia="en-US" w:bidi="fa-IR"/>
    </w:rPr>
  </w:style>
  <w:style w:type="character" w:customStyle="1" w:styleId="Heading4Char">
    <w:name w:val="Heading 4 Char"/>
    <w:basedOn w:val="DefaultParagraphFont"/>
    <w:link w:val="Heading4"/>
    <w:rsid w:val="00D86CF3"/>
    <w:rPr>
      <w:rFonts w:ascii="Times New Roman" w:hAnsi="Times New Roman"/>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R15-WRC15-C-0061!A23-A1-A2!MSW-E</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4C2F2917-F60D-4294-A384-A3E4FC98D8E3}">
  <ds:schemaRefs>
    <ds:schemaRef ds:uri="http://purl.org/dc/elements/1.1/"/>
    <ds:schemaRef ds:uri="http://purl.org/dc/terms/"/>
    <ds:schemaRef ds:uri="http://schemas.microsoft.com/office/infopath/2007/PartnerControls"/>
    <ds:schemaRef ds:uri="http://purl.org/dc/dcmitype/"/>
    <ds:schemaRef ds:uri="http://schemas.microsoft.com/office/2006/metadata/properties"/>
    <ds:schemaRef ds:uri="http://schemas.microsoft.com/office/2006/documentManagement/types"/>
    <ds:schemaRef ds:uri="996b2e75-67fd-4955-a3b0-5ab9934cb50b"/>
    <ds:schemaRef ds:uri="http://schemas.openxmlformats.org/package/2006/metadata/core-properties"/>
    <ds:schemaRef ds:uri="32a1a8c5-2265-4ebc-b7a0-2071e2c5c9bb"/>
    <ds:schemaRef ds:uri="http://www.w3.org/XML/1998/namespace"/>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590780-F92B-4B68-9E74-3E5C41E6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5</TotalTime>
  <Pages>2</Pages>
  <Words>726</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R15-WRC15-C-0061!A23-A1-A2!MSW-E</vt:lpstr>
    </vt:vector>
  </TitlesOfParts>
  <Manager>General Secretariat - Pool</Manager>
  <Company>International Telecommunication Union (ITU)</Company>
  <LinksUpToDate>false</LinksUpToDate>
  <CharactersWithSpaces>4595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R15-WRC15-C-0061!A23-A1-A2!MSW-E</dc:title>
  <dc:subject>World Radiocommunication Conference - 2015</dc:subject>
  <dc:creator>Documents Proposals Manager (DPM)</dc:creator>
  <cp:keywords>DPM_v5.2015.10.15_prod</cp:keywords>
  <dc:description>Uploaded on 2015.07.06</dc:description>
  <cp:lastModifiedBy>Turnbull, Karen</cp:lastModifiedBy>
  <cp:revision>5</cp:revision>
  <cp:lastPrinted>2014-02-10T09:49:00Z</cp:lastPrinted>
  <dcterms:created xsi:type="dcterms:W3CDTF">2015-10-18T14:23:00Z</dcterms:created>
  <dcterms:modified xsi:type="dcterms:W3CDTF">2015-10-18T14:28:00Z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