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573"/>
        <w:gridCol w:w="303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AD706D" w:rsidRDefault="00E165ED" w:rsidP="003E1608">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40650" w:rsidRDefault="003E1608" w:rsidP="00140650">
            <w:pPr>
              <w:pStyle w:val="Adress"/>
              <w:framePr w:hSpace="0" w:wrap="auto" w:xAlign="left" w:yAlign="inline"/>
              <w:rPr>
                <w:rFonts w:ascii="Verdana" w:hAnsi="Verdana"/>
                <w:rtl/>
              </w:rPr>
            </w:pPr>
            <w:r w:rsidRPr="00140650">
              <w:rPr>
                <w:rFonts w:ascii="Verdana" w:hAnsi="Verdana"/>
                <w:rtl/>
              </w:rPr>
              <w:t xml:space="preserve">الإضافة </w:t>
            </w:r>
            <w:r w:rsidRPr="00140650">
              <w:rPr>
                <w:rFonts w:ascii="Verdana" w:hAnsi="Verdana"/>
              </w:rPr>
              <w:t>9</w:t>
            </w:r>
            <w:r w:rsidRPr="00140650">
              <w:rPr>
                <w:rFonts w:ascii="Verdana" w:hAnsi="Verdana"/>
              </w:rPr>
              <w:br/>
            </w:r>
            <w:r w:rsidRPr="00140650">
              <w:rPr>
                <w:rFonts w:ascii="Verdana" w:hAnsi="Verdana"/>
                <w:rtl/>
              </w:rPr>
              <w:t xml:space="preserve">للوثيقة </w:t>
            </w:r>
            <w:r w:rsidRPr="00140650">
              <w:rPr>
                <w:rFonts w:ascii="Verdana" w:hAnsi="Verdana"/>
              </w:rPr>
              <w:t>61(Add.21)-</w:t>
            </w:r>
            <w:r w:rsidR="00140650">
              <w:rPr>
                <w:rFonts w:ascii="Verdana" w:hAnsi="Verdana"/>
              </w:rPr>
              <w:t>A</w:t>
            </w:r>
          </w:p>
        </w:tc>
      </w:tr>
      <w:tr w:rsidR="00764079" w:rsidTr="003E1608">
        <w:trPr>
          <w:cantSplit/>
        </w:trPr>
        <w:tc>
          <w:tcPr>
            <w:tcW w:w="6619" w:type="dxa"/>
            <w:shd w:val="clear" w:color="auto" w:fill="auto"/>
          </w:tcPr>
          <w:p w:rsidR="00764079" w:rsidRPr="00BD6EF3" w:rsidRDefault="00764079" w:rsidP="00D44350">
            <w:pPr>
              <w:pStyle w:val="Adress"/>
              <w:framePr w:hSpace="0" w:wrap="auto" w:xAlign="left" w:yAlign="inline"/>
              <w:rPr>
                <w:rtl/>
              </w:rPr>
            </w:pPr>
          </w:p>
        </w:tc>
        <w:tc>
          <w:tcPr>
            <w:tcW w:w="3053" w:type="dxa"/>
            <w:shd w:val="clear" w:color="auto" w:fill="auto"/>
            <w:vAlign w:val="center"/>
          </w:tcPr>
          <w:p w:rsidR="00764079" w:rsidRPr="00140650" w:rsidRDefault="00764079" w:rsidP="00D44350">
            <w:pPr>
              <w:pStyle w:val="Adress"/>
              <w:framePr w:hSpace="0" w:wrap="auto" w:xAlign="left" w:yAlign="inline"/>
              <w:rPr>
                <w:rFonts w:ascii="Verdana" w:hAnsi="Verdana"/>
                <w:rtl/>
              </w:rPr>
            </w:pPr>
            <w:r w:rsidRPr="00140650">
              <w:rPr>
                <w:rFonts w:ascii="Verdana" w:eastAsia="SimSun" w:hAnsi="Verdana"/>
              </w:rPr>
              <w:t>14</w:t>
            </w:r>
            <w:r w:rsidRPr="00140650">
              <w:rPr>
                <w:rFonts w:ascii="Verdana" w:eastAsia="SimSun" w:hAnsi="Verdana"/>
                <w:rtl/>
              </w:rPr>
              <w:t xml:space="preserve"> أكتوبر </w:t>
            </w:r>
            <w:r w:rsidRPr="00140650">
              <w:rPr>
                <w:rFonts w:ascii="Verdana" w:eastAsia="SimSun" w:hAnsi="Verdana"/>
              </w:rPr>
              <w:t>2015</w:t>
            </w:r>
          </w:p>
        </w:tc>
      </w:tr>
      <w:tr w:rsidR="00764079" w:rsidTr="003E1608">
        <w:trPr>
          <w:cantSplit/>
        </w:trPr>
        <w:tc>
          <w:tcPr>
            <w:tcW w:w="6619" w:type="dxa"/>
          </w:tcPr>
          <w:p w:rsidR="00764079" w:rsidRPr="00BD6EF3" w:rsidRDefault="00764079" w:rsidP="00D44350">
            <w:pPr>
              <w:pStyle w:val="Adress"/>
              <w:framePr w:hSpace="0" w:wrap="auto" w:xAlign="left" w:yAlign="inline"/>
              <w:rPr>
                <w:rFonts w:eastAsia="SimSun" w:hint="eastAsia"/>
                <w:rtl/>
              </w:rPr>
            </w:pPr>
          </w:p>
        </w:tc>
        <w:tc>
          <w:tcPr>
            <w:tcW w:w="3053" w:type="dxa"/>
            <w:vAlign w:val="center"/>
          </w:tcPr>
          <w:p w:rsidR="00764079" w:rsidRPr="00140650" w:rsidRDefault="00764079" w:rsidP="00D44350">
            <w:pPr>
              <w:pStyle w:val="Adress"/>
              <w:framePr w:hSpace="0" w:wrap="auto" w:xAlign="left" w:yAlign="inline"/>
              <w:rPr>
                <w:rFonts w:ascii="Verdana" w:eastAsia="SimSun" w:hAnsi="Verdana"/>
              </w:rPr>
            </w:pPr>
            <w:r w:rsidRPr="00140650">
              <w:rPr>
                <w:rFonts w:ascii="Verdana" w:eastAsia="SimSun" w:hAnsi="Verdana"/>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140650" w:rsidP="00D44350">
            <w:pPr>
              <w:pStyle w:val="Title1"/>
              <w:spacing w:before="240"/>
              <w:rPr>
                <w:rtl/>
              </w:rPr>
            </w:pPr>
            <w:r>
              <w:rPr>
                <w:rFonts w:hint="cs"/>
                <w:rtl/>
              </w:rPr>
              <w:t xml:space="preserve">مقترحات بشأن أعمال </w:t>
            </w:r>
            <w:r w:rsidR="005B7E3E">
              <w:rPr>
                <w:rFonts w:hint="cs"/>
                <w:rtl/>
              </w:rPr>
              <w:t>ال</w:t>
            </w:r>
            <w:r w:rsidR="00A035E6">
              <w:rPr>
                <w:rFonts w:hint="cs"/>
                <w:rtl/>
              </w:rPr>
              <w:t>‍</w:t>
            </w:r>
            <w:r w:rsidR="005B7E3E">
              <w:rPr>
                <w:rFonts w:hint="cs"/>
                <w:rtl/>
              </w:rPr>
              <w:t>مؤت</w:t>
            </w:r>
            <w:r w:rsidR="00A035E6">
              <w:rPr>
                <w:rFonts w:hint="cs"/>
                <w:rtl/>
              </w:rPr>
              <w:t>‍</w:t>
            </w:r>
            <w:r w:rsidR="005B7E3E">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0D1F1E">
            <w:pPr>
              <w:pStyle w:val="Agendaitem"/>
              <w:spacing w:before="240" w:line="192" w:lineRule="auto"/>
            </w:pPr>
            <w:r w:rsidRPr="008204AC">
              <w:rPr>
                <w:rtl/>
              </w:rPr>
              <w:t>البنـد</w:t>
            </w:r>
            <w:r w:rsidR="000D1F1E">
              <w:rPr>
                <w:rFonts w:hint="cs"/>
                <w:rtl/>
              </w:rPr>
              <w:t> </w:t>
            </w:r>
            <w:r w:rsidR="00140650">
              <w:rPr>
                <w:lang w:val="en-US"/>
              </w:rPr>
              <w:t>(I)7</w:t>
            </w:r>
            <w:r w:rsidR="00140650">
              <w:rPr>
                <w:rFonts w:hint="cs"/>
                <w:rtl/>
              </w:rPr>
              <w:t xml:space="preserve"> </w:t>
            </w:r>
            <w:r w:rsidRPr="008204AC">
              <w:rPr>
                <w:rtl/>
              </w:rPr>
              <w:t>من جدول الأعمال</w:t>
            </w:r>
          </w:p>
        </w:tc>
      </w:tr>
    </w:tbl>
    <w:p w:rsidR="001D597A" w:rsidRPr="00431196" w:rsidRDefault="000D1F1E" w:rsidP="000D1F1E">
      <w:pPr>
        <w:pStyle w:val="Normalaftertitle"/>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9C5C15">
        <w:rPr>
          <w:rFonts w:eastAsia="SimSun" w:hint="cs"/>
          <w:rtl/>
        </w:rPr>
        <w:t>َ</w:t>
      </w:r>
      <w:bookmarkStart w:id="1" w:name="_GoBack"/>
      <w:bookmarkEnd w:id="1"/>
      <w:r w:rsidRPr="00431196">
        <w:rPr>
          <w:rFonts w:eastAsia="SimSun" w:hint="cs"/>
          <w:rtl/>
        </w:rPr>
        <w:t xml:space="preserve">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9C5C15">
        <w:rPr>
          <w:rFonts w:eastAsia="SimSun" w:hint="cs"/>
          <w:rtl/>
          <w:lang w:bidi="ar-EG"/>
        </w:rPr>
        <w:t>ّ</w:t>
      </w:r>
      <w:r w:rsidRPr="00431196">
        <w:rPr>
          <w:rFonts w:eastAsia="SimSun" w:hint="cs"/>
          <w:rtl/>
        </w:rPr>
        <w:t>ال والاقتصادي للترددات الراديوية وأي مدارات مرتبطة بها، بما</w:t>
      </w:r>
      <w:r>
        <w:rPr>
          <w:rFonts w:eastAsia="SimSun" w:hint="eastAsia"/>
          <w:rtl/>
        </w:rPr>
        <w:t> </w:t>
      </w:r>
      <w:r w:rsidRPr="00431196">
        <w:rPr>
          <w:rFonts w:eastAsia="SimSun" w:hint="cs"/>
          <w:rtl/>
        </w:rPr>
        <w:t>فيها مدار السواتل المستقرة بالنسبة إلى الأرض؛</w:t>
      </w:r>
    </w:p>
    <w:p w:rsidR="001D597A" w:rsidRPr="00431196" w:rsidRDefault="000D1F1E" w:rsidP="00C2775E">
      <w:pPr>
        <w:rPr>
          <w:rFonts w:eastAsia="SimSun"/>
        </w:rPr>
      </w:pPr>
      <w:r w:rsidRPr="00431196">
        <w:rPr>
          <w:rFonts w:eastAsia="SimSun"/>
        </w:rPr>
        <w:t>(I)7</w:t>
      </w:r>
      <w:r w:rsidRPr="00431196">
        <w:rPr>
          <w:rFonts w:eastAsia="SimSun"/>
        </w:rPr>
        <w:tab/>
      </w:r>
      <w:r w:rsidRPr="00431196">
        <w:rPr>
          <w:rFonts w:eastAsia="SimSun" w:hint="cs"/>
          <w:rtl/>
        </w:rPr>
        <w:t xml:space="preserve">المسألة </w:t>
      </w:r>
      <w:r w:rsidRPr="00431196">
        <w:rPr>
          <w:rFonts w:eastAsia="SimSun"/>
        </w:rPr>
        <w:t>I</w:t>
      </w:r>
      <w:r w:rsidRPr="00431196">
        <w:rPr>
          <w:rFonts w:eastAsia="SimSun" w:hint="cs"/>
          <w:rtl/>
        </w:rPr>
        <w:t xml:space="preserve"> - أسلوب ممكن للتخفيف من وطأة مسألة العدد المفرط لبطاقات التبليغ عن الشبكات الساتلية</w:t>
      </w:r>
    </w:p>
    <w:p w:rsidR="00F16602" w:rsidRDefault="003238F8" w:rsidP="00140650">
      <w:pPr>
        <w:pStyle w:val="Headingb"/>
        <w:rPr>
          <w:rtl/>
        </w:rPr>
      </w:pPr>
      <w:r>
        <w:rPr>
          <w:rFonts w:hint="cs"/>
          <w:rtl/>
        </w:rPr>
        <w:t>مقدمة</w:t>
      </w:r>
    </w:p>
    <w:p w:rsidR="008851C1" w:rsidRPr="000A6E28" w:rsidRDefault="008851C1" w:rsidP="000D1F1E">
      <w:pPr>
        <w:rPr>
          <w:rtl/>
        </w:rPr>
      </w:pPr>
      <w:r>
        <w:rPr>
          <w:rFonts w:hint="cs"/>
          <w:rtl/>
        </w:rPr>
        <w:t xml:space="preserve">عزز المؤتمر </w:t>
      </w:r>
      <w:r>
        <w:t>WRC-</w:t>
      </w:r>
      <w:r w:rsidRPr="008546D4">
        <w:t>12</w:t>
      </w:r>
      <w:r>
        <w:rPr>
          <w:rFonts w:hint="cs"/>
          <w:rtl/>
        </w:rPr>
        <w:t xml:space="preserve"> ومؤتمرات سابقة بشكل ملحوظ الإطار التنظيمي الحالي التي ينظم النفاذ إلى هذه الموارد الطبيعية. وعند دراسة هذه المسألة، استُرعي انتباه قطاع الاتصالات الراديوية إلى إلغاء أجزاء كبيرة من بطاقات التبليغ عن الشبكات الساتلية في مراحل النشر المسبق والتنسيق قبل انتهاء المهلة الزمنية التنظيمية البالغة </w:t>
      </w:r>
      <w:r w:rsidRPr="008546D4">
        <w:t>7</w:t>
      </w:r>
      <w:r>
        <w:rPr>
          <w:rFonts w:hint="cs"/>
          <w:rtl/>
        </w:rPr>
        <w:t xml:space="preserve"> سنوات. وإدراكاً لحالات عدم اليقين لتنسيق تخصيصات التردد في مواقع مدارية بعينها في الوقت المناسب، تقوم إدارات مبلِّغة عادة</w:t>
      </w:r>
      <w:r w:rsidR="006A2E11">
        <w:rPr>
          <w:rFonts w:hint="cs"/>
          <w:rtl/>
        </w:rPr>
        <w:t>ً</w:t>
      </w:r>
      <w:r>
        <w:rPr>
          <w:rFonts w:hint="cs"/>
          <w:rtl/>
        </w:rPr>
        <w:t xml:space="preserve"> بتقديم بطاقات تبليغ مختلفة عن الشبكات لمراعاة حالات</w:t>
      </w:r>
      <w:r w:rsidRPr="00215512">
        <w:rPr>
          <w:rFonts w:hint="cs"/>
          <w:rtl/>
        </w:rPr>
        <w:t xml:space="preserve"> </w:t>
      </w:r>
      <w:r>
        <w:rPr>
          <w:rFonts w:hint="cs"/>
          <w:rtl/>
        </w:rPr>
        <w:t>عدم اليقين هذه وضمان توفر هذه الموارد الشحيحة. ومن جهة أخرى، يُحتفظ ببعض بطاقات التبليغ هذه في مرحلة التنسيق دون وضعها في الخدمة بدلاً من إلغائها. وهكذا، يمكن أن يؤدي ذلك إلى زيادة متطلبات التنسيق وتعقيده بالنسبة للشبكات المبل</w:t>
      </w:r>
      <w:r w:rsidR="006A2E11">
        <w:rPr>
          <w:rFonts w:hint="cs"/>
          <w:rtl/>
        </w:rPr>
        <w:t>ّ</w:t>
      </w:r>
      <w:r>
        <w:rPr>
          <w:rFonts w:hint="cs"/>
          <w:rtl/>
        </w:rPr>
        <w:t xml:space="preserve">غ عنها فيما بعد. ونتيجة لذلك، قد تبدو بطاقات التبليغ هذه زائدة عن احتياجات الإدارة المبلِّغة، بينما قد لا توضع بعض هذه التبليغات في الخدمة </w:t>
      </w:r>
      <w:r w:rsidRPr="000A6E28">
        <w:rPr>
          <w:rFonts w:hint="cs"/>
          <w:rtl/>
        </w:rPr>
        <w:t xml:space="preserve">لأسباب أخرى. </w:t>
      </w:r>
      <w:r w:rsidRPr="000A6E28">
        <w:rPr>
          <w:rtl/>
          <w:lang w:bidi="ar"/>
        </w:rPr>
        <w:t>و</w:t>
      </w:r>
      <w:r w:rsidRPr="000A6E28">
        <w:rPr>
          <w:rtl/>
          <w:lang w:bidi="ar-EG"/>
        </w:rPr>
        <w:t xml:space="preserve">لا يكمن </w:t>
      </w:r>
      <w:r w:rsidRPr="000A6E28">
        <w:rPr>
          <w:rtl/>
          <w:lang w:bidi="ar"/>
        </w:rPr>
        <w:t>مجال المشكلة المفترض الذي تستهدفه المسألة</w:t>
      </w:r>
      <w:r w:rsidRPr="000A6E28">
        <w:rPr>
          <w:rFonts w:hint="eastAsia"/>
          <w:rtl/>
          <w:lang w:bidi="ar"/>
        </w:rPr>
        <w:t> </w:t>
      </w:r>
      <w:r w:rsidRPr="000A6E28">
        <w:rPr>
          <w:lang w:bidi="ar-SY"/>
        </w:rPr>
        <w:t>I</w:t>
      </w:r>
      <w:r w:rsidRPr="000A6E28">
        <w:rPr>
          <w:rtl/>
          <w:lang w:bidi="ar-EG"/>
        </w:rPr>
        <w:t xml:space="preserve"> في</w:t>
      </w:r>
      <w:r w:rsidR="000D1F1E">
        <w:rPr>
          <w:rFonts w:hint="cs"/>
          <w:rtl/>
          <w:lang w:bidi="ar-EG"/>
        </w:rPr>
        <w:t> </w:t>
      </w:r>
      <w:r w:rsidRPr="000A6E28">
        <w:rPr>
          <w:rtl/>
          <w:lang w:bidi="ar-EG"/>
        </w:rPr>
        <w:t xml:space="preserve">صحة </w:t>
      </w:r>
      <w:r w:rsidRPr="000A6E28">
        <w:rPr>
          <w:rtl/>
          <w:lang w:bidi="ar"/>
        </w:rPr>
        <w:t>تطبيق الإدارات ل</w:t>
      </w:r>
      <w:r w:rsidRPr="000A6E28">
        <w:rPr>
          <w:rtl/>
          <w:lang w:bidi="ar-EG"/>
        </w:rPr>
        <w:t>لوائح الراديو</w:t>
      </w:r>
      <w:r w:rsidRPr="000A6E28">
        <w:rPr>
          <w:rtl/>
          <w:lang w:bidi="ar"/>
        </w:rPr>
        <w:t xml:space="preserve">، بل في إعراض إدارات ذات بطاقات تبليغ مدرجة في العملية عن إلغاء تخصيصات ترددية لن تُستخدم قبل نهاية العمر التنظيمي الممتد لسبع سنوات. إلا أن لوائح الراديو </w:t>
      </w:r>
      <w:r w:rsidRPr="000A6E28">
        <w:rPr>
          <w:rFonts w:hint="cs"/>
          <w:rtl/>
          <w:lang w:bidi="ar"/>
        </w:rPr>
        <w:t xml:space="preserve">لا تنص على </w:t>
      </w:r>
      <w:r w:rsidRPr="000A6E28">
        <w:rPr>
          <w:rFonts w:hint="cs"/>
          <w:rtl/>
          <w:lang w:bidi="ar"/>
        </w:rPr>
        <w:lastRenderedPageBreak/>
        <w:t>م</w:t>
      </w:r>
      <w:r w:rsidRPr="000A6E28">
        <w:rPr>
          <w:rtl/>
          <w:lang w:bidi="ar"/>
        </w:rPr>
        <w:t>تطلب الإلغاء المبكر لبطاقة تبليغ، رغم أن ذلك قد ينسجم مع المبادئ التوجيهية للاتحاد الدولي للاتصالات في الدستور والاتفاقية وقرارات متعددة بشأن كفاءة استخدام موارد الطيف.</w:t>
      </w:r>
    </w:p>
    <w:p w:rsidR="008851C1" w:rsidRDefault="008851C1" w:rsidP="000D1F1E">
      <w:pPr>
        <w:rPr>
          <w:rtl/>
        </w:rPr>
      </w:pPr>
      <w:r w:rsidRPr="000A6E28">
        <w:rPr>
          <w:rFonts w:hint="cs"/>
          <w:rtl/>
        </w:rPr>
        <w:t xml:space="preserve">وعولجت مختلف أشكال الإفراط في عدد بطاقات التبليغ. ويتمثل أحد هذه الأشكال في تقديم العديد من معلومات النشر المسبق يليه نشر مسبق إضافي كل </w:t>
      </w:r>
      <w:r w:rsidRPr="000A6E28">
        <w:t>18</w:t>
      </w:r>
      <w:r w:rsidRPr="000A6E28">
        <w:rPr>
          <w:rFonts w:hint="cs"/>
          <w:rtl/>
        </w:rPr>
        <w:t xml:space="preserve"> شهراً، مما يتسبب في حالات عدم اليقين فيما يخص بطاقات التبليغ المقدمة فيما بعد. ويتمثل الشكل الثاني في تقديم بطاقات تبليغ متعددة لطلب التنسيق في بعض الحالات، لكل درجة إلى </w:t>
      </w:r>
      <w:r w:rsidRPr="000A6E28">
        <w:t>3</w:t>
      </w:r>
      <w:r w:rsidRPr="000A6E28">
        <w:rPr>
          <w:rFonts w:hint="cs"/>
          <w:rtl/>
        </w:rPr>
        <w:t xml:space="preserve"> درجات في بعض أجزاء القوس في نطاق التردد نفسه مما يؤدي إلى</w:t>
      </w:r>
      <w:r w:rsidR="000D1F1E">
        <w:rPr>
          <w:rFonts w:hint="eastAsia"/>
          <w:rtl/>
        </w:rPr>
        <w:t> </w:t>
      </w:r>
      <w:r w:rsidRPr="000A6E28">
        <w:t>7</w:t>
      </w:r>
      <w:r w:rsidRPr="000A6E28">
        <w:rPr>
          <w:rFonts w:hint="cs"/>
          <w:rtl/>
        </w:rPr>
        <w:t xml:space="preserve"> سنوات من عدم اليقين بالنسبة لبطاقات التبليغ المقدمة فيما بعد. ويُلغى</w:t>
      </w:r>
      <w:r w:rsidR="000D1F1E">
        <w:rPr>
          <w:rFonts w:hint="eastAsia"/>
          <w:rtl/>
        </w:rPr>
        <w:t> </w:t>
      </w:r>
      <w:r w:rsidRPr="000A6E28">
        <w:rPr>
          <w:rFonts w:hint="cs"/>
          <w:rtl/>
        </w:rPr>
        <w:t>عدد ملحوظ من بطاقات التبليغ هذه بعد انقضاء المهلة الزمنية التنظيمية البالغة سبع سنوات. وينتج عن ذلك عدد كبير من</w:t>
      </w:r>
      <w:r w:rsidR="000D1F1E">
        <w:rPr>
          <w:rFonts w:hint="eastAsia"/>
          <w:rtl/>
        </w:rPr>
        <w:t> </w:t>
      </w:r>
      <w:r w:rsidRPr="000A6E28">
        <w:rPr>
          <w:rFonts w:hint="cs"/>
          <w:rtl/>
        </w:rPr>
        <w:t>بطاقات التبليغ عن الشبكات التي قد لا توضع في الخدمة، أضف إلى ذلك حالات التعقيد</w:t>
      </w:r>
      <w:r>
        <w:rPr>
          <w:rFonts w:hint="cs"/>
          <w:rtl/>
        </w:rPr>
        <w:t xml:space="preserve"> في عملية تنسيق التردد مما</w:t>
      </w:r>
      <w:r w:rsidR="000D1F1E">
        <w:rPr>
          <w:rFonts w:hint="eastAsia"/>
          <w:rtl/>
        </w:rPr>
        <w:t> </w:t>
      </w:r>
      <w:r>
        <w:rPr>
          <w:rFonts w:hint="cs"/>
          <w:rtl/>
        </w:rPr>
        <w:t>يؤدي إلى عدم الكفاءة في استعمال طيف التردد الراديوي والموارد المدارية.</w:t>
      </w:r>
    </w:p>
    <w:p w:rsidR="008851C1" w:rsidRDefault="008851C1" w:rsidP="006A2E11">
      <w:pPr>
        <w:rPr>
          <w:rtl/>
        </w:rPr>
      </w:pPr>
      <w:r>
        <w:rPr>
          <w:rFonts w:hint="cs"/>
          <w:rtl/>
        </w:rPr>
        <w:t>إن أحد الأسباب الأولية للإدارات التي تقدم بشكل دوري طلبات متعددة لمعلومات النشر المسبق عند كل درجتين أو</w:t>
      </w:r>
      <w:r w:rsidR="000D1F1E">
        <w:rPr>
          <w:rFonts w:hint="eastAsia"/>
          <w:rtl/>
        </w:rPr>
        <w:t> </w:t>
      </w:r>
      <w:r w:rsidRPr="008546D4">
        <w:t>3</w:t>
      </w:r>
      <w:r>
        <w:rPr>
          <w:rFonts w:hint="cs"/>
          <w:rtl/>
        </w:rPr>
        <w:t xml:space="preserve"> درجات حول المدار المستقر بالنسبة إلى الأرض هو تحديداً التقليل من أثر مهلة الستة أشهر بين استلام المكتب لمعلومات النشر المسبق وطلب التنسيق</w:t>
      </w:r>
      <w:r w:rsidR="000D1F1E">
        <w:rPr>
          <w:rFonts w:hint="eastAsia"/>
          <w:rtl/>
        </w:rPr>
        <w:t> </w:t>
      </w:r>
      <w:r>
        <w:t>CR/C</w:t>
      </w:r>
      <w:r>
        <w:rPr>
          <w:rFonts w:hint="cs"/>
          <w:rtl/>
        </w:rPr>
        <w:t xml:space="preserve"> والحصول على تاريخ استلام واضح بأسرع ما يمكن. وقد يعتبر التقديم اللاحق للطلبات</w:t>
      </w:r>
      <w:r w:rsidR="000D1F1E">
        <w:rPr>
          <w:rFonts w:hint="eastAsia"/>
          <w:rtl/>
        </w:rPr>
        <w:t> </w:t>
      </w:r>
      <w:r>
        <w:t>CR/C</w:t>
      </w:r>
      <w:r>
        <w:rPr>
          <w:rFonts w:hint="cs"/>
          <w:rtl/>
        </w:rPr>
        <w:t xml:space="preserve"> المتعددة المرتبطة بطلبات معلومات النشر المسبق المتعددة أنه يتيح بعض المرونة ويقلل من حالات عدم اليقين المرتبطة بعملية التنسيق. ومن جهة أخرى، يمكن</w:t>
      </w:r>
      <w:r w:rsidRPr="00FA3F35">
        <w:rPr>
          <w:rFonts w:hint="cs"/>
          <w:rtl/>
        </w:rPr>
        <w:t xml:space="preserve"> </w:t>
      </w:r>
      <w:r>
        <w:rPr>
          <w:rFonts w:hint="cs"/>
          <w:rtl/>
        </w:rPr>
        <w:t>أن يكون لطلبات التنسيق المتعددة أثر شديد على الشبكات المبلغ عنها فيما</w:t>
      </w:r>
      <w:r w:rsidR="006A2E11">
        <w:rPr>
          <w:rFonts w:hint="eastAsia"/>
          <w:rtl/>
        </w:rPr>
        <w:t> </w:t>
      </w:r>
      <w:r>
        <w:rPr>
          <w:rFonts w:hint="cs"/>
          <w:rtl/>
        </w:rPr>
        <w:t>بعد التي تكون مطلوبة لإجراء التنسيق مع قائمة واسعة من الشبكات التي من المرجح أن تُلغى في نهاية موعدها النهائي التنظيمي، الذي يصل في بعض الحالات إلى</w:t>
      </w:r>
      <w:r>
        <w:rPr>
          <w:rFonts w:hint="eastAsia"/>
          <w:rtl/>
        </w:rPr>
        <w:t> </w:t>
      </w:r>
      <w:r>
        <w:t>%</w:t>
      </w:r>
      <w:r w:rsidRPr="008546D4">
        <w:t>70</w:t>
      </w:r>
      <w:r>
        <w:rPr>
          <w:rFonts w:hint="cs"/>
          <w:rtl/>
        </w:rPr>
        <w:t xml:space="preserve"> من قائمة متطلبات التنسيق للشبكة الواردة في وقت لاحق، ويؤدي هذا الأمر إلى زيادة التعقيدات والصعوبات في عملية التنسيق وينتج عنه زيادة في حالات عدم اليقين لتنسيق هذه الشبكات في الوقت المناسب.</w:t>
      </w:r>
    </w:p>
    <w:p w:rsidR="008851C1" w:rsidRDefault="008851C1" w:rsidP="000D1F1E">
      <w:pPr>
        <w:rPr>
          <w:rtl/>
          <w:lang w:bidi="ar"/>
        </w:rPr>
      </w:pPr>
      <w:r w:rsidRPr="00422CDB">
        <w:rPr>
          <w:rFonts w:hint="cs"/>
          <w:rtl/>
          <w:lang w:bidi="ar"/>
        </w:rPr>
        <w:t>و</w:t>
      </w:r>
      <w:r w:rsidRPr="00422CDB">
        <w:rPr>
          <w:rtl/>
          <w:lang w:bidi="ar"/>
        </w:rPr>
        <w:t xml:space="preserve">ما أن تقدم إدارة ما بيانات القسم الخاص </w:t>
      </w:r>
      <w:r w:rsidRPr="00422CDB">
        <w:rPr>
          <w:rtl/>
          <w:lang w:bidi="ar-EG"/>
        </w:rPr>
        <w:t>لطلبات التنسيق</w:t>
      </w:r>
      <w:r w:rsidRPr="00422CDB">
        <w:rPr>
          <w:rtl/>
          <w:lang w:bidi="ar"/>
        </w:rPr>
        <w:t xml:space="preserve"> وتدفع رسوم استرداد التكاليف المرتبطة بمعالجة القسم الخاص </w:t>
      </w:r>
      <w:r w:rsidRPr="00422CDB">
        <w:rPr>
          <w:rtl/>
          <w:lang w:bidi="ar-EG"/>
        </w:rPr>
        <w:t>لطلبات التنسيق</w:t>
      </w:r>
      <w:r w:rsidRPr="00422CDB">
        <w:rPr>
          <w:rFonts w:hint="cs"/>
          <w:rtl/>
          <w:lang w:bidi="ar"/>
        </w:rPr>
        <w:t>،</w:t>
      </w:r>
      <w:r w:rsidRPr="00422CDB">
        <w:rPr>
          <w:rtl/>
          <w:lang w:bidi="ar"/>
        </w:rPr>
        <w:t xml:space="preserve"> لا يوجد حافز مالي كي تلغي الإدارة بطاقة تبليغ، </w:t>
      </w:r>
      <w:r w:rsidRPr="00422CDB">
        <w:rPr>
          <w:rFonts w:hint="cs"/>
          <w:rtl/>
          <w:lang w:bidi="ar"/>
        </w:rPr>
        <w:t xml:space="preserve">بل وحتى </w:t>
      </w:r>
      <w:r w:rsidRPr="00422CDB">
        <w:rPr>
          <w:rtl/>
          <w:lang w:bidi="ar"/>
        </w:rPr>
        <w:t>تلك البطاقات التي لا يُعتزم استخدامها. ومن</w:t>
      </w:r>
      <w:r w:rsidR="000D1F1E">
        <w:rPr>
          <w:rFonts w:hint="cs"/>
          <w:rtl/>
          <w:lang w:bidi="ar"/>
        </w:rPr>
        <w:t> </w:t>
      </w:r>
      <w:r w:rsidRPr="00422CDB">
        <w:rPr>
          <w:rtl/>
          <w:lang w:bidi="ar"/>
        </w:rPr>
        <w:t xml:space="preserve">ناحية أخرى، فإن الاحتفاظ ببطاقة التبليغ حتى نهاية فترة السبع سنوات يمكِّن الإدارة من الاستفادة من بطاقة التبليغ القائمة عن شبكة ساتلية، إذا حصل تغيير في معمارية الشبكة </w:t>
      </w:r>
      <w:r w:rsidRPr="00422CDB">
        <w:rPr>
          <w:rFonts w:hint="cs"/>
          <w:rtl/>
          <w:lang w:bidi="ar"/>
        </w:rPr>
        <w:t>ال</w:t>
      </w:r>
      <w:r w:rsidRPr="00422CDB">
        <w:rPr>
          <w:rtl/>
          <w:lang w:bidi="ar"/>
        </w:rPr>
        <w:t xml:space="preserve">ساتلية أو استجدت متطلبات أعمال بعد تقديم بيانات القسم الخاص </w:t>
      </w:r>
      <w:r w:rsidRPr="00422CDB">
        <w:rPr>
          <w:rtl/>
          <w:lang w:bidi="ar-EG"/>
        </w:rPr>
        <w:t>لطلبات التنسيق</w:t>
      </w:r>
      <w:r w:rsidRPr="00422CDB">
        <w:rPr>
          <w:rtl/>
          <w:lang w:bidi="ar"/>
        </w:rPr>
        <w:t xml:space="preserve">. </w:t>
      </w:r>
      <w:r w:rsidRPr="00422CDB">
        <w:rPr>
          <w:rFonts w:hint="cs"/>
          <w:rtl/>
          <w:lang w:bidi="ar"/>
        </w:rPr>
        <w:t>وقد أعربت الإدارات</w:t>
      </w:r>
      <w:r w:rsidR="000D1F1E">
        <w:rPr>
          <w:rFonts w:hint="cs"/>
          <w:rtl/>
          <w:lang w:bidi="ar"/>
        </w:rPr>
        <w:t> </w:t>
      </w:r>
      <w:r w:rsidRPr="00422CDB">
        <w:rPr>
          <w:rtl/>
          <w:lang w:bidi="ar"/>
        </w:rPr>
        <w:t xml:space="preserve">التي تعوزها الموارد المتاحة للبلدان الأخرى الأكبر والأطول باعاً في ارتياد الفضاء، </w:t>
      </w:r>
      <w:r w:rsidRPr="00422CDB">
        <w:rPr>
          <w:rFonts w:hint="cs"/>
          <w:rtl/>
          <w:lang w:bidi="ar"/>
        </w:rPr>
        <w:t>عن</w:t>
      </w:r>
      <w:r w:rsidR="000D1F1E">
        <w:rPr>
          <w:rFonts w:hint="eastAsia"/>
          <w:rtl/>
          <w:lang w:bidi="ar"/>
        </w:rPr>
        <w:t> </w:t>
      </w:r>
      <w:r w:rsidRPr="00422CDB">
        <w:rPr>
          <w:rFonts w:hint="cs"/>
          <w:rtl/>
          <w:lang w:bidi="ar"/>
        </w:rPr>
        <w:t xml:space="preserve">قلقها </w:t>
      </w:r>
      <w:r w:rsidRPr="00422CDB">
        <w:rPr>
          <w:rtl/>
          <w:lang w:bidi="ar"/>
        </w:rPr>
        <w:t>من العبء الإداري الحالي اللازم لإدارة بطاقة التبليغ</w:t>
      </w:r>
      <w:r w:rsidRPr="00422CDB">
        <w:rPr>
          <w:rFonts w:hint="cs"/>
          <w:rtl/>
          <w:lang w:bidi="ar"/>
        </w:rPr>
        <w:t>.</w:t>
      </w:r>
      <w:r w:rsidRPr="00422CDB">
        <w:rPr>
          <w:rtl/>
          <w:lang w:bidi="ar"/>
        </w:rPr>
        <w:t xml:space="preserve"> </w:t>
      </w:r>
      <w:r w:rsidRPr="00422CDB">
        <w:rPr>
          <w:rFonts w:hint="cs"/>
          <w:rtl/>
          <w:lang w:bidi="ar"/>
        </w:rPr>
        <w:t xml:space="preserve">ولئن كان </w:t>
      </w:r>
      <w:r w:rsidRPr="00422CDB">
        <w:rPr>
          <w:rtl/>
          <w:lang w:bidi="ar"/>
        </w:rPr>
        <w:t>إلغاء بطاقات التبليغ</w:t>
      </w:r>
      <w:r w:rsidRPr="00422CDB">
        <w:rPr>
          <w:rFonts w:hint="cs"/>
          <w:rtl/>
          <w:lang w:bidi="ar"/>
        </w:rPr>
        <w:t xml:space="preserve"> غير المرغوب فيها </w:t>
      </w:r>
      <w:r w:rsidRPr="00422CDB">
        <w:rPr>
          <w:rtl/>
          <w:lang w:bidi="ar"/>
        </w:rPr>
        <w:t>في</w:t>
      </w:r>
      <w:r w:rsidR="000D1F1E">
        <w:rPr>
          <w:rFonts w:hint="cs"/>
          <w:rtl/>
          <w:lang w:bidi="ar"/>
        </w:rPr>
        <w:t> </w:t>
      </w:r>
      <w:r w:rsidRPr="00422CDB">
        <w:rPr>
          <w:rtl/>
          <w:lang w:bidi="ar"/>
        </w:rPr>
        <w:t xml:space="preserve">القسم الخاص </w:t>
      </w:r>
      <w:r w:rsidRPr="00422CDB">
        <w:rPr>
          <w:rtl/>
          <w:lang w:bidi="ar-EG"/>
        </w:rPr>
        <w:t>لطلبات التنسيق</w:t>
      </w:r>
      <w:r w:rsidRPr="00422CDB">
        <w:rPr>
          <w:rFonts w:hint="cs"/>
          <w:rtl/>
          <w:lang w:bidi="ar"/>
        </w:rPr>
        <w:t xml:space="preserve"> يحقق أقصى كفاءة في استخدا</w:t>
      </w:r>
      <w:r w:rsidRPr="00422CDB">
        <w:rPr>
          <w:rtl/>
          <w:lang w:bidi="ar"/>
        </w:rPr>
        <w:t>م</w:t>
      </w:r>
      <w:r w:rsidRPr="00422CDB">
        <w:rPr>
          <w:rFonts w:hint="cs"/>
          <w:rtl/>
          <w:lang w:bidi="ar"/>
        </w:rPr>
        <w:t xml:space="preserve"> الطيف</w:t>
      </w:r>
      <w:r w:rsidRPr="00422CDB">
        <w:rPr>
          <w:rtl/>
          <w:lang w:bidi="ar"/>
        </w:rPr>
        <w:t xml:space="preserve">، </w:t>
      </w:r>
      <w:r w:rsidRPr="00422CDB">
        <w:rPr>
          <w:rFonts w:hint="cs"/>
          <w:rtl/>
          <w:lang w:bidi="ar"/>
        </w:rPr>
        <w:t xml:space="preserve">فإن </w:t>
      </w:r>
      <w:r w:rsidRPr="00422CDB">
        <w:rPr>
          <w:rtl/>
          <w:lang w:bidi="ar"/>
        </w:rPr>
        <w:t>الاحتفاظ ببطاقات التبليغ عن الشبكات الساتلية</w:t>
      </w:r>
      <w:r w:rsidRPr="00422CDB">
        <w:rPr>
          <w:rFonts w:hint="cs"/>
          <w:rtl/>
          <w:lang w:bidi="ar"/>
        </w:rPr>
        <w:t xml:space="preserve"> ينطوي</w:t>
      </w:r>
      <w:r w:rsidRPr="00422CDB">
        <w:rPr>
          <w:rtl/>
          <w:lang w:bidi="ar"/>
        </w:rPr>
        <w:t xml:space="preserve"> على مزايا مالية واستراتيجية قد تأخذها الإدارات بعين الاعتبار خلال الفترة التنظيمية الممتدة لسبع سنوات.</w:t>
      </w:r>
    </w:p>
    <w:p w:rsidR="008851C1" w:rsidRPr="00422CDB" w:rsidRDefault="003238F8" w:rsidP="008851C1">
      <w:pPr>
        <w:rPr>
          <w:rtl/>
          <w:lang w:bidi="ar-EG"/>
        </w:rPr>
      </w:pPr>
      <w:r>
        <w:rPr>
          <w:rFonts w:hint="cs"/>
          <w:rtl/>
          <w:lang w:bidi="ar"/>
        </w:rPr>
        <w:t xml:space="preserve">وفيما يتعلق بمعلومات النشر المسبق، فإن جمهورية إيران الإسلامية تدعم الأسلوب </w:t>
      </w:r>
      <w:r>
        <w:rPr>
          <w:lang w:bidi="ar"/>
        </w:rPr>
        <w:t>3.12</w:t>
      </w:r>
      <w:r>
        <w:rPr>
          <w:rFonts w:hint="cs"/>
          <w:rtl/>
          <w:lang w:bidi="ar-EG"/>
        </w:rPr>
        <w:t xml:space="preserve"> في هذه المرحلة.</w:t>
      </w:r>
    </w:p>
    <w:p w:rsidR="00140650" w:rsidRDefault="00140650" w:rsidP="005D6D48">
      <w:pPr>
        <w:rPr>
          <w:rtl/>
          <w:lang w:bidi="ar"/>
        </w:rPr>
      </w:pPr>
    </w:p>
    <w:p w:rsidR="002919E1" w:rsidRPr="002919E1" w:rsidRDefault="008F4626" w:rsidP="00531DC7">
      <w:pPr>
        <w:rPr>
          <w:noProof/>
          <w:rtl/>
        </w:rPr>
      </w:pPr>
      <w:r w:rsidRPr="002919E1">
        <w:rPr>
          <w:rtl/>
        </w:rPr>
        <w:br w:type="page"/>
      </w:r>
    </w:p>
    <w:p w:rsidR="009F37C9" w:rsidRDefault="000D1F1E" w:rsidP="00D80C2E">
      <w:pPr>
        <w:pStyle w:val="ArtNo"/>
        <w:spacing w:before="240"/>
        <w:rPr>
          <w:rtl/>
        </w:rPr>
      </w:pPr>
      <w:bookmarkStart w:id="2" w:name="_Toc331055742"/>
      <w:r>
        <w:rPr>
          <w:rtl/>
        </w:rPr>
        <w:lastRenderedPageBreak/>
        <w:t xml:space="preserve">المـادة </w:t>
      </w:r>
      <w:r w:rsidRPr="00B212B9">
        <w:rPr>
          <w:rStyle w:val="href"/>
        </w:rPr>
        <w:t>9</w:t>
      </w:r>
      <w:bookmarkEnd w:id="2"/>
    </w:p>
    <w:p w:rsidR="009F37C9" w:rsidRPr="00C82848" w:rsidRDefault="000D1F1E" w:rsidP="00D03296">
      <w:pPr>
        <w:pStyle w:val="Arttitle"/>
        <w:tabs>
          <w:tab w:val="center" w:pos="4569"/>
        </w:tabs>
        <w:rPr>
          <w:sz w:val="18"/>
          <w:rtl/>
          <w:lang w:bidi="ar-SY"/>
        </w:rPr>
      </w:pPr>
      <w:bookmarkStart w:id="3" w:name="_Toc331055743"/>
      <w:r w:rsidRPr="00FA6A24">
        <w:rPr>
          <w:b w:val="0"/>
          <w:rtl/>
        </w:rPr>
        <w:t xml:space="preserve">الإجراءات الواجب تطبيقها لتحقيق التنسيق مع الإدارات الأخرى </w:t>
      </w:r>
      <w:r w:rsidRPr="00FA6A24">
        <w:rPr>
          <w:b w:val="0"/>
          <w:rtl/>
        </w:rPr>
        <w:br/>
        <w:t>أو الحصول على موافقة هذه الإدارات</w:t>
      </w:r>
      <w:r w:rsidRPr="00D03296">
        <w:rPr>
          <w:rStyle w:val="FootnoteReference"/>
          <w:b w:val="0"/>
          <w:bCs w:val="0"/>
          <w:rtl/>
        </w:rPr>
        <w:t>1</w:t>
      </w:r>
      <w:r w:rsidRPr="00D03296">
        <w:rPr>
          <w:rFonts w:hint="cs"/>
          <w:b w:val="0"/>
          <w:bCs w:val="0"/>
          <w:position w:val="6"/>
          <w:sz w:val="18"/>
          <w:szCs w:val="22"/>
          <w:rtl/>
        </w:rPr>
        <w:t xml:space="preserve">، </w:t>
      </w:r>
      <w:r w:rsidRPr="00D03296">
        <w:rPr>
          <w:rStyle w:val="FootnoteReference"/>
          <w:b w:val="0"/>
          <w:bCs w:val="0"/>
          <w:rtl/>
        </w:rPr>
        <w:t>2</w:t>
      </w:r>
      <w:r w:rsidRPr="00D03296">
        <w:rPr>
          <w:rFonts w:hint="cs"/>
          <w:b w:val="0"/>
          <w:bCs w:val="0"/>
          <w:position w:val="6"/>
          <w:sz w:val="18"/>
          <w:szCs w:val="22"/>
          <w:rtl/>
        </w:rPr>
        <w:t xml:space="preserve">، </w:t>
      </w:r>
      <w:r w:rsidRPr="00D03296">
        <w:rPr>
          <w:rStyle w:val="FootnoteReference"/>
          <w:b w:val="0"/>
          <w:bCs w:val="0"/>
          <w:rtl/>
        </w:rPr>
        <w:t>3</w:t>
      </w:r>
      <w:r w:rsidRPr="00D03296">
        <w:rPr>
          <w:rFonts w:hint="cs"/>
          <w:b w:val="0"/>
          <w:bCs w:val="0"/>
          <w:position w:val="6"/>
          <w:sz w:val="18"/>
          <w:szCs w:val="22"/>
          <w:rtl/>
        </w:rPr>
        <w:t xml:space="preserve">، </w:t>
      </w:r>
      <w:r w:rsidRPr="00D03296">
        <w:rPr>
          <w:rStyle w:val="FootnoteReference"/>
          <w:b w:val="0"/>
          <w:bCs w:val="0"/>
          <w:rtl/>
        </w:rPr>
        <w:t>4</w:t>
      </w:r>
      <w:r w:rsidRPr="00D03296">
        <w:rPr>
          <w:rFonts w:hint="cs"/>
          <w:b w:val="0"/>
          <w:bCs w:val="0"/>
          <w:position w:val="6"/>
          <w:sz w:val="18"/>
          <w:szCs w:val="22"/>
          <w:rtl/>
        </w:rPr>
        <w:t xml:space="preserve">، </w:t>
      </w:r>
      <w:r w:rsidRPr="00D03296">
        <w:rPr>
          <w:rStyle w:val="FootnoteReference"/>
          <w:b w:val="0"/>
          <w:bCs w:val="0"/>
          <w:rtl/>
        </w:rPr>
        <w:t>5</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6</w:t>
      </w:r>
      <w:r w:rsidRPr="00D03296">
        <w:rPr>
          <w:rFonts w:hint="cs"/>
          <w:b w:val="0"/>
          <w:bCs w:val="0"/>
          <w:position w:val="6"/>
          <w:sz w:val="18"/>
          <w:szCs w:val="22"/>
          <w:rtl/>
        </w:rPr>
        <w:t>،</w:t>
      </w:r>
      <w:r w:rsidRPr="00D03296">
        <w:rPr>
          <w:b w:val="0"/>
          <w:bCs w:val="0"/>
          <w:position w:val="6"/>
          <w:sz w:val="18"/>
          <w:szCs w:val="22"/>
          <w:rtl/>
        </w:rPr>
        <w:t xml:space="preserve"> </w:t>
      </w:r>
      <w:r w:rsidRPr="00D03296">
        <w:rPr>
          <w:rStyle w:val="FootnoteReference"/>
          <w:b w:val="0"/>
          <w:bCs w:val="0"/>
          <w:rtl/>
        </w:rPr>
        <w:t>7</w:t>
      </w:r>
      <w:r w:rsidRPr="00D03296">
        <w:rPr>
          <w:rFonts w:hint="cs"/>
          <w:b w:val="0"/>
          <w:bCs w:val="0"/>
          <w:position w:val="6"/>
          <w:sz w:val="18"/>
          <w:szCs w:val="22"/>
          <w:rtl/>
        </w:rPr>
        <w:t xml:space="preserve">، </w:t>
      </w:r>
      <w:r w:rsidRPr="00D03296">
        <w:rPr>
          <w:rStyle w:val="FootnoteReference"/>
          <w:b w:val="0"/>
          <w:bCs w:val="0"/>
          <w:rtl/>
        </w:rPr>
        <w:t>8</w:t>
      </w:r>
      <w:r w:rsidRPr="00D03296">
        <w:rPr>
          <w:rFonts w:hint="cs"/>
          <w:b w:val="0"/>
          <w:bCs w:val="0"/>
          <w:position w:val="6"/>
          <w:sz w:val="18"/>
          <w:szCs w:val="22"/>
          <w:rtl/>
        </w:rPr>
        <w:t xml:space="preserve">، </w:t>
      </w:r>
      <w:r w:rsidRPr="00D03296">
        <w:rPr>
          <w:rStyle w:val="FootnoteReference"/>
          <w:b w:val="0"/>
          <w:bCs w:val="0"/>
          <w:rtl/>
        </w:rPr>
        <w:t>8</w:t>
      </w:r>
      <w:r w:rsidRPr="003238F8">
        <w:rPr>
          <w:rStyle w:val="FootnoteReference"/>
          <w:rFonts w:cs="Traditional Arabic"/>
          <w:b w:val="0"/>
          <w:bCs w:val="0"/>
          <w:i/>
          <w:iCs/>
          <w:rtl/>
        </w:rPr>
        <w:t>مكرراً</w:t>
      </w:r>
      <w:r w:rsidRPr="00D03296">
        <w:rPr>
          <w:rFonts w:hint="cs"/>
          <w:bCs w:val="0"/>
          <w:position w:val="-4"/>
          <w:szCs w:val="22"/>
          <w:vertAlign w:val="superscript"/>
          <w:rtl/>
        </w:rPr>
        <w:t xml:space="preserve"> </w:t>
      </w:r>
      <w:r w:rsidRPr="000E1A91">
        <w:rPr>
          <w:b w:val="0"/>
          <w:bCs w:val="0"/>
          <w:sz w:val="16"/>
          <w:szCs w:val="16"/>
          <w:lang w:bidi="ar-SA"/>
        </w:rPr>
        <w:t>(WRC</w:t>
      </w:r>
      <w:r>
        <w:rPr>
          <w:b w:val="0"/>
          <w:bCs w:val="0"/>
          <w:sz w:val="16"/>
          <w:szCs w:val="16"/>
          <w:lang w:bidi="ar-SA"/>
        </w:rPr>
        <w:t>-</w:t>
      </w:r>
      <w:r w:rsidRPr="000E1A91">
        <w:rPr>
          <w:b w:val="0"/>
          <w:bCs w:val="0"/>
          <w:sz w:val="16"/>
          <w:szCs w:val="16"/>
          <w:lang w:bidi="ar-SA"/>
        </w:rPr>
        <w:t>12)</w:t>
      </w:r>
      <w:bookmarkEnd w:id="3"/>
      <w:r w:rsidRPr="0092049E">
        <w:rPr>
          <w:b w:val="0"/>
          <w:bCs w:val="0"/>
          <w:sz w:val="18"/>
          <w:lang w:bidi="ar-SA"/>
        </w:rPr>
        <w:t>    </w:t>
      </w:r>
    </w:p>
    <w:p w:rsidR="009F37C9" w:rsidRPr="00C764D6" w:rsidRDefault="000D1F1E" w:rsidP="00314618">
      <w:pPr>
        <w:pStyle w:val="Section1"/>
        <w:rPr>
          <w:rtl/>
        </w:rPr>
      </w:pPr>
      <w:r w:rsidRPr="00C764D6">
        <w:rPr>
          <w:rtl/>
        </w:rPr>
        <w:t xml:space="preserve">القسم </w:t>
      </w:r>
      <w:r w:rsidRPr="00C764D6">
        <w:t>I</w:t>
      </w:r>
      <w:r w:rsidRPr="00C764D6">
        <w:rPr>
          <w:rtl/>
        </w:rPr>
        <w:t xml:space="preserve">  -  النشر المسبق للمعلومات الخاصة </w:t>
      </w:r>
      <w:r w:rsidRPr="00C764D6">
        <w:rPr>
          <w:rtl/>
        </w:rPr>
        <w:br/>
        <w:t>بالشبكات الساتلية</w:t>
      </w:r>
      <w:r>
        <w:rPr>
          <w:rtl/>
        </w:rPr>
        <w:t xml:space="preserve"> أو </w:t>
      </w:r>
      <w:r w:rsidRPr="00C764D6">
        <w:rPr>
          <w:rtl/>
        </w:rPr>
        <w:t>الأنظمة الساتلية</w:t>
      </w:r>
    </w:p>
    <w:p w:rsidR="00263FF2" w:rsidRDefault="000D1F1E">
      <w:pPr>
        <w:pStyle w:val="Proposal"/>
      </w:pPr>
      <w:r>
        <w:t>MOD</w:t>
      </w:r>
      <w:r>
        <w:tab/>
        <w:t>IRN/61A21A9/1</w:t>
      </w:r>
    </w:p>
    <w:p w:rsidR="009F37C9" w:rsidRPr="00F41BDF" w:rsidRDefault="000D1F1E" w:rsidP="00F41BDF">
      <w:pPr>
        <w:jc w:val="center"/>
        <w:rPr>
          <w:i/>
          <w:iCs/>
          <w:rtl/>
        </w:rPr>
      </w:pPr>
      <w:r w:rsidRPr="00F41BDF">
        <w:rPr>
          <w:i/>
          <w:iCs/>
          <w:rtl/>
        </w:rPr>
        <w:t>اعتبارات عامـة</w:t>
      </w:r>
    </w:p>
    <w:p w:rsidR="008851C1" w:rsidRPr="007F341F" w:rsidRDefault="008851C1" w:rsidP="006A2E11">
      <w:pPr>
        <w:rPr>
          <w:rtl/>
          <w:lang w:bidi="ar-EG"/>
        </w:rPr>
      </w:pPr>
      <w:r w:rsidRPr="003238F8">
        <w:rPr>
          <w:rtl/>
          <w:lang w:bidi="ar-EG"/>
        </w:rPr>
        <w:t xml:space="preserve">للاطلاع على حل تنظيمي كامل، انظر </w:t>
      </w:r>
      <w:r w:rsidRPr="003238F8">
        <w:rPr>
          <w:rtl/>
        </w:rPr>
        <w:t xml:space="preserve">القسم </w:t>
      </w:r>
      <w:r w:rsidRPr="003238F8">
        <w:t>2.3.6.3/7/5</w:t>
      </w:r>
      <w:r w:rsidRPr="003238F8">
        <w:rPr>
          <w:rFonts w:hint="cs"/>
          <w:rtl/>
        </w:rPr>
        <w:t xml:space="preserve"> </w:t>
      </w:r>
      <w:r w:rsidR="003238F8">
        <w:rPr>
          <w:rFonts w:hint="cs"/>
          <w:rtl/>
        </w:rPr>
        <w:t>من تقري</w:t>
      </w:r>
      <w:r w:rsidR="00F41BDF">
        <w:rPr>
          <w:rFonts w:hint="cs"/>
          <w:rtl/>
        </w:rPr>
        <w:t>ر</w:t>
      </w:r>
      <w:r w:rsidR="003238F8">
        <w:rPr>
          <w:rFonts w:hint="cs"/>
          <w:rtl/>
        </w:rPr>
        <w:t xml:space="preserve"> الاجتماع التحضيري للمؤتمر المقدم إلى المؤتمر</w:t>
      </w:r>
      <w:r w:rsidR="006A2E11">
        <w:rPr>
          <w:rFonts w:hint="eastAsia"/>
          <w:rtl/>
        </w:rPr>
        <w:t> </w:t>
      </w:r>
      <w:r w:rsidR="003238F8">
        <w:t>WRC</w:t>
      </w:r>
      <w:r w:rsidR="003238F8">
        <w:noBreakHyphen/>
        <w:t>15</w:t>
      </w:r>
      <w:r w:rsidR="003238F8">
        <w:rPr>
          <w:rFonts w:hint="cs"/>
          <w:rtl/>
          <w:lang w:bidi="ar-EG"/>
        </w:rPr>
        <w:t xml:space="preserve"> </w:t>
      </w:r>
      <w:r w:rsidRPr="003238F8">
        <w:rPr>
          <w:rtl/>
        </w:rPr>
        <w:t>(المسألة</w:t>
      </w:r>
      <w:r w:rsidRPr="003238F8">
        <w:rPr>
          <w:rtl/>
          <w:lang w:bidi="ar-EG"/>
        </w:rPr>
        <w:t xml:space="preserve"> </w:t>
      </w:r>
      <w:r w:rsidRPr="003238F8">
        <w:rPr>
          <w:lang w:bidi="ar-EG"/>
        </w:rPr>
        <w:t>C</w:t>
      </w:r>
      <w:r w:rsidRPr="003238F8">
        <w:rPr>
          <w:rtl/>
          <w:lang w:bidi="ar-EG"/>
        </w:rPr>
        <w:t xml:space="preserve"> في إطار البند </w:t>
      </w:r>
      <w:r w:rsidRPr="003238F8">
        <w:rPr>
          <w:lang w:bidi="ar-EG"/>
        </w:rPr>
        <w:t>7</w:t>
      </w:r>
      <w:r w:rsidRPr="003238F8">
        <w:rPr>
          <w:rtl/>
          <w:lang w:bidi="ar-EG"/>
        </w:rPr>
        <w:t xml:space="preserve"> من جدول أعمال المؤتمر</w:t>
      </w:r>
      <w:r w:rsidRPr="003238F8">
        <w:rPr>
          <w:rFonts w:hint="cs"/>
          <w:rtl/>
          <w:lang w:bidi="ar-EG"/>
        </w:rPr>
        <w:t> </w:t>
      </w:r>
      <w:r w:rsidRPr="003238F8">
        <w:rPr>
          <w:lang w:bidi="ar-EG"/>
        </w:rPr>
        <w:t>WRC-15</w:t>
      </w:r>
      <w:r w:rsidRPr="003238F8">
        <w:rPr>
          <w:rtl/>
          <w:lang w:bidi="ar-EG"/>
        </w:rPr>
        <w:t xml:space="preserve"> بشأن الخيار</w:t>
      </w:r>
      <w:r w:rsidRPr="003238F8">
        <w:rPr>
          <w:rFonts w:hint="cs"/>
          <w:rtl/>
          <w:lang w:bidi="ar-EG"/>
        </w:rPr>
        <w:t> </w:t>
      </w:r>
      <w:r w:rsidRPr="003238F8">
        <w:rPr>
          <w:lang w:bidi="ar-EG"/>
        </w:rPr>
        <w:t>B</w:t>
      </w:r>
      <w:r w:rsidRPr="003238F8">
        <w:rPr>
          <w:rFonts w:hint="cs"/>
          <w:rtl/>
          <w:lang w:bidi="ar-EG"/>
        </w:rPr>
        <w:t xml:space="preserve"> </w:t>
      </w:r>
      <w:r w:rsidRPr="003238F8">
        <w:rPr>
          <w:rtl/>
          <w:lang w:bidi="ar-EG"/>
        </w:rPr>
        <w:t>من الأسلوب</w:t>
      </w:r>
      <w:r w:rsidR="000D1F1E" w:rsidRPr="003238F8">
        <w:rPr>
          <w:rFonts w:hint="cs"/>
          <w:rtl/>
          <w:lang w:bidi="ar-EG"/>
        </w:rPr>
        <w:t> </w:t>
      </w:r>
      <w:r w:rsidRPr="003238F8">
        <w:rPr>
          <w:lang w:bidi="ar-EG"/>
        </w:rPr>
        <w:t>C3</w:t>
      </w:r>
      <w:r w:rsidRPr="003238F8">
        <w:rPr>
          <w:rtl/>
          <w:lang w:bidi="ar-EG"/>
        </w:rPr>
        <w:t>).</w:t>
      </w:r>
    </w:p>
    <w:p w:rsidR="00263FF2" w:rsidRDefault="000D1F1E">
      <w:pPr>
        <w:pStyle w:val="Reasons"/>
      </w:pPr>
      <w:r>
        <w:rPr>
          <w:rtl/>
        </w:rPr>
        <w:t>الأسباب:</w:t>
      </w:r>
      <w:r>
        <w:tab/>
      </w:r>
      <w:r w:rsidR="008851C1" w:rsidRPr="003238F8">
        <w:rPr>
          <w:b w:val="0"/>
          <w:bCs w:val="0"/>
          <w:spacing w:val="-4"/>
          <w:rtl/>
        </w:rPr>
        <w:t xml:space="preserve">نتيجة لإلغاء فترة الستة أشهر بين تاريخ استلام معلومات النشر المسبق وتاريخ إمكانية قبول استلام طلب التنسيق المرتبط بها بموجب القسم </w:t>
      </w:r>
      <w:r w:rsidR="008851C1" w:rsidRPr="003238F8">
        <w:rPr>
          <w:b w:val="0"/>
          <w:bCs w:val="0"/>
          <w:spacing w:val="-4"/>
          <w:lang w:bidi="ar-SY"/>
        </w:rPr>
        <w:t>II</w:t>
      </w:r>
      <w:r w:rsidR="008851C1" w:rsidRPr="003238F8">
        <w:rPr>
          <w:b w:val="0"/>
          <w:bCs w:val="0"/>
          <w:spacing w:val="-4"/>
          <w:rtl/>
        </w:rPr>
        <w:t xml:space="preserve"> من المادة </w:t>
      </w:r>
      <w:r w:rsidR="008851C1" w:rsidRPr="008851C1">
        <w:rPr>
          <w:b w:val="0"/>
          <w:bCs w:val="0"/>
          <w:spacing w:val="-4"/>
          <w:lang w:bidi="ar-SY"/>
        </w:rPr>
        <w:t>9</w:t>
      </w:r>
      <w:r w:rsidR="008851C1" w:rsidRPr="003238F8">
        <w:rPr>
          <w:b w:val="0"/>
          <w:bCs w:val="0"/>
          <w:spacing w:val="-4"/>
          <w:rtl/>
        </w:rPr>
        <w:t xml:space="preserve"> من لوائح الراديو، من أجل تقليص الجزء المكرس لنشر الأقسام الخاصة ضمن عملية</w:t>
      </w:r>
      <w:r w:rsidR="008851C1" w:rsidRPr="003238F8">
        <w:rPr>
          <w:rFonts w:hint="eastAsia"/>
          <w:b w:val="0"/>
          <w:bCs w:val="0"/>
          <w:spacing w:val="-4"/>
          <w:rtl/>
        </w:rPr>
        <w:t> </w:t>
      </w:r>
      <w:r w:rsidR="008851C1" w:rsidRPr="003238F8">
        <w:rPr>
          <w:b w:val="0"/>
          <w:bCs w:val="0"/>
          <w:spacing w:val="-4"/>
          <w:rtl/>
        </w:rPr>
        <w:t>التنسيق.</w:t>
      </w:r>
    </w:p>
    <w:p w:rsidR="00263FF2" w:rsidRDefault="000D1F1E">
      <w:pPr>
        <w:pStyle w:val="Proposal"/>
      </w:pPr>
      <w:r>
        <w:t>MOD</w:t>
      </w:r>
      <w:r>
        <w:tab/>
        <w:t>IRN/61A21A9/2</w:t>
      </w:r>
    </w:p>
    <w:p w:rsidR="009F37C9" w:rsidRPr="00734CFF" w:rsidRDefault="000D1F1E" w:rsidP="00230CC8">
      <w:pPr>
        <w:pStyle w:val="Section1"/>
        <w:rPr>
          <w:rtl/>
        </w:rPr>
      </w:pPr>
      <w:r w:rsidRPr="00734CFF">
        <w:rPr>
          <w:rtl/>
        </w:rPr>
        <w:t xml:space="preserve">القسم الفرعي </w:t>
      </w:r>
      <w:r w:rsidRPr="00734CFF">
        <w:t>IB</w:t>
      </w:r>
      <w:r w:rsidRPr="00734CFF">
        <w:rPr>
          <w:rtl/>
        </w:rPr>
        <w:t xml:space="preserve"> </w:t>
      </w:r>
      <w:r w:rsidRPr="00734CFF">
        <w:rPr>
          <w:rFonts w:hint="cs"/>
          <w:rtl/>
        </w:rPr>
        <w:t xml:space="preserve"> </w:t>
      </w:r>
      <w:r w:rsidRPr="00734CFF">
        <w:rPr>
          <w:rtl/>
        </w:rPr>
        <w:t>-</w:t>
      </w:r>
      <w:r w:rsidRPr="00734CFF">
        <w:rPr>
          <w:rFonts w:hint="cs"/>
          <w:rtl/>
        </w:rPr>
        <w:t xml:space="preserve"> </w:t>
      </w:r>
      <w:r w:rsidRPr="00734CFF">
        <w:rPr>
          <w:rtl/>
        </w:rPr>
        <w:t xml:space="preserve"> النشر المسبق للمعلومات الخاصة بالشبكات الساتلية</w:t>
      </w:r>
      <w:r>
        <w:rPr>
          <w:rtl/>
        </w:rPr>
        <w:br/>
      </w:r>
      <w:r w:rsidRPr="00734CFF">
        <w:rPr>
          <w:rtl/>
        </w:rPr>
        <w:t>أو الأنظمة الساتلية</w:t>
      </w:r>
      <w:r>
        <w:rPr>
          <w:rFonts w:hint="cs"/>
          <w:rtl/>
        </w:rPr>
        <w:t xml:space="preserve"> </w:t>
      </w:r>
      <w:r w:rsidRPr="00734CFF">
        <w:rPr>
          <w:rtl/>
        </w:rPr>
        <w:t xml:space="preserve">التي تخضع لإجراء التنسيق بموجب القسم </w:t>
      </w:r>
      <w:r w:rsidRPr="00734CFF">
        <w:t>II</w:t>
      </w:r>
    </w:p>
    <w:p w:rsidR="005D0F4F" w:rsidRPr="007F341F" w:rsidRDefault="005D0F4F" w:rsidP="006A2E11">
      <w:pPr>
        <w:rPr>
          <w:rtl/>
          <w:lang w:bidi="ar-EG"/>
        </w:rPr>
      </w:pPr>
      <w:r w:rsidRPr="003238F8">
        <w:rPr>
          <w:rtl/>
          <w:lang w:bidi="ar-EG"/>
        </w:rPr>
        <w:t xml:space="preserve">للاطلاع على حل تنظيمي كامل، انظر </w:t>
      </w:r>
      <w:r w:rsidRPr="003238F8">
        <w:rPr>
          <w:rtl/>
        </w:rPr>
        <w:t xml:space="preserve">القسم </w:t>
      </w:r>
      <w:r w:rsidRPr="003238F8">
        <w:t>2.3.6.3/7/5</w:t>
      </w:r>
      <w:r w:rsidRPr="003238F8">
        <w:rPr>
          <w:rFonts w:hint="cs"/>
          <w:rtl/>
        </w:rPr>
        <w:t xml:space="preserve"> </w:t>
      </w:r>
      <w:r>
        <w:rPr>
          <w:rFonts w:hint="cs"/>
          <w:rtl/>
        </w:rPr>
        <w:t>من تقري</w:t>
      </w:r>
      <w:r w:rsidR="00F41BDF">
        <w:rPr>
          <w:rFonts w:hint="cs"/>
          <w:rtl/>
        </w:rPr>
        <w:t>ر</w:t>
      </w:r>
      <w:r>
        <w:rPr>
          <w:rFonts w:hint="cs"/>
          <w:rtl/>
        </w:rPr>
        <w:t xml:space="preserve"> الاجتماع التحضيري للمؤتمر المقدم إلى المؤتمر</w:t>
      </w:r>
      <w:r w:rsidR="006A2E11">
        <w:rPr>
          <w:rFonts w:hint="eastAsia"/>
          <w:rtl/>
        </w:rPr>
        <w:t> </w:t>
      </w:r>
      <w:r>
        <w:t>WRC</w:t>
      </w:r>
      <w:r>
        <w:noBreakHyphen/>
        <w:t>15</w:t>
      </w:r>
      <w:r>
        <w:rPr>
          <w:rFonts w:hint="cs"/>
          <w:rtl/>
          <w:lang w:bidi="ar-EG"/>
        </w:rPr>
        <w:t xml:space="preserve"> </w:t>
      </w:r>
      <w:r w:rsidRPr="003238F8">
        <w:rPr>
          <w:rtl/>
        </w:rPr>
        <w:t>(المسألة</w:t>
      </w:r>
      <w:r w:rsidRPr="003238F8">
        <w:rPr>
          <w:rtl/>
          <w:lang w:bidi="ar-EG"/>
        </w:rPr>
        <w:t xml:space="preserve"> </w:t>
      </w:r>
      <w:r w:rsidRPr="003238F8">
        <w:rPr>
          <w:lang w:bidi="ar-EG"/>
        </w:rPr>
        <w:t>C</w:t>
      </w:r>
      <w:r w:rsidRPr="003238F8">
        <w:rPr>
          <w:rtl/>
          <w:lang w:bidi="ar-EG"/>
        </w:rPr>
        <w:t xml:space="preserve"> في إطار البند </w:t>
      </w:r>
      <w:r w:rsidRPr="003238F8">
        <w:rPr>
          <w:lang w:bidi="ar-EG"/>
        </w:rPr>
        <w:t>7</w:t>
      </w:r>
      <w:r w:rsidRPr="003238F8">
        <w:rPr>
          <w:rtl/>
          <w:lang w:bidi="ar-EG"/>
        </w:rPr>
        <w:t xml:space="preserve"> من جدول أعمال المؤتمر</w:t>
      </w:r>
      <w:r w:rsidRPr="003238F8">
        <w:rPr>
          <w:rFonts w:hint="cs"/>
          <w:rtl/>
          <w:lang w:bidi="ar-EG"/>
        </w:rPr>
        <w:t> </w:t>
      </w:r>
      <w:r w:rsidRPr="003238F8">
        <w:rPr>
          <w:lang w:bidi="ar-EG"/>
        </w:rPr>
        <w:t>WRC-15</w:t>
      </w:r>
      <w:r w:rsidRPr="003238F8">
        <w:rPr>
          <w:rtl/>
          <w:lang w:bidi="ar-EG"/>
        </w:rPr>
        <w:t xml:space="preserve"> بشأن الخيار</w:t>
      </w:r>
      <w:r w:rsidRPr="003238F8">
        <w:rPr>
          <w:rFonts w:hint="cs"/>
          <w:rtl/>
          <w:lang w:bidi="ar-EG"/>
        </w:rPr>
        <w:t> </w:t>
      </w:r>
      <w:r w:rsidRPr="003238F8">
        <w:rPr>
          <w:lang w:bidi="ar-EG"/>
        </w:rPr>
        <w:t>B</w:t>
      </w:r>
      <w:r w:rsidRPr="003238F8">
        <w:rPr>
          <w:rFonts w:hint="cs"/>
          <w:rtl/>
          <w:lang w:bidi="ar-EG"/>
        </w:rPr>
        <w:t xml:space="preserve"> </w:t>
      </w:r>
      <w:r w:rsidRPr="003238F8">
        <w:rPr>
          <w:rtl/>
          <w:lang w:bidi="ar-EG"/>
        </w:rPr>
        <w:t>من الأسلوب</w:t>
      </w:r>
      <w:r w:rsidRPr="003238F8">
        <w:rPr>
          <w:rFonts w:hint="cs"/>
          <w:rtl/>
          <w:lang w:bidi="ar-EG"/>
        </w:rPr>
        <w:t> </w:t>
      </w:r>
      <w:r w:rsidRPr="003238F8">
        <w:rPr>
          <w:lang w:bidi="ar-EG"/>
        </w:rPr>
        <w:t>C3</w:t>
      </w:r>
      <w:r w:rsidRPr="003238F8">
        <w:rPr>
          <w:rtl/>
          <w:lang w:bidi="ar-EG"/>
        </w:rPr>
        <w:t>).</w:t>
      </w:r>
    </w:p>
    <w:p w:rsidR="00263FF2" w:rsidRDefault="000D1F1E">
      <w:pPr>
        <w:pStyle w:val="Reasons"/>
        <w:rPr>
          <w:b w:val="0"/>
          <w:bCs w:val="0"/>
          <w:rtl/>
        </w:rPr>
      </w:pPr>
      <w:r>
        <w:rPr>
          <w:rtl/>
        </w:rPr>
        <w:t>الأسباب:</w:t>
      </w:r>
      <w:r>
        <w:tab/>
      </w:r>
      <w:r w:rsidRPr="000D1F1E">
        <w:rPr>
          <w:rFonts w:hint="cs"/>
          <w:b w:val="0"/>
          <w:bCs w:val="0"/>
          <w:rtl/>
        </w:rPr>
        <w:t>نتيجة لإلغاء فترة الستة أشهر، لأن إجراء التنسيق يمكن الشروع به قبل أن يُنشر النشر المسبق.</w:t>
      </w:r>
    </w:p>
    <w:p w:rsidR="000D1F1E" w:rsidRPr="000D1F1E" w:rsidRDefault="000D1F1E" w:rsidP="000D1F1E">
      <w:pPr>
        <w:spacing w:before="600"/>
        <w:jc w:val="center"/>
      </w:pPr>
      <w:r>
        <w:rPr>
          <w:rFonts w:hint="cs"/>
          <w:rtl/>
        </w:rPr>
        <w:t>___________</w:t>
      </w:r>
    </w:p>
    <w:sectPr w:rsidR="000D1F1E" w:rsidRPr="000D1F1E">
      <w:headerReference w:type="even" r:id="rId13"/>
      <w:headerReference w:type="default" r:id="rId14"/>
      <w:footerReference w:type="default" r:id="rId15"/>
      <w:footerReference w:type="first" r:id="rId16"/>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51C1" w:rsidRDefault="00281F5F" w:rsidP="008851C1">
    <w:pPr>
      <w:pStyle w:val="Footer"/>
      <w:tabs>
        <w:tab w:val="clear" w:pos="5812"/>
        <w:tab w:val="left" w:pos="5670"/>
      </w:tabs>
    </w:pPr>
    <w:r w:rsidRPr="00CB4300">
      <w:fldChar w:fldCharType="begin"/>
    </w:r>
    <w:r w:rsidRPr="008851C1">
      <w:instrText xml:space="preserve"> FILENAME \p \* MERGEFORMAT </w:instrText>
    </w:r>
    <w:r w:rsidRPr="00CB4300">
      <w:fldChar w:fldCharType="separate"/>
    </w:r>
    <w:r w:rsidR="00A035E6">
      <w:rPr>
        <w:noProof/>
      </w:rPr>
      <w:t>P:\ARA\ITU-R\CONF-R\CMR15\000\061ADD21ADD09A.docx</w:t>
    </w:r>
    <w:r w:rsidRPr="00CB4300">
      <w:fldChar w:fldCharType="end"/>
    </w:r>
    <w:r w:rsidRPr="008851C1">
      <w:t xml:space="preserve">  (</w:t>
    </w:r>
    <w:r w:rsidR="008851C1">
      <w:rPr>
        <w:rFonts w:hint="cs"/>
        <w:rtl/>
        <w:lang w:val="es-ES"/>
      </w:rPr>
      <w:t>388294</w:t>
    </w:r>
    <w:r w:rsidRPr="008851C1">
      <w:t>)</w:t>
    </w:r>
    <w:r w:rsidRPr="008851C1">
      <w:tab/>
    </w:r>
    <w:r w:rsidRPr="00CB4300">
      <w:fldChar w:fldCharType="begin"/>
    </w:r>
    <w:r w:rsidRPr="00CB4300">
      <w:instrText xml:space="preserve"> savedate \@ dd.MM.yy </w:instrText>
    </w:r>
    <w:r w:rsidRPr="00CB4300">
      <w:fldChar w:fldCharType="separate"/>
    </w:r>
    <w:r w:rsidR="00A035E6">
      <w:rPr>
        <w:noProof/>
      </w:rPr>
      <w:t>28.10.15</w:t>
    </w:r>
    <w:r w:rsidRPr="00CB4300">
      <w:fldChar w:fldCharType="end"/>
    </w:r>
    <w:r w:rsidRPr="008851C1">
      <w:tab/>
    </w:r>
    <w:r w:rsidRPr="00CB4300">
      <w:fldChar w:fldCharType="begin"/>
    </w:r>
    <w:r w:rsidRPr="00CB4300">
      <w:instrText xml:space="preserve"> printdate \@ dd.MM.yy </w:instrText>
    </w:r>
    <w:r w:rsidRPr="00CB4300">
      <w:fldChar w:fldCharType="separate"/>
    </w:r>
    <w:r w:rsidR="00A035E6">
      <w:rPr>
        <w:noProof/>
      </w:rPr>
      <w:t>26.10.15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A035E6">
    <w:pPr>
      <w:pStyle w:val="Footer"/>
      <w:rPr>
        <w:lang w:val="es-ES"/>
      </w:rPr>
    </w:pPr>
    <w:r>
      <w:fldChar w:fldCharType="begin"/>
    </w:r>
    <w:r w:rsidRPr="00CB4300">
      <w:rPr>
        <w:lang w:val="es-ES"/>
      </w:rPr>
      <w:instrText xml:space="preserve"> FILENAME \p \* MERGEFORMAT </w:instrText>
    </w:r>
    <w:r>
      <w:fldChar w:fldCharType="separate"/>
    </w:r>
    <w:r w:rsidR="00A035E6">
      <w:rPr>
        <w:noProof/>
        <w:lang w:val="es-ES"/>
      </w:rPr>
      <w:t>P:\ARA\ITU-R\CONF-R\CMR15\000\061ADD21ADD09A.docx</w:t>
    </w:r>
    <w:r>
      <w:fldChar w:fldCharType="end"/>
    </w:r>
    <w:r w:rsidRPr="00CB4300">
      <w:rPr>
        <w:lang w:val="es-ES"/>
      </w:rPr>
      <w:t xml:space="preserve">   (</w:t>
    </w:r>
    <w:r w:rsidR="00A035E6">
      <w:rPr>
        <w:lang w:val="es-ES"/>
      </w:rPr>
      <w:t>388294</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035E6">
      <w:rPr>
        <w:noProof/>
      </w:rPr>
      <w:t>28.10.15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A035E6">
      <w:rPr>
        <w:noProof/>
      </w:rPr>
      <w:t>26.10.15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9C5C15">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61(Add.21)(Add.9)-</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D1F1E"/>
    <w:rsid w:val="000E2AFC"/>
    <w:rsid w:val="000E6D30"/>
    <w:rsid w:val="000F05F5"/>
    <w:rsid w:val="000F28EA"/>
    <w:rsid w:val="000F518F"/>
    <w:rsid w:val="0010081C"/>
    <w:rsid w:val="001013E3"/>
    <w:rsid w:val="0010363F"/>
    <w:rsid w:val="00140650"/>
    <w:rsid w:val="001464F2"/>
    <w:rsid w:val="001629EC"/>
    <w:rsid w:val="00167364"/>
    <w:rsid w:val="001903B2"/>
    <w:rsid w:val="001E190C"/>
    <w:rsid w:val="001E54F6"/>
    <w:rsid w:val="001E5A8C"/>
    <w:rsid w:val="00201A0A"/>
    <w:rsid w:val="002075D4"/>
    <w:rsid w:val="00211B2A"/>
    <w:rsid w:val="00230CC8"/>
    <w:rsid w:val="002333A0"/>
    <w:rsid w:val="002543CF"/>
    <w:rsid w:val="00255868"/>
    <w:rsid w:val="0026062E"/>
    <w:rsid w:val="00260F50"/>
    <w:rsid w:val="00261EF7"/>
    <w:rsid w:val="00263FF2"/>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238F8"/>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96D9D"/>
    <w:rsid w:val="005B00A1"/>
    <w:rsid w:val="005B7E3E"/>
    <w:rsid w:val="005C29C8"/>
    <w:rsid w:val="005C5D25"/>
    <w:rsid w:val="005D0F4F"/>
    <w:rsid w:val="005D6D48"/>
    <w:rsid w:val="005D72A4"/>
    <w:rsid w:val="005F05CC"/>
    <w:rsid w:val="005F65DE"/>
    <w:rsid w:val="00613492"/>
    <w:rsid w:val="006315B5"/>
    <w:rsid w:val="00651343"/>
    <w:rsid w:val="0065562F"/>
    <w:rsid w:val="00680A66"/>
    <w:rsid w:val="00681391"/>
    <w:rsid w:val="006A12AC"/>
    <w:rsid w:val="006A2162"/>
    <w:rsid w:val="006A2E11"/>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5602A"/>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851C1"/>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72CE0"/>
    <w:rsid w:val="009A3D30"/>
    <w:rsid w:val="009B0BD8"/>
    <w:rsid w:val="009C5C15"/>
    <w:rsid w:val="009D6348"/>
    <w:rsid w:val="009E613F"/>
    <w:rsid w:val="009F042B"/>
    <w:rsid w:val="009F7BA0"/>
    <w:rsid w:val="00A035E6"/>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69C3"/>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08C9"/>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41BDF"/>
    <w:rsid w:val="00F8654D"/>
    <w:rsid w:val="00F900C9"/>
    <w:rsid w:val="00F92C96"/>
    <w:rsid w:val="00FA0D4E"/>
    <w:rsid w:val="00FA7D70"/>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A8395C5-3C95-448A-B000-4402E601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Subsection10">
    <w:name w:val="Subsection_1"/>
    <w:basedOn w:val="Section1"/>
    <w:qFormat/>
    <w:rsid w:val="007C31F7"/>
  </w:style>
  <w:style w:type="paragraph" w:styleId="BalloonText">
    <w:name w:val="Balloon Text"/>
    <w:basedOn w:val="Normal"/>
    <w:link w:val="BalloonTextChar"/>
    <w:semiHidden/>
    <w:unhideWhenUsed/>
    <w:rsid w:val="005B7E3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7E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R15-WRC15-C-0061!A21-A9!MSW-A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54B4F-2341-4134-B883-694513257EE8}">
  <ds:schemaRefs>
    <ds:schemaRef ds:uri="http://schemas.microsoft.com/office/2006/metadata/properties"/>
    <ds:schemaRef ds:uri="http://purl.org/dc/terms/"/>
    <ds:schemaRef ds:uri="http://purl.org/dc/elements/1.1/"/>
    <ds:schemaRef ds:uri="http://schemas.microsoft.com/office/infopath/2007/PartnerControls"/>
    <ds:schemaRef ds:uri="996b2e75-67fd-4955-a3b0-5ab9934cb50b"/>
    <ds:schemaRef ds:uri="http://schemas.microsoft.com/office/2006/documentManagement/types"/>
    <ds:schemaRef ds:uri="http://schemas.openxmlformats.org/package/2006/metadata/core-properties"/>
    <ds:schemaRef ds:uri="http://www.w3.org/XML/1998/namespace"/>
    <ds:schemaRef ds:uri="32a1a8c5-2265-4ebc-b7a0-2071e2c5c9bb"/>
    <ds:schemaRef ds:uri="http://purl.org/dc/dcmitype/"/>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5397DC5D-16CF-4B0D-B9B2-5EEFA79E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4965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R15-WRC15-C-0061!A21-A9!MSW-A</vt:lpstr>
    </vt:vector>
  </TitlesOfParts>
  <Manager>General Secretariat - Pool</Manager>
  <Company>International Telecommunication Union (ITU)</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R15-WRC15-C-0061!A21-A9!MSW-A</dc:title>
  <dc:creator>Documents Proposals Manager (DPM)</dc:creator>
  <cp:keywords>DPM_v5.2015.10.15_prod</cp:keywords>
  <cp:lastModifiedBy>Awad, Samy</cp:lastModifiedBy>
  <cp:revision>4</cp:revision>
  <cp:lastPrinted>2015-10-26T21:44:00Z</cp:lastPrinted>
  <dcterms:created xsi:type="dcterms:W3CDTF">2015-10-28T20:03:00Z</dcterms:created>
  <dcterms:modified xsi:type="dcterms:W3CDTF">2015-10-28T20:04:00Z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