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5B085F"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bookmarkStart w:id="0" w:name="ditulogo"/>
            <w:bookmarkEnd w:id="0"/>
            <w:r>
              <w:rPr>
                <w:noProof/>
                <w:lang w:val="en-GB"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120" w:type="dxa"/>
            <w:shd w:val="clear" w:color="auto" w:fill="auto"/>
          </w:tcPr>
          <w:p w:rsidR="0090121B" w:rsidRPr="005B085F" w:rsidRDefault="00AE658F" w:rsidP="0045384C">
            <w:pPr>
              <w:spacing w:before="0"/>
              <w:rPr>
                <w:rFonts w:ascii="Verdana" w:hAnsi="Verdana"/>
                <w:sz w:val="20"/>
              </w:rPr>
            </w:pPr>
            <w:r w:rsidRPr="005B085F">
              <w:rPr>
                <w:rFonts w:ascii="Verdana" w:eastAsia="SimSun" w:hAnsi="Verdana" w:cs="Traditional Arabic"/>
                <w:b/>
                <w:sz w:val="20"/>
              </w:rPr>
              <w:t>Addéndum 8 al</w:t>
            </w:r>
            <w:r w:rsidRPr="005B085F">
              <w:rPr>
                <w:rFonts w:ascii="Verdana" w:eastAsia="SimSun" w:hAnsi="Verdana" w:cs="Traditional Arabic"/>
                <w:b/>
                <w:sz w:val="20"/>
              </w:rPr>
              <w:br/>
              <w:t>Documento 61(Add.21)</w:t>
            </w:r>
            <w:r w:rsidR="0090121B" w:rsidRPr="005B085F">
              <w:rPr>
                <w:rFonts w:ascii="Verdana" w:hAnsi="Verdana"/>
                <w:b/>
                <w:sz w:val="20"/>
              </w:rPr>
              <w:t>-</w:t>
            </w:r>
            <w:r w:rsidRPr="005B085F">
              <w:rPr>
                <w:rFonts w:ascii="Verdana" w:hAnsi="Verdana"/>
                <w:b/>
                <w:sz w:val="20"/>
              </w:rPr>
              <w:t>S</w:t>
            </w:r>
          </w:p>
        </w:tc>
      </w:tr>
      <w:bookmarkEnd w:id="1"/>
      <w:tr w:rsidR="000A5B9A" w:rsidRPr="0002785D" w:rsidTr="0090121B">
        <w:trPr>
          <w:cantSplit/>
        </w:trPr>
        <w:tc>
          <w:tcPr>
            <w:tcW w:w="6911" w:type="dxa"/>
            <w:shd w:val="clear" w:color="auto" w:fill="auto"/>
          </w:tcPr>
          <w:p w:rsidR="000A5B9A" w:rsidRPr="005B085F" w:rsidRDefault="000A5B9A" w:rsidP="0045384C">
            <w:pPr>
              <w:spacing w:before="0" w:after="48"/>
              <w:rPr>
                <w:rFonts w:ascii="Verdana" w:hAnsi="Verdana"/>
                <w:b/>
                <w:smallCaps/>
                <w:sz w:val="20"/>
              </w:rPr>
            </w:pPr>
          </w:p>
        </w:tc>
        <w:tc>
          <w:tcPr>
            <w:tcW w:w="3120"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14 de octubre de 2015</w:t>
            </w:r>
          </w:p>
        </w:tc>
      </w:tr>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02785D" w:rsidRDefault="000A5B9A" w:rsidP="000A5B9A">
            <w:pPr>
              <w:pStyle w:val="Source"/>
              <w:rPr>
                <w:lang w:val="en-US"/>
              </w:rPr>
            </w:pPr>
            <w:bookmarkStart w:id="2" w:name="dsource" w:colFirst="0" w:colLast="0"/>
            <w:r w:rsidRPr="0002785D">
              <w:rPr>
                <w:lang w:val="en-US"/>
              </w:rPr>
              <w:t>Irán (República Islámica del)</w:t>
            </w:r>
          </w:p>
        </w:tc>
      </w:tr>
      <w:tr w:rsidR="000A5B9A" w:rsidRPr="0002785D" w:rsidTr="0050008E">
        <w:trPr>
          <w:cantSplit/>
        </w:trPr>
        <w:tc>
          <w:tcPr>
            <w:tcW w:w="10031" w:type="dxa"/>
            <w:gridSpan w:val="2"/>
          </w:tcPr>
          <w:p w:rsidR="000A5B9A" w:rsidRPr="005B085F" w:rsidRDefault="005B085F" w:rsidP="000A5B9A">
            <w:pPr>
              <w:pStyle w:val="Title1"/>
            </w:pPr>
            <w:bookmarkStart w:id="3" w:name="dtitle1" w:colFirst="0" w:colLast="0"/>
            <w:bookmarkEnd w:id="2"/>
            <w:r w:rsidRPr="005B085F">
              <w:t>PROPUESTAS PARA LOS TRABAJOS DE LA CONFERENCIA</w:t>
            </w:r>
          </w:p>
        </w:tc>
      </w:tr>
      <w:tr w:rsidR="000A5B9A" w:rsidRPr="0002785D" w:rsidTr="0050008E">
        <w:trPr>
          <w:cantSplit/>
        </w:trPr>
        <w:tc>
          <w:tcPr>
            <w:tcW w:w="10031" w:type="dxa"/>
            <w:gridSpan w:val="2"/>
          </w:tcPr>
          <w:p w:rsidR="000A5B9A" w:rsidRPr="005B085F" w:rsidRDefault="000A5B9A" w:rsidP="000A5B9A">
            <w:pPr>
              <w:pStyle w:val="Title2"/>
            </w:pPr>
            <w:bookmarkStart w:id="4" w:name="dtitle2" w:colFirst="0" w:colLast="0"/>
            <w:bookmarkEnd w:id="3"/>
          </w:p>
        </w:tc>
      </w:tr>
      <w:tr w:rsidR="000A5B9A" w:rsidTr="0050008E">
        <w:trPr>
          <w:cantSplit/>
        </w:trPr>
        <w:tc>
          <w:tcPr>
            <w:tcW w:w="10031" w:type="dxa"/>
            <w:gridSpan w:val="2"/>
          </w:tcPr>
          <w:p w:rsidR="000A5B9A" w:rsidRDefault="000A5B9A" w:rsidP="000A5B9A">
            <w:pPr>
              <w:pStyle w:val="Agendaitem"/>
            </w:pPr>
            <w:bookmarkStart w:id="5" w:name="dtitle3" w:colFirst="0" w:colLast="0"/>
            <w:bookmarkEnd w:id="4"/>
            <w:r w:rsidRPr="00AE658F">
              <w:t>Punto 7(H) del orden del día</w:t>
            </w:r>
          </w:p>
        </w:tc>
      </w:tr>
    </w:tbl>
    <w:bookmarkEnd w:id="5"/>
    <w:p w:rsidR="001C0E40" w:rsidRPr="009424B4" w:rsidRDefault="00106409" w:rsidP="002D2EA3">
      <w:r w:rsidRPr="00211854">
        <w:t>7</w:t>
      </w:r>
      <w:r w:rsidRPr="00211854">
        <w:tab/>
        <w:t>considerar posibles modificaciones y otras opciones como consecuencia de la Resolución</w:t>
      </w:r>
      <w:r>
        <w:t> </w:t>
      </w:r>
      <w:r w:rsidRPr="00211854">
        <w:t xml:space="preserve">86 (Rev. Marrakech, 2002) de la Conferencia de Plenipotenciarios: «Procedimientos de publicación anticipada, de coordinación, de notificación y de inscripción de asignaciones de frecuencias de redes de satélite», de conformidad con la Resolución </w:t>
      </w:r>
      <w:r w:rsidRPr="00211854">
        <w:rPr>
          <w:b/>
          <w:bCs/>
        </w:rPr>
        <w:t>86 (Rev.CMR-07)</w:t>
      </w:r>
      <w:r w:rsidRPr="00211854">
        <w:t>, para facilitar la utilización racional, eficaz y económica de las frecuencias radioeléctricas y toda órbita asociada, incluida la órbita de los satélites geoestacionarios;</w:t>
      </w:r>
    </w:p>
    <w:p w:rsidR="001C0E40" w:rsidRPr="00A02D3B" w:rsidRDefault="00106409" w:rsidP="002D2EA3">
      <w:r>
        <w:t>7(H)</w:t>
      </w:r>
      <w:r>
        <w:tab/>
      </w:r>
      <w:r w:rsidRPr="00A02D3B">
        <w:t>Tema H</w:t>
      </w:r>
      <w:r w:rsidRPr="00646F4E">
        <w:rPr>
          <w:lang w:val="es-ES"/>
        </w:rPr>
        <w:t xml:space="preserve"> – </w:t>
      </w:r>
      <w:r w:rsidRPr="00A02D3B">
        <w:t>Utilización de una estación espacial para poner en servicio asignaciones de frecuencias en posiciones orbitales diferentes dentro de un breve periodo de tiempo</w:t>
      </w:r>
    </w:p>
    <w:p w:rsidR="005B085F" w:rsidRPr="002D2EA3" w:rsidRDefault="00FF447A" w:rsidP="002D2EA3">
      <w:pPr>
        <w:pStyle w:val="Headingb"/>
      </w:pPr>
      <w:r w:rsidRPr="002D2EA3">
        <w:t>Introducción</w:t>
      </w:r>
    </w:p>
    <w:p w:rsidR="005B085F" w:rsidRPr="002D2EA3" w:rsidRDefault="005B085F" w:rsidP="002D2EA3">
      <w:pPr>
        <w:rPr>
          <w:lang w:eastAsia="ko-KR"/>
        </w:rPr>
      </w:pPr>
      <w:r w:rsidRPr="002D2EA3">
        <w:rPr>
          <w:lang w:eastAsia="ko-KR"/>
        </w:rPr>
        <w:t xml:space="preserve">Los números </w:t>
      </w:r>
      <w:r w:rsidRPr="002D2EA3">
        <w:rPr>
          <w:b/>
          <w:lang w:eastAsia="ko-KR"/>
        </w:rPr>
        <w:t>11.44B</w:t>
      </w:r>
      <w:r w:rsidRPr="002D2EA3">
        <w:rPr>
          <w:bCs/>
          <w:lang w:eastAsia="ko-KR"/>
        </w:rPr>
        <w:t xml:space="preserve"> y </w:t>
      </w:r>
      <w:r w:rsidRPr="002D2EA3">
        <w:rPr>
          <w:b/>
          <w:bCs/>
        </w:rPr>
        <w:t>11.4</w:t>
      </w:r>
      <w:r w:rsidRPr="002D2EA3">
        <w:rPr>
          <w:b/>
          <w:bCs/>
          <w:lang w:eastAsia="ko-KR"/>
        </w:rPr>
        <w:t>9</w:t>
      </w:r>
      <w:r w:rsidRPr="002D2EA3">
        <w:rPr>
          <w:lang w:eastAsia="ko-KR"/>
        </w:rPr>
        <w:t xml:space="preserve"> del Reglamento de Radiocomunicaciones se revisaron en la CMR-12 a fin de aclarar ciertos aspectos relacionados con la puesta en servicio, o reanudación después de un periodo de suspensión, de asignaciones de frecuencias relacionadas con redes de satélites.</w:t>
      </w:r>
    </w:p>
    <w:p w:rsidR="005B085F" w:rsidRPr="002D2EA3" w:rsidRDefault="005B085F" w:rsidP="002D2EA3">
      <w:r w:rsidRPr="002D2EA3">
        <w:rPr>
          <w:lang w:eastAsia="ja-JP"/>
        </w:rPr>
        <w:t>Al adoptar estas disposiciones revisadas</w:t>
      </w:r>
      <w:r w:rsidR="00FF447A" w:rsidRPr="002D2EA3">
        <w:rPr>
          <w:lang w:eastAsia="ja-JP"/>
        </w:rPr>
        <w:t>,</w:t>
      </w:r>
      <w:r w:rsidRPr="002D2EA3">
        <w:rPr>
          <w:lang w:eastAsia="ja-JP"/>
        </w:rPr>
        <w:t xml:space="preserve"> la CMR-12 reconoció que el objetivo de esas nuevas disposiciones no era la utilización de una estación espacial para poner en servicio asignaciones de frecuencias en diferentes posiciones orbitales </w:t>
      </w:r>
      <w:r w:rsidR="00FF447A" w:rsidRPr="002D2EA3">
        <w:rPr>
          <w:lang w:eastAsia="ja-JP"/>
        </w:rPr>
        <w:t>en</w:t>
      </w:r>
      <w:r w:rsidRPr="002D2EA3">
        <w:rPr>
          <w:lang w:eastAsia="ja-JP"/>
        </w:rPr>
        <w:t xml:space="preserve"> un breve plazo de tiempo</w:t>
      </w:r>
      <w:r w:rsidRPr="002D2EA3">
        <w:t xml:space="preserve">. </w:t>
      </w:r>
      <w:r w:rsidR="00FF447A" w:rsidRPr="002D2EA3">
        <w:t>Sin embargo</w:t>
      </w:r>
      <w:r w:rsidRPr="002D2EA3">
        <w:t xml:space="preserve">, </w:t>
      </w:r>
      <w:r w:rsidR="00FF447A" w:rsidRPr="002D2EA3">
        <w:t xml:space="preserve">la información sobre la utilización de la órbita de satélites geoestacionarios, contenida por ejemplo en la base de datos </w:t>
      </w:r>
      <w:r w:rsidRPr="002D2EA3">
        <w:t xml:space="preserve">NORAD, </w:t>
      </w:r>
      <w:r w:rsidR="00FF447A" w:rsidRPr="002D2EA3">
        <w:t xml:space="preserve">muestra que existen casos en que un satélite en órbita se ha desplazado a una posición orbital y se ha mantenido </w:t>
      </w:r>
      <w:r w:rsidRPr="002D2EA3">
        <w:t>90 + α d</w:t>
      </w:r>
      <w:r w:rsidR="00FF447A" w:rsidRPr="002D2EA3">
        <w:t xml:space="preserve">ías y, a continuación, se ha desplazado a otra </w:t>
      </w:r>
      <w:r w:rsidR="00FF447A" w:rsidRPr="002D2EA3">
        <w:lastRenderedPageBreak/>
        <w:t>posición orbital</w:t>
      </w:r>
      <w:r w:rsidRPr="002D2EA3">
        <w:t xml:space="preserve">, </w:t>
      </w:r>
      <w:r w:rsidR="00FF447A" w:rsidRPr="002D2EA3">
        <w:t>y la administración del caso ha informado a la Oficina de la puesta en servicio de las correspondientes asignaciones de frecuencia</w:t>
      </w:r>
      <w:r w:rsidRPr="002D2EA3">
        <w:t>.</w:t>
      </w:r>
    </w:p>
    <w:p w:rsidR="005B085F" w:rsidRPr="0084331F" w:rsidRDefault="00517527" w:rsidP="002D2EA3">
      <w:pPr>
        <w:rPr>
          <w:color w:val="000000" w:themeColor="text1"/>
        </w:rPr>
      </w:pPr>
      <w:r w:rsidRPr="002D2EA3">
        <w:rPr>
          <w:lang w:eastAsia="ja-JP"/>
        </w:rPr>
        <w:t xml:space="preserve">No obstante, se reconoció también que pueden existir razones legítimas por las que una administración u operador necesite desplazar un vehículo espacial de una posición </w:t>
      </w:r>
      <w:r w:rsidRPr="002D2EA3">
        <w:t>orbital a otra</w:t>
      </w:r>
      <w:r w:rsidRPr="002D2EA3">
        <w:rPr>
          <w:rStyle w:val="FootnoteReference"/>
        </w:rPr>
        <w:footnoteReference w:customMarkFollows="1" w:id="1"/>
        <w:t>1</w:t>
      </w:r>
      <w:r w:rsidRPr="002D2EA3">
        <w:t xml:space="preserve"> y no se debe tratar de restringir la maniobrabilidad y gestión legítimas de los satélites. </w:t>
      </w:r>
      <w:r w:rsidRPr="002D2EA3">
        <w:rPr>
          <w:lang w:eastAsia="ja-JP"/>
        </w:rPr>
        <w:t>Se pidió al UIT-R que estudiara este asunto. En su reunión plenaria, la CMR-12 también solicitó</w:t>
      </w:r>
      <w:r w:rsidR="00614B04" w:rsidRPr="002D2EA3">
        <w:rPr>
          <w:lang w:eastAsia="ja-JP"/>
        </w:rPr>
        <w:t xml:space="preserve"> a la BR que, </w:t>
      </w:r>
      <w:r w:rsidR="00614B04" w:rsidRPr="0084331F">
        <w:rPr>
          <w:color w:val="000000" w:themeColor="text1"/>
        </w:rPr>
        <w:t>hasta tanto no se hayan concluido los estudios, si una administración pone en servicio asignaciones de frecuencias en una determinada posición orbital utilizando un satélite que ya está en órbita, la BR deberá consultar con esa administración la posición orbital/las asignaciones de frecuencias puestas anteriormente en servicio con ese satélite y facilitar esa información.</w:t>
      </w:r>
    </w:p>
    <w:p w:rsidR="005B085F" w:rsidRPr="0084331F" w:rsidRDefault="00614B04" w:rsidP="002D2EA3">
      <w:pPr>
        <w:rPr>
          <w:color w:val="000000" w:themeColor="text1"/>
        </w:rPr>
      </w:pPr>
      <w:r w:rsidRPr="0084331F">
        <w:rPr>
          <w:color w:val="000000" w:themeColor="text1"/>
        </w:rPr>
        <w:t>El primer paso consistió en estudiar ejemplos de los casos de las asignaciones de frecuencias puestas en servicio en distintas posiciones</w:t>
      </w:r>
      <w:r w:rsidR="000530C6">
        <w:rPr>
          <w:color w:val="000000" w:themeColor="text1"/>
        </w:rPr>
        <w:t xml:space="preserve"> orbitales que se consideraban «legítimas» y «contrarias»</w:t>
      </w:r>
      <w:bookmarkStart w:id="6" w:name="_GoBack"/>
      <w:bookmarkEnd w:id="6"/>
      <w:r w:rsidRPr="0084331F">
        <w:rPr>
          <w:color w:val="000000" w:themeColor="text1"/>
        </w:rPr>
        <w:t xml:space="preserve"> a las disposiciones </w:t>
      </w:r>
      <w:r w:rsidR="005B085F" w:rsidRPr="0084331F">
        <w:rPr>
          <w:color w:val="000000" w:themeColor="text1"/>
        </w:rPr>
        <w:t xml:space="preserve">11.44B </w:t>
      </w:r>
      <w:r w:rsidRPr="0084331F">
        <w:rPr>
          <w:color w:val="000000" w:themeColor="text1"/>
        </w:rPr>
        <w:t xml:space="preserve">y </w:t>
      </w:r>
      <w:r w:rsidR="005B085F" w:rsidRPr="0084331F">
        <w:rPr>
          <w:color w:val="000000" w:themeColor="text1"/>
        </w:rPr>
        <w:t>11.49.</w:t>
      </w:r>
    </w:p>
    <w:p w:rsidR="005B085F" w:rsidRPr="0084331F" w:rsidRDefault="00614B04" w:rsidP="002D2EA3">
      <w:pPr>
        <w:rPr>
          <w:color w:val="000000" w:themeColor="text1"/>
        </w:rPr>
      </w:pPr>
      <w:r w:rsidRPr="0084331F">
        <w:rPr>
          <w:color w:val="000000" w:themeColor="text1"/>
        </w:rPr>
        <w:t xml:space="preserve">Se han elaborado seis métodos para </w:t>
      </w:r>
      <w:r w:rsidR="00094116" w:rsidRPr="0084331F">
        <w:rPr>
          <w:color w:val="000000" w:themeColor="text1"/>
        </w:rPr>
        <w:t>resolver</w:t>
      </w:r>
      <w:r w:rsidRPr="0084331F">
        <w:rPr>
          <w:color w:val="000000" w:themeColor="text1"/>
        </w:rPr>
        <w:t xml:space="preserve"> este problema</w:t>
      </w:r>
      <w:r w:rsidR="005B085F" w:rsidRPr="0084331F">
        <w:rPr>
          <w:color w:val="000000" w:themeColor="text1"/>
        </w:rPr>
        <w:t>.</w:t>
      </w:r>
    </w:p>
    <w:p w:rsidR="005B085F" w:rsidRPr="0084331F" w:rsidRDefault="005B085F" w:rsidP="002D2EA3">
      <w:pPr>
        <w:pStyle w:val="Headingb"/>
        <w:rPr>
          <w:color w:val="000000" w:themeColor="text1"/>
        </w:rPr>
      </w:pPr>
      <w:r w:rsidRPr="0084331F">
        <w:rPr>
          <w:color w:val="000000" w:themeColor="text1"/>
        </w:rPr>
        <w:t>Prop</w:t>
      </w:r>
      <w:r w:rsidR="00614B04" w:rsidRPr="0084331F">
        <w:rPr>
          <w:color w:val="000000" w:themeColor="text1"/>
        </w:rPr>
        <w:t>uesta</w:t>
      </w:r>
    </w:p>
    <w:p w:rsidR="00363A65" w:rsidRPr="0084331F" w:rsidRDefault="00363A65" w:rsidP="002D2EA3">
      <w:pPr>
        <w:rPr>
          <w:color w:val="000000" w:themeColor="text1"/>
        </w:rPr>
      </w:pPr>
    </w:p>
    <w:p w:rsidR="00F008F3" w:rsidRPr="0084331F" w:rsidRDefault="00106409" w:rsidP="002D2EA3">
      <w:pPr>
        <w:pStyle w:val="ArtNo"/>
        <w:rPr>
          <w:color w:val="000000" w:themeColor="text1"/>
        </w:rPr>
      </w:pPr>
      <w:r w:rsidRPr="0084331F">
        <w:rPr>
          <w:color w:val="000000" w:themeColor="text1"/>
        </w:rPr>
        <w:t xml:space="preserve">ARTÍCULO </w:t>
      </w:r>
      <w:r w:rsidRPr="0084331F">
        <w:rPr>
          <w:rStyle w:val="href"/>
          <w:color w:val="000000" w:themeColor="text1"/>
        </w:rPr>
        <w:t>11</w:t>
      </w:r>
    </w:p>
    <w:p w:rsidR="00F008F3" w:rsidRPr="0084331F" w:rsidRDefault="00106409" w:rsidP="002D2EA3">
      <w:pPr>
        <w:pStyle w:val="Arttitle"/>
        <w:spacing w:before="120"/>
        <w:rPr>
          <w:bCs/>
          <w:color w:val="000000" w:themeColor="text1"/>
        </w:rPr>
      </w:pPr>
      <w:r w:rsidRPr="0084331F">
        <w:rPr>
          <w:color w:val="000000" w:themeColor="text1"/>
        </w:rPr>
        <w:t>Notificación e inscripción de asignaciones</w:t>
      </w:r>
      <w:r w:rsidRPr="0084331F">
        <w:rPr>
          <w:color w:val="000000" w:themeColor="text1"/>
        </w:rPr>
        <w:br/>
        <w:t>de frecuencia</w:t>
      </w:r>
      <w:r w:rsidRPr="0084331F">
        <w:rPr>
          <w:rStyle w:val="FootnoteReference"/>
          <w:bCs/>
          <w:color w:val="000000" w:themeColor="text1"/>
          <w:szCs w:val="18"/>
        </w:rPr>
        <w:t>1</w:t>
      </w:r>
      <w:r w:rsidRPr="0084331F">
        <w:rPr>
          <w:bCs/>
          <w:color w:val="000000" w:themeColor="text1"/>
          <w:position w:val="6"/>
          <w:sz w:val="18"/>
          <w:szCs w:val="18"/>
        </w:rPr>
        <w:t xml:space="preserve">, </w:t>
      </w:r>
      <w:r w:rsidRPr="0084331F">
        <w:rPr>
          <w:rStyle w:val="FootnoteReference"/>
          <w:bCs/>
          <w:color w:val="000000" w:themeColor="text1"/>
          <w:szCs w:val="18"/>
        </w:rPr>
        <w:t>2</w:t>
      </w:r>
      <w:r w:rsidRPr="0084331F">
        <w:rPr>
          <w:bCs/>
          <w:color w:val="000000" w:themeColor="text1"/>
          <w:position w:val="6"/>
          <w:sz w:val="18"/>
          <w:szCs w:val="18"/>
        </w:rPr>
        <w:t xml:space="preserve">, </w:t>
      </w:r>
      <w:r w:rsidRPr="0084331F">
        <w:rPr>
          <w:rStyle w:val="FootnoteReference"/>
          <w:bCs/>
          <w:color w:val="000000" w:themeColor="text1"/>
          <w:szCs w:val="18"/>
        </w:rPr>
        <w:t>3</w:t>
      </w:r>
      <w:r w:rsidRPr="0084331F">
        <w:rPr>
          <w:bCs/>
          <w:color w:val="000000" w:themeColor="text1"/>
          <w:position w:val="6"/>
          <w:sz w:val="18"/>
          <w:szCs w:val="18"/>
        </w:rPr>
        <w:t xml:space="preserve">, </w:t>
      </w:r>
      <w:r w:rsidRPr="0084331F">
        <w:rPr>
          <w:rStyle w:val="FootnoteReference"/>
          <w:bCs/>
          <w:color w:val="000000" w:themeColor="text1"/>
          <w:szCs w:val="18"/>
        </w:rPr>
        <w:t>4</w:t>
      </w:r>
      <w:r w:rsidRPr="0084331F">
        <w:rPr>
          <w:bCs/>
          <w:color w:val="000000" w:themeColor="text1"/>
          <w:position w:val="6"/>
          <w:sz w:val="18"/>
          <w:szCs w:val="18"/>
        </w:rPr>
        <w:t xml:space="preserve">, </w:t>
      </w:r>
      <w:r w:rsidRPr="0084331F">
        <w:rPr>
          <w:rStyle w:val="FootnoteReference"/>
          <w:bCs/>
          <w:color w:val="000000" w:themeColor="text1"/>
          <w:szCs w:val="18"/>
        </w:rPr>
        <w:t>5</w:t>
      </w:r>
      <w:r w:rsidRPr="0084331F">
        <w:rPr>
          <w:bCs/>
          <w:color w:val="000000" w:themeColor="text1"/>
          <w:position w:val="6"/>
          <w:sz w:val="18"/>
          <w:szCs w:val="18"/>
        </w:rPr>
        <w:t xml:space="preserve">, </w:t>
      </w:r>
      <w:r w:rsidRPr="0084331F">
        <w:rPr>
          <w:rStyle w:val="FootnoteReference"/>
          <w:bCs/>
          <w:color w:val="000000" w:themeColor="text1"/>
          <w:szCs w:val="18"/>
        </w:rPr>
        <w:t>6</w:t>
      </w:r>
      <w:r w:rsidRPr="0084331F">
        <w:rPr>
          <w:bCs/>
          <w:color w:val="000000" w:themeColor="text1"/>
          <w:position w:val="6"/>
          <w:sz w:val="18"/>
          <w:szCs w:val="18"/>
        </w:rPr>
        <w:t xml:space="preserve">, </w:t>
      </w:r>
      <w:r w:rsidRPr="0084331F">
        <w:rPr>
          <w:rStyle w:val="FootnoteReference"/>
          <w:bCs/>
          <w:color w:val="000000" w:themeColor="text1"/>
          <w:szCs w:val="18"/>
        </w:rPr>
        <w:t>7,</w:t>
      </w:r>
      <w:r w:rsidRPr="0084331F">
        <w:rPr>
          <w:bCs/>
          <w:color w:val="000000" w:themeColor="text1"/>
          <w:sz w:val="18"/>
          <w:szCs w:val="18"/>
        </w:rPr>
        <w:t xml:space="preserve"> </w:t>
      </w:r>
      <w:r w:rsidRPr="0084331F">
        <w:rPr>
          <w:bCs/>
          <w:color w:val="000000" w:themeColor="text1"/>
          <w:position w:val="6"/>
          <w:sz w:val="18"/>
          <w:szCs w:val="18"/>
        </w:rPr>
        <w:t>7</w:t>
      </w:r>
      <w:r w:rsidRPr="0084331F">
        <w:rPr>
          <w:bCs/>
          <w:i/>
          <w:iCs/>
          <w:color w:val="000000" w:themeColor="text1"/>
          <w:position w:val="6"/>
          <w:sz w:val="18"/>
          <w:szCs w:val="18"/>
        </w:rPr>
        <w:t>bis</w:t>
      </w:r>
      <w:r w:rsidRPr="0084331F">
        <w:rPr>
          <w:b w:val="0"/>
          <w:color w:val="000000" w:themeColor="text1"/>
          <w:sz w:val="16"/>
        </w:rPr>
        <w:t>     (CMR</w:t>
      </w:r>
      <w:r w:rsidRPr="0084331F">
        <w:rPr>
          <w:b w:val="0"/>
          <w:color w:val="000000" w:themeColor="text1"/>
          <w:sz w:val="16"/>
        </w:rPr>
        <w:noBreakHyphen/>
        <w:t>12)</w:t>
      </w:r>
    </w:p>
    <w:p w:rsidR="003D6B1B" w:rsidRPr="0084331F" w:rsidRDefault="00106409" w:rsidP="002D2EA3">
      <w:pPr>
        <w:pStyle w:val="Proposal"/>
        <w:rPr>
          <w:color w:val="000000" w:themeColor="text1"/>
        </w:rPr>
      </w:pPr>
      <w:r w:rsidRPr="0084331F">
        <w:rPr>
          <w:color w:val="000000" w:themeColor="text1"/>
          <w:u w:val="single"/>
        </w:rPr>
        <w:t>NOC</w:t>
      </w:r>
      <w:r w:rsidRPr="0084331F">
        <w:rPr>
          <w:color w:val="000000" w:themeColor="text1"/>
        </w:rPr>
        <w:tab/>
        <w:t>IRN/61A21A8/1</w:t>
      </w:r>
    </w:p>
    <w:p w:rsidR="001D34FF" w:rsidRPr="0084331F" w:rsidRDefault="00106409" w:rsidP="002D2EA3">
      <w:pPr>
        <w:pStyle w:val="Section1"/>
        <w:rPr>
          <w:color w:val="000000" w:themeColor="text1"/>
        </w:rPr>
      </w:pPr>
      <w:r w:rsidRPr="0084331F">
        <w:rPr>
          <w:color w:val="000000" w:themeColor="text1"/>
        </w:rPr>
        <w:t>Sección II – Examen de las notificaciones e inscripción de las asignaciones</w:t>
      </w:r>
      <w:r w:rsidRPr="0084331F">
        <w:rPr>
          <w:color w:val="000000" w:themeColor="text1"/>
        </w:rPr>
        <w:br/>
        <w:t>de frecuencia en el Registro</w:t>
      </w:r>
    </w:p>
    <w:p w:rsidR="003D6B1B" w:rsidRPr="0084331F" w:rsidRDefault="00106409" w:rsidP="002D2EA3">
      <w:pPr>
        <w:pStyle w:val="Reasons"/>
        <w:rPr>
          <w:color w:val="000000" w:themeColor="text1"/>
        </w:rPr>
      </w:pPr>
      <w:r w:rsidRPr="0084331F">
        <w:rPr>
          <w:b/>
          <w:color w:val="000000" w:themeColor="text1"/>
        </w:rPr>
        <w:t>Motivos:</w:t>
      </w:r>
      <w:r w:rsidRPr="0084331F">
        <w:rPr>
          <w:color w:val="000000" w:themeColor="text1"/>
        </w:rPr>
        <w:tab/>
      </w:r>
      <w:r w:rsidR="00886178" w:rsidRPr="0084331F">
        <w:rPr>
          <w:color w:val="000000" w:themeColor="text1"/>
        </w:rPr>
        <w:t xml:space="preserve">Cabe observar que este asunto fue examinado recientemente </w:t>
      </w:r>
      <w:r w:rsidR="00DB562C" w:rsidRPr="0084331F">
        <w:rPr>
          <w:color w:val="000000" w:themeColor="text1"/>
        </w:rPr>
        <w:t>por</w:t>
      </w:r>
      <w:r w:rsidR="00886178" w:rsidRPr="0084331F">
        <w:rPr>
          <w:color w:val="000000" w:themeColor="text1"/>
        </w:rPr>
        <w:t xml:space="preserve"> la CMR-12 y que </w:t>
      </w:r>
      <w:r w:rsidR="00DB562C" w:rsidRPr="0084331F">
        <w:rPr>
          <w:color w:val="000000" w:themeColor="text1"/>
        </w:rPr>
        <w:t>tal vez se necesite</w:t>
      </w:r>
      <w:r w:rsidR="00886178" w:rsidRPr="0084331F">
        <w:rPr>
          <w:color w:val="000000" w:themeColor="text1"/>
        </w:rPr>
        <w:t xml:space="preserve"> más tiempo para determinar todas las consecuencias reglamentarias del nuevo paquete de disposiciones reglamentarias. N</w:t>
      </w:r>
      <w:r w:rsidR="00DB562C" w:rsidRPr="0084331F">
        <w:rPr>
          <w:color w:val="000000" w:themeColor="text1"/>
        </w:rPr>
        <w:t>o modificar (N</w:t>
      </w:r>
      <w:r w:rsidR="00886178" w:rsidRPr="0084331F">
        <w:rPr>
          <w:color w:val="000000" w:themeColor="text1"/>
        </w:rPr>
        <w:t>OC</w:t>
      </w:r>
      <w:r w:rsidR="00DB562C" w:rsidRPr="0084331F">
        <w:rPr>
          <w:color w:val="000000" w:themeColor="text1"/>
        </w:rPr>
        <w:t>)</w:t>
      </w:r>
      <w:r w:rsidR="00886178" w:rsidRPr="0084331F">
        <w:rPr>
          <w:color w:val="000000" w:themeColor="text1"/>
        </w:rPr>
        <w:t xml:space="preserve"> e</w:t>
      </w:r>
      <w:r w:rsidR="00DB562C" w:rsidRPr="0084331F">
        <w:rPr>
          <w:color w:val="000000" w:themeColor="text1"/>
        </w:rPr>
        <w:t xml:space="preserve">l RR, ya que las prácticas actuales bastan para resolver este problema. </w:t>
      </w:r>
    </w:p>
    <w:p w:rsidR="0084331F" w:rsidRPr="0084331F" w:rsidRDefault="0084331F" w:rsidP="0032202E">
      <w:pPr>
        <w:pStyle w:val="Reasons"/>
        <w:rPr>
          <w:color w:val="000000" w:themeColor="text1"/>
        </w:rPr>
      </w:pPr>
    </w:p>
    <w:p w:rsidR="0084331F" w:rsidRPr="0084331F" w:rsidRDefault="0084331F">
      <w:pPr>
        <w:jc w:val="center"/>
        <w:rPr>
          <w:color w:val="000000" w:themeColor="text1"/>
        </w:rPr>
      </w:pPr>
      <w:r w:rsidRPr="0084331F">
        <w:rPr>
          <w:color w:val="000000" w:themeColor="text1"/>
        </w:rPr>
        <w:t>______________</w:t>
      </w:r>
    </w:p>
    <w:p w:rsidR="0084331F" w:rsidRPr="0084331F" w:rsidRDefault="0084331F" w:rsidP="002D2EA3">
      <w:pPr>
        <w:pStyle w:val="Reasons"/>
        <w:rPr>
          <w:color w:val="000000" w:themeColor="text1"/>
        </w:rPr>
      </w:pPr>
    </w:p>
    <w:sectPr w:rsidR="0084331F" w:rsidRPr="0084331F">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84331F" w:rsidRDefault="0077084A">
    <w:pPr>
      <w:ind w:right="360"/>
    </w:pPr>
    <w:r>
      <w:fldChar w:fldCharType="begin"/>
    </w:r>
    <w:r w:rsidRPr="0084331F">
      <w:instrText xml:space="preserve"> FILENAME \p  \* MERGEFORMAT </w:instrText>
    </w:r>
    <w:r>
      <w:fldChar w:fldCharType="separate"/>
    </w:r>
    <w:r w:rsidR="009323F1">
      <w:rPr>
        <w:noProof/>
      </w:rPr>
      <w:t>P:\ESP\ITU-R\CONF-R\CMR15\000\061ADD21ADD8S.docx</w:t>
    </w:r>
    <w:r>
      <w:fldChar w:fldCharType="end"/>
    </w:r>
    <w:r w:rsidRPr="0084331F">
      <w:tab/>
    </w:r>
    <w:r>
      <w:fldChar w:fldCharType="begin"/>
    </w:r>
    <w:r>
      <w:instrText xml:space="preserve"> SAVEDATE \@ DD.MM.YY </w:instrText>
    </w:r>
    <w:r>
      <w:fldChar w:fldCharType="separate"/>
    </w:r>
    <w:r w:rsidR="009323F1">
      <w:rPr>
        <w:noProof/>
      </w:rPr>
      <w:t>21.10.15</w:t>
    </w:r>
    <w:r>
      <w:fldChar w:fldCharType="end"/>
    </w:r>
    <w:r w:rsidRPr="0084331F">
      <w:tab/>
    </w:r>
    <w:r>
      <w:fldChar w:fldCharType="begin"/>
    </w:r>
    <w:r>
      <w:instrText xml:space="preserve"> PRINTDATE \@ DD.MM.YY </w:instrText>
    </w:r>
    <w:r>
      <w:fldChar w:fldCharType="separate"/>
    </w:r>
    <w:r w:rsidR="009323F1">
      <w:rPr>
        <w:noProof/>
      </w:rPr>
      <w:t>21.10.15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31F" w:rsidRDefault="0084331F" w:rsidP="0084331F">
    <w:pPr>
      <w:pStyle w:val="Footer"/>
    </w:pPr>
    <w:r>
      <w:fldChar w:fldCharType="begin"/>
    </w:r>
    <w:r>
      <w:instrText xml:space="preserve"> FILENAME \p  \* MERGEFORMAT </w:instrText>
    </w:r>
    <w:r>
      <w:fldChar w:fldCharType="separate"/>
    </w:r>
    <w:r w:rsidR="009323F1">
      <w:t>P:\ESP\ITU-R\CONF-R\CMR15\000\061ADD21ADD8S.docx</w:t>
    </w:r>
    <w:r>
      <w:fldChar w:fldCharType="end"/>
    </w:r>
    <w:r>
      <w:t xml:space="preserve"> (388293)</w:t>
    </w:r>
    <w:r>
      <w:tab/>
    </w:r>
    <w:r>
      <w:fldChar w:fldCharType="begin"/>
    </w:r>
    <w:r>
      <w:instrText xml:space="preserve"> SAVEDATE \@ DD.MM.YY </w:instrText>
    </w:r>
    <w:r>
      <w:fldChar w:fldCharType="separate"/>
    </w:r>
    <w:r w:rsidR="009323F1">
      <w:t>21.10.15</w:t>
    </w:r>
    <w:r>
      <w:fldChar w:fldCharType="end"/>
    </w:r>
    <w:r>
      <w:tab/>
    </w:r>
    <w:r>
      <w:fldChar w:fldCharType="begin"/>
    </w:r>
    <w:r>
      <w:instrText xml:space="preserve"> PRINTDATE \@ DD.MM.YY </w:instrText>
    </w:r>
    <w:r>
      <w:fldChar w:fldCharType="separate"/>
    </w:r>
    <w:r w:rsidR="009323F1">
      <w:t>21.10.15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31F" w:rsidRDefault="0084331F">
    <w:pPr>
      <w:pStyle w:val="Footer"/>
    </w:pPr>
    <w:fldSimple w:instr=" FILENAME \p  \* MERGEFORMAT ">
      <w:r w:rsidR="009323F1">
        <w:t>P:\ESP\ITU-R\CONF-R\CMR15\000\061ADD21ADD8S.docx</w:t>
      </w:r>
    </w:fldSimple>
    <w:r>
      <w:t xml:space="preserve"> (388293)</w:t>
    </w:r>
    <w:r>
      <w:tab/>
    </w:r>
    <w:r>
      <w:fldChar w:fldCharType="begin"/>
    </w:r>
    <w:r>
      <w:instrText xml:space="preserve"> SAVEDATE \@ DD.MM.YY </w:instrText>
    </w:r>
    <w:r>
      <w:fldChar w:fldCharType="separate"/>
    </w:r>
    <w:r w:rsidR="009323F1">
      <w:t>21.10.15</w:t>
    </w:r>
    <w:r>
      <w:fldChar w:fldCharType="end"/>
    </w:r>
    <w:r>
      <w:tab/>
    </w:r>
    <w:r>
      <w:fldChar w:fldCharType="begin"/>
    </w:r>
    <w:r>
      <w:instrText xml:space="preserve"> PRINTDATE \@ DD.MM.YY </w:instrText>
    </w:r>
    <w:r>
      <w:fldChar w:fldCharType="separate"/>
    </w:r>
    <w:r w:rsidR="009323F1">
      <w:t>21.10.15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 w:id="1">
    <w:p w:rsidR="00517527" w:rsidRPr="00231541" w:rsidRDefault="00517527" w:rsidP="00517527">
      <w:pPr>
        <w:tabs>
          <w:tab w:val="clear" w:pos="1134"/>
          <w:tab w:val="clear" w:pos="1871"/>
          <w:tab w:val="clear" w:pos="2268"/>
          <w:tab w:val="left" w:pos="284"/>
        </w:tabs>
        <w:rPr>
          <w:szCs w:val="24"/>
        </w:rPr>
      </w:pPr>
      <w:r>
        <w:rPr>
          <w:rStyle w:val="FootnoteReference"/>
        </w:rPr>
        <w:t>1</w:t>
      </w:r>
      <w:r w:rsidRPr="00231541">
        <w:tab/>
      </w:r>
      <w:r w:rsidRPr="00984CB9">
        <w:rPr>
          <w:rStyle w:val="FootnoteTextChar"/>
        </w:rPr>
        <w:t xml:space="preserve">Este desplazamiento legítimo no deberá ser contrario ni entrar en conflicto con las disposiciones </w:t>
      </w:r>
      <w:r w:rsidR="0084331F">
        <w:rPr>
          <w:rStyle w:val="FootnoteTextChar"/>
        </w:rPr>
        <w:tab/>
      </w:r>
      <w:r w:rsidRPr="00984CB9">
        <w:rPr>
          <w:rStyle w:val="FootnoteTextChar"/>
        </w:rPr>
        <w:t>pertinentes del RR.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323F1">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61(Add.21)(Add.8)-</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530C6"/>
    <w:rsid w:val="00087AE8"/>
    <w:rsid w:val="00094116"/>
    <w:rsid w:val="000A5B9A"/>
    <w:rsid w:val="000E5BF9"/>
    <w:rsid w:val="000F0E6D"/>
    <w:rsid w:val="00106409"/>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D2EA3"/>
    <w:rsid w:val="002E701F"/>
    <w:rsid w:val="003248A9"/>
    <w:rsid w:val="00324FFA"/>
    <w:rsid w:val="0032680B"/>
    <w:rsid w:val="00363A65"/>
    <w:rsid w:val="003B1E8C"/>
    <w:rsid w:val="003C2508"/>
    <w:rsid w:val="003D0AA3"/>
    <w:rsid w:val="003D6B1B"/>
    <w:rsid w:val="00440B3A"/>
    <w:rsid w:val="0045384C"/>
    <w:rsid w:val="00454553"/>
    <w:rsid w:val="004B124A"/>
    <w:rsid w:val="004C3641"/>
    <w:rsid w:val="005133B5"/>
    <w:rsid w:val="00517527"/>
    <w:rsid w:val="00532097"/>
    <w:rsid w:val="0058350F"/>
    <w:rsid w:val="00583C7E"/>
    <w:rsid w:val="005B085F"/>
    <w:rsid w:val="005D46FB"/>
    <w:rsid w:val="005F2605"/>
    <w:rsid w:val="005F3B0E"/>
    <w:rsid w:val="005F559C"/>
    <w:rsid w:val="00614B04"/>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4331F"/>
    <w:rsid w:val="00866AE6"/>
    <w:rsid w:val="008750A8"/>
    <w:rsid w:val="00886178"/>
    <w:rsid w:val="008B29F8"/>
    <w:rsid w:val="008E5AF2"/>
    <w:rsid w:val="0090121B"/>
    <w:rsid w:val="009144C9"/>
    <w:rsid w:val="009323F1"/>
    <w:rsid w:val="0094091F"/>
    <w:rsid w:val="00973754"/>
    <w:rsid w:val="009C0BED"/>
    <w:rsid w:val="009E11EC"/>
    <w:rsid w:val="00A118DB"/>
    <w:rsid w:val="00A4450C"/>
    <w:rsid w:val="00AA5E6C"/>
    <w:rsid w:val="00AE4E91"/>
    <w:rsid w:val="00AE5677"/>
    <w:rsid w:val="00AE658F"/>
    <w:rsid w:val="00AF2F78"/>
    <w:rsid w:val="00B239FA"/>
    <w:rsid w:val="00B52D55"/>
    <w:rsid w:val="00B8288C"/>
    <w:rsid w:val="00BB0B63"/>
    <w:rsid w:val="00BC2325"/>
    <w:rsid w:val="00BE2E80"/>
    <w:rsid w:val="00BE5EDD"/>
    <w:rsid w:val="00BE6A1F"/>
    <w:rsid w:val="00C126C4"/>
    <w:rsid w:val="00C63EB5"/>
    <w:rsid w:val="00CC01E0"/>
    <w:rsid w:val="00CD5FEE"/>
    <w:rsid w:val="00CE60D2"/>
    <w:rsid w:val="00CE7431"/>
    <w:rsid w:val="00D0288A"/>
    <w:rsid w:val="00D72A5D"/>
    <w:rsid w:val="00DB562C"/>
    <w:rsid w:val="00DC629B"/>
    <w:rsid w:val="00E05BFF"/>
    <w:rsid w:val="00E262F1"/>
    <w:rsid w:val="00E3176A"/>
    <w:rsid w:val="00E54754"/>
    <w:rsid w:val="00E56BD3"/>
    <w:rsid w:val="00E71D14"/>
    <w:rsid w:val="00F66597"/>
    <w:rsid w:val="00F675D0"/>
    <w:rsid w:val="00F8150C"/>
    <w:rsid w:val="00FE4574"/>
    <w:rsid w:val="00FF44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B9FEB27-E8C2-46D4-A360-F4115B92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5B085F"/>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R15-WRC15-C-0061!A21-A8!MSW-S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D0980882-33EB-4CEA-9103-5308B39CA21B}">
  <ds:schemaRefs>
    <ds:schemaRef ds:uri="http://purl.org/dc/elements/1.1/"/>
    <ds:schemaRef ds:uri="http://schemas.microsoft.com/office/2006/documentManagement/types"/>
    <ds:schemaRef ds:uri="http://www.w3.org/XML/1998/namespace"/>
    <ds:schemaRef ds:uri="http://purl.org/dc/dcmitype/"/>
    <ds:schemaRef ds:uri="996b2e75-67fd-4955-a3b0-5ab9934cb50b"/>
    <ds:schemaRef ds:uri="http://schemas.microsoft.com/office/infopath/2007/PartnerControls"/>
    <ds:schemaRef ds:uri="http://schemas.openxmlformats.org/package/2006/metadata/core-properties"/>
    <ds:schemaRef ds:uri="32a1a8c5-2265-4ebc-b7a0-2071e2c5c9b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8D5A78-84DE-4987-891C-F07E35C3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548</Words>
  <Characters>3118</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R15-WRC15-C-0061!A21-A8!MSW-S</vt:lpstr>
    </vt:vector>
  </TitlesOfParts>
  <Manager>Secretaría General - Pool</Manager>
  <Company>Unión Internacional de Telecomunicaciones (UIT)</Company>
  <LinksUpToDate>false</LinksUpToDate>
  <CharactersWithSpaces>3649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R15-WRC15-C-0061!A21-A8!MSW-S</dc:title>
  <dc:subject>Conferencia Mundial de Radiocomunicaciones - 2015</dc:subject>
  <dc:creator>Documents Proposals Manager (DPM)</dc:creator>
  <cp:keywords>DPM_v5.2015.10.15_prod</cp:keywords>
  <dc:description/>
  <cp:lastModifiedBy>Spanish</cp:lastModifiedBy>
  <cp:revision>4</cp:revision>
  <cp:lastPrinted>2015-10-21T20:36:00Z</cp:lastPrinted>
  <dcterms:created xsi:type="dcterms:W3CDTF">2015-10-21T20:00:00Z</dcterms:created>
  <dcterms:modified xsi:type="dcterms:W3CDTF">2015-10-21T20:37:00Z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