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117A950C" w14:textId="77777777" w:rsidTr="0050008E">
        <w:trPr>
          <w:cantSplit/>
        </w:trPr>
        <w:tc>
          <w:tcPr>
            <w:tcW w:w="6911" w:type="dxa"/>
          </w:tcPr>
          <w:p w14:paraId="028A1B07" w14:textId="77777777"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14:paraId="073B856F" w14:textId="77777777"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5BF8269C" wp14:editId="59EE1E17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39DBF0BB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26B4ADCA" w14:textId="77777777"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7C7BF110" w14:textId="77777777"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4A722B54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5AF062F" w14:textId="77777777"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668D0127" w14:textId="77777777"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3B758349" w14:textId="77777777" w:rsidTr="00BB1D82">
        <w:trPr>
          <w:cantSplit/>
        </w:trPr>
        <w:tc>
          <w:tcPr>
            <w:tcW w:w="6911" w:type="dxa"/>
            <w:shd w:val="clear" w:color="auto" w:fill="auto"/>
          </w:tcPr>
          <w:p w14:paraId="18F52084" w14:textId="77777777"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14:paraId="0EED2A1E" w14:textId="77777777" w:rsidR="00BB1D82" w:rsidRPr="00E005C2" w:rsidRDefault="006D4724" w:rsidP="00BA5BD0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E005C2">
              <w:rPr>
                <w:rFonts w:ascii="Verdana" w:eastAsia="SimSun" w:hAnsi="Verdana" w:cs="Traditional Arabic"/>
                <w:b/>
                <w:sz w:val="20"/>
                <w:lang w:val="fr-CH"/>
              </w:rPr>
              <w:t>Addendum 8 au</w:t>
            </w:r>
            <w:r w:rsidRPr="00E005C2">
              <w:rPr>
                <w:rFonts w:ascii="Verdana" w:eastAsia="SimSun" w:hAnsi="Verdana" w:cs="Traditional Arabic"/>
                <w:b/>
                <w:sz w:val="20"/>
                <w:lang w:val="fr-CH"/>
              </w:rPr>
              <w:br/>
              <w:t>Document 61(Add.21)</w:t>
            </w:r>
            <w:r w:rsidR="00BB1D82" w:rsidRPr="00E005C2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E005C2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2A6F8F" w14:paraId="3DD5D9D3" w14:textId="77777777" w:rsidTr="00BB1D82">
        <w:trPr>
          <w:cantSplit/>
        </w:trPr>
        <w:tc>
          <w:tcPr>
            <w:tcW w:w="6911" w:type="dxa"/>
            <w:shd w:val="clear" w:color="auto" w:fill="auto"/>
          </w:tcPr>
          <w:p w14:paraId="263A5ED0" w14:textId="77777777" w:rsidR="00690C7B" w:rsidRPr="00E005C2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  <w:shd w:val="clear" w:color="auto" w:fill="auto"/>
          </w:tcPr>
          <w:p w14:paraId="28541C7E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14 octobre 2015</w:t>
            </w:r>
          </w:p>
        </w:tc>
      </w:tr>
      <w:tr w:rsidR="00690C7B" w:rsidRPr="002A6F8F" w14:paraId="0BDAC45C" w14:textId="77777777" w:rsidTr="00BB1D82">
        <w:trPr>
          <w:cantSplit/>
        </w:trPr>
        <w:tc>
          <w:tcPr>
            <w:tcW w:w="6911" w:type="dxa"/>
          </w:tcPr>
          <w:p w14:paraId="50125B81" w14:textId="77777777"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6B4D3442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14:paraId="72B09690" w14:textId="77777777" w:rsidTr="00C11970">
        <w:trPr>
          <w:cantSplit/>
        </w:trPr>
        <w:tc>
          <w:tcPr>
            <w:tcW w:w="10031" w:type="dxa"/>
            <w:gridSpan w:val="2"/>
          </w:tcPr>
          <w:p w14:paraId="62ABC4FA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6F315682" w14:textId="77777777" w:rsidTr="0050008E">
        <w:trPr>
          <w:cantSplit/>
        </w:trPr>
        <w:tc>
          <w:tcPr>
            <w:tcW w:w="10031" w:type="dxa"/>
            <w:gridSpan w:val="2"/>
          </w:tcPr>
          <w:p w14:paraId="7B8D1A27" w14:textId="77777777"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>Iran (République islamique d')</w:t>
            </w:r>
          </w:p>
        </w:tc>
      </w:tr>
      <w:tr w:rsidR="00690C7B" w:rsidRPr="007E5826" w14:paraId="27E2F6B3" w14:textId="77777777" w:rsidTr="0050008E">
        <w:trPr>
          <w:cantSplit/>
        </w:trPr>
        <w:tc>
          <w:tcPr>
            <w:tcW w:w="10031" w:type="dxa"/>
            <w:gridSpan w:val="2"/>
          </w:tcPr>
          <w:p w14:paraId="52D09B4F" w14:textId="77777777" w:rsidR="00690C7B" w:rsidRPr="007E5826" w:rsidRDefault="007E5826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7E5826">
              <w:rPr>
                <w:lang w:val="fr-CH"/>
              </w:rPr>
              <w:t>PROPOSITIONS POUR LES TRAVAUX DE LA CONF</w:t>
            </w:r>
            <w:r>
              <w:rPr>
                <w:lang w:val="fr-CH"/>
              </w:rPr>
              <w:t>ÉRENCE</w:t>
            </w:r>
          </w:p>
        </w:tc>
      </w:tr>
      <w:tr w:rsidR="00690C7B" w:rsidRPr="007E5826" w14:paraId="43394321" w14:textId="77777777" w:rsidTr="0050008E">
        <w:trPr>
          <w:cantSplit/>
        </w:trPr>
        <w:tc>
          <w:tcPr>
            <w:tcW w:w="10031" w:type="dxa"/>
            <w:gridSpan w:val="2"/>
          </w:tcPr>
          <w:p w14:paraId="491EF211" w14:textId="77777777" w:rsidR="00690C7B" w:rsidRPr="007E5826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Start w:id="5" w:name="_GoBack"/>
            <w:bookmarkEnd w:id="3"/>
            <w:bookmarkEnd w:id="5"/>
          </w:p>
        </w:tc>
      </w:tr>
      <w:tr w:rsidR="00690C7B" w14:paraId="1D942ED3" w14:textId="77777777" w:rsidTr="0050008E">
        <w:trPr>
          <w:cantSplit/>
        </w:trPr>
        <w:tc>
          <w:tcPr>
            <w:tcW w:w="10031" w:type="dxa"/>
            <w:gridSpan w:val="2"/>
          </w:tcPr>
          <w:p w14:paraId="06D1115F" w14:textId="77777777" w:rsidR="00690C7B" w:rsidRDefault="00690C7B" w:rsidP="00690C7B">
            <w:pPr>
              <w:pStyle w:val="Agendaitem"/>
            </w:pPr>
            <w:bookmarkStart w:id="6" w:name="dtitle3" w:colFirst="0" w:colLast="0"/>
            <w:bookmarkEnd w:id="4"/>
            <w:r w:rsidRPr="006D4724">
              <w:t>Point 7(H) de l'ordre du jour</w:t>
            </w:r>
          </w:p>
        </w:tc>
      </w:tr>
    </w:tbl>
    <w:bookmarkEnd w:id="6"/>
    <w:p w14:paraId="58D508CD" w14:textId="77777777" w:rsidR="001C0E40" w:rsidRPr="00EC691D" w:rsidRDefault="00D17FE0" w:rsidP="006A0A51">
      <w:pPr>
        <w:rPr>
          <w:lang w:val="fr-CA"/>
        </w:rPr>
      </w:pPr>
      <w:r w:rsidRPr="0003194D">
        <w:rPr>
          <w:lang w:val="fr-CA"/>
        </w:rPr>
        <w:t>7</w:t>
      </w:r>
      <w:r w:rsidRPr="0003194D">
        <w:rPr>
          <w:lang w:val="fr-CA"/>
        </w:rPr>
        <w:tab/>
        <w:t>examiner d'éventuels changements à apporter, et d'autres options à mettre en œuvre, en application de la Résolution 86 (Rév. </w:t>
      </w:r>
      <w:r w:rsidRPr="00EC691D">
        <w:rPr>
          <w:lang w:val="fr-CA"/>
        </w:rPr>
        <w:t>Marrakech, 2002) de la Conférence de plénipotentiaires, intitulée «Procédures de publication anticipée, de coordination, de notification et d'inscription des assignations de fréquence relatives aux réseaux à satellite», conformément à la Résolution </w:t>
      </w:r>
      <w:r w:rsidRPr="0003194D">
        <w:rPr>
          <w:b/>
          <w:bCs/>
          <w:lang w:val="fr-CA"/>
        </w:rPr>
        <w:t>86 (Rév.CMR-07)</w:t>
      </w:r>
      <w:r w:rsidRPr="00EC691D">
        <w:rPr>
          <w:lang w:val="fr-CA"/>
        </w:rPr>
        <w:t>, afin de faciliter l'utilisation rationnelle, efficace et économique des fréquences radioélectriques et des orbites associées, y compris de l'orbite des satellites géostationnaires;</w:t>
      </w:r>
    </w:p>
    <w:p w14:paraId="7FBF8A7E" w14:textId="77777777" w:rsidR="001C0E40" w:rsidRPr="000D4406" w:rsidRDefault="00D17FE0" w:rsidP="0057711E">
      <w:pPr>
        <w:rPr>
          <w:lang w:val="fr-CA"/>
        </w:rPr>
      </w:pPr>
      <w:r>
        <w:rPr>
          <w:lang w:val="fr-CA"/>
        </w:rPr>
        <w:t xml:space="preserve">7(H) </w:t>
      </w:r>
      <w:r>
        <w:rPr>
          <w:lang w:val="fr-CA"/>
        </w:rPr>
        <w:tab/>
      </w:r>
      <w:r w:rsidRPr="000D4406">
        <w:rPr>
          <w:lang w:val="fr-CA"/>
        </w:rPr>
        <w:t>Question H</w:t>
      </w:r>
      <w:r w:rsidRPr="00731224">
        <w:rPr>
          <w:lang w:val="fr-CH"/>
        </w:rPr>
        <w:t xml:space="preserve"> – </w:t>
      </w:r>
      <w:r w:rsidRPr="000D4406">
        <w:rPr>
          <w:lang w:val="fr-CA"/>
        </w:rPr>
        <w:t>Utilisation d'une station spatiale pour mettre en service des assignations de fréquence à différentes positions orbitales sur une courte période</w:t>
      </w:r>
      <w:r>
        <w:rPr>
          <w:lang w:val="fr-CA"/>
        </w:rPr>
        <w:t>.</w:t>
      </w:r>
    </w:p>
    <w:p w14:paraId="723104CC" w14:textId="77777777" w:rsidR="003A583E" w:rsidRDefault="00E005C2" w:rsidP="00E005C2">
      <w:pPr>
        <w:pStyle w:val="Headingb"/>
      </w:pPr>
      <w:r>
        <w:t>Introduction</w:t>
      </w:r>
    </w:p>
    <w:p w14:paraId="5D91FE38" w14:textId="77777777" w:rsidR="00E005C2" w:rsidRPr="00B322F5" w:rsidRDefault="00E005C2" w:rsidP="00B322F5">
      <w:pPr>
        <w:rPr>
          <w:lang w:val="fr-CH" w:eastAsia="ko-KR"/>
        </w:rPr>
      </w:pPr>
      <w:r w:rsidRPr="00B322F5">
        <w:rPr>
          <w:lang w:val="fr-CH" w:eastAsia="ko-KR"/>
        </w:rPr>
        <w:t xml:space="preserve">La CMR-12 a révisé le numéro 11.44B </w:t>
      </w:r>
      <w:r w:rsidRPr="00B322F5">
        <w:rPr>
          <w:bCs/>
          <w:lang w:val="fr-CH" w:eastAsia="ko-KR"/>
        </w:rPr>
        <w:t>et le numéro</w:t>
      </w:r>
      <w:r w:rsidRPr="00B322F5">
        <w:rPr>
          <w:lang w:val="fr-CH" w:eastAsia="ko-KR"/>
        </w:rPr>
        <w:t xml:space="preserve"> </w:t>
      </w:r>
      <w:r w:rsidRPr="00B322F5">
        <w:rPr>
          <w:lang w:val="fr-CH"/>
        </w:rPr>
        <w:t>11.4</w:t>
      </w:r>
      <w:r w:rsidRPr="00B322F5">
        <w:rPr>
          <w:lang w:val="fr-CH" w:eastAsia="ko-KR"/>
        </w:rPr>
        <w:t>9 du Règlement des radiocommunications pour clarifier les questions concernant la mise en service, ou la reprise de l'utilisation après une suspension, d'assignations de fréquence associées à des réseaux à satellite.</w:t>
      </w:r>
    </w:p>
    <w:p w14:paraId="44D28AC7" w14:textId="33B90384" w:rsidR="00FF5439" w:rsidRPr="00B322F5" w:rsidRDefault="0008242B" w:rsidP="00B322F5">
      <w:pPr>
        <w:rPr>
          <w:lang w:val="fr-CH" w:eastAsia="ja-JP"/>
        </w:rPr>
      </w:pPr>
      <w:r w:rsidRPr="00B322F5">
        <w:rPr>
          <w:lang w:val="fr-CH"/>
        </w:rPr>
        <w:t>Lorsqu'elle a adopté ces dispositions révisées, la CMR-12 a reconnu que l'intention de ces dispositions n'était pas de traiter la question de l'utilisation d'une station spatiale pour mettre en service des assignations de fréquence à des positions orbitales différentes sur une courte période.</w:t>
      </w:r>
      <w:r w:rsidRPr="0008242B">
        <w:t xml:space="preserve"> </w:t>
      </w:r>
      <w:r w:rsidR="00FF5439">
        <w:rPr>
          <w:lang w:val="fr-CH" w:eastAsia="ja-JP"/>
        </w:rPr>
        <w:t xml:space="preserve">Toutefois, lorsque l'on examine les informations relatives à l’utilisation de </w:t>
      </w:r>
      <w:r w:rsidR="00FF5439">
        <w:rPr>
          <w:color w:val="000000"/>
        </w:rPr>
        <w:t>l'orbite des satellites géostationnaires</w:t>
      </w:r>
      <w:r w:rsidR="00FF5439">
        <w:rPr>
          <w:lang w:val="fr-CH" w:eastAsia="ja-JP"/>
        </w:rPr>
        <w:t xml:space="preserve">, par exemple les données fournies par la base de données NORAD, on peut observer un certain nombre </w:t>
      </w:r>
      <w:r w:rsidR="00FF5439" w:rsidRPr="00B322F5">
        <w:rPr>
          <w:lang w:val="fr-CH" w:eastAsia="ja-JP"/>
        </w:rPr>
        <w:t xml:space="preserve">de cas dans lesquels un satellite en orbite a été déplacé à une position orbitale qu'il a occupée pendant 90 + </w:t>
      </w:r>
      <w:r w:rsidR="00FF5439" w:rsidRPr="00B322F5">
        <w:rPr>
          <w:lang w:eastAsia="ja-JP"/>
        </w:rPr>
        <w:t>α</w:t>
      </w:r>
      <w:r w:rsidR="00FF5439" w:rsidRPr="00B322F5">
        <w:rPr>
          <w:lang w:val="fr-CH" w:eastAsia="ja-JP"/>
        </w:rPr>
        <w:t xml:space="preserve"> jours puis encore à une autre position orbitale et où l'administration associée a informé le Bureau de la mise en service des assignations de fréquence considérée</w:t>
      </w:r>
      <w:r w:rsidR="0042415B" w:rsidRPr="00B322F5">
        <w:rPr>
          <w:lang w:val="fr-CH" w:eastAsia="ja-JP"/>
        </w:rPr>
        <w:t>s</w:t>
      </w:r>
      <w:r w:rsidR="00FF5439" w:rsidRPr="00B322F5">
        <w:rPr>
          <w:lang w:val="fr-CH" w:eastAsia="ja-JP"/>
        </w:rPr>
        <w:t>.</w:t>
      </w:r>
    </w:p>
    <w:p w14:paraId="5C22C55D" w14:textId="44D700E3" w:rsidR="0008242B" w:rsidRDefault="0008242B" w:rsidP="00B322F5">
      <w:pPr>
        <w:rPr>
          <w:lang w:val="fr-CH"/>
        </w:rPr>
      </w:pPr>
      <w:r w:rsidRPr="00B322F5">
        <w:rPr>
          <w:lang w:val="fr-CH"/>
        </w:rPr>
        <w:lastRenderedPageBreak/>
        <w:t>Toutefois, il a également été reconnu qu'une administration ou un opérateur peut, pour des raisons légitimes, avoir besoin de déplacer un engin spatial d'une position orbitale à une autre</w:t>
      </w:r>
      <w:r w:rsidR="00B322F5">
        <w:rPr>
          <w:rStyle w:val="FootnoteReference"/>
          <w:lang w:val="fr-CH"/>
        </w:rPr>
        <w:footnoteReference w:id="1"/>
      </w:r>
      <w:r w:rsidRPr="00B322F5">
        <w:rPr>
          <w:lang w:val="fr-CH"/>
        </w:rPr>
        <w:t xml:space="preserve"> et il conviendrait de veiller à ne pas limiter le recours légitime à des manœuvres et à la gestion de flotte. Il a été demandé à l'UIT-R d'étudier cette question. A sa séance plénière, la CMR-12 a également demandé au BR, en attendant que les études de l'UIT-R soient achevées, de s'informer auprès des administrations de la dernière position orbitale/des assignations de fréquence précédentes mises en service le plus récemment avec ce satellite et de communiquer ces informations lorsqu'une administration met en service des assignations de fréquence à une position orbitale donnée en utilisant un satellite déjà en orbite.</w:t>
      </w:r>
    </w:p>
    <w:p w14:paraId="3CFA6F28" w14:textId="4080534B" w:rsidR="008D4CC3" w:rsidRDefault="008D4CC3" w:rsidP="00B322F5">
      <w:pPr>
        <w:rPr>
          <w:lang w:val="fr-CH"/>
        </w:rPr>
      </w:pPr>
      <w:r>
        <w:rPr>
          <w:lang w:val="fr-CH"/>
        </w:rPr>
        <w:t xml:space="preserve">Pour commencer, des exemples </w:t>
      </w:r>
      <w:r w:rsidR="00D36CBC">
        <w:rPr>
          <w:lang w:val="fr-CH"/>
        </w:rPr>
        <w:t>de</w:t>
      </w:r>
      <w:r>
        <w:rPr>
          <w:lang w:val="fr-CH"/>
        </w:rPr>
        <w:t xml:space="preserve"> mise en service d’assignati</w:t>
      </w:r>
      <w:r w:rsidR="00D36CBC">
        <w:rPr>
          <w:lang w:val="fr-CH"/>
        </w:rPr>
        <w:t>ons de fréquence à différentes positions orbitales ont été examinés, dans lesquels l’utilisation des dispositions des numéros 11.44B et 11.49 était considérée comme «légitime» ou «abusive».</w:t>
      </w:r>
    </w:p>
    <w:p w14:paraId="6E871A5C" w14:textId="77777777" w:rsidR="00D36CBC" w:rsidRPr="00D36CBC" w:rsidRDefault="00D36CBC" w:rsidP="00B322F5">
      <w:pPr>
        <w:rPr>
          <w:lang w:val="fr-CH"/>
        </w:rPr>
      </w:pPr>
      <w:r w:rsidRPr="00D36CBC">
        <w:rPr>
          <w:lang w:val="fr-CH"/>
        </w:rPr>
        <w:t xml:space="preserve">Six méthodes ont été élaborées pour </w:t>
      </w:r>
      <w:r>
        <w:rPr>
          <w:color w:val="000000"/>
        </w:rPr>
        <w:t>traiter cette question.</w:t>
      </w:r>
    </w:p>
    <w:p w14:paraId="500B2A8A" w14:textId="77777777" w:rsidR="0008242B" w:rsidRPr="001F3F07" w:rsidRDefault="0008242B" w:rsidP="0008242B">
      <w:pPr>
        <w:pStyle w:val="Headingb"/>
        <w:rPr>
          <w:lang w:val="fr-CH"/>
        </w:rPr>
      </w:pPr>
      <w:r w:rsidRPr="001F3F07">
        <w:rPr>
          <w:lang w:val="fr-CH"/>
        </w:rPr>
        <w:t>Proposition</w:t>
      </w:r>
    </w:p>
    <w:p w14:paraId="576BD85B" w14:textId="77777777" w:rsidR="0008242B" w:rsidRPr="001F3F07" w:rsidRDefault="0008242B" w:rsidP="0008242B">
      <w:pPr>
        <w:rPr>
          <w:lang w:val="fr-CH"/>
        </w:rPr>
      </w:pPr>
    </w:p>
    <w:p w14:paraId="5F580E4C" w14:textId="77777777" w:rsidR="004A6A8C" w:rsidRPr="001F58CF" w:rsidRDefault="00D17FE0" w:rsidP="00501CC0">
      <w:pPr>
        <w:pStyle w:val="ArtNo"/>
      </w:pPr>
      <w:r w:rsidRPr="00501CC0">
        <w:t>ARTICLE</w:t>
      </w:r>
      <w:r w:rsidRPr="001F58CF">
        <w:t xml:space="preserve"> </w:t>
      </w:r>
      <w:r w:rsidRPr="001F58CF">
        <w:rPr>
          <w:rStyle w:val="href"/>
        </w:rPr>
        <w:t>11</w:t>
      </w:r>
    </w:p>
    <w:p w14:paraId="50296162" w14:textId="633DD08C" w:rsidR="004A6A8C" w:rsidRPr="000C4F5E" w:rsidRDefault="00D17FE0" w:rsidP="00EB71B7">
      <w:pPr>
        <w:pStyle w:val="Arttitle"/>
      </w:pPr>
      <w:r w:rsidRPr="00E82312">
        <w:t>Notification et inscription des assignations</w:t>
      </w:r>
      <w:r w:rsidRPr="00E82312">
        <w:br/>
        <w:t xml:space="preserve">de </w:t>
      </w:r>
      <w:r w:rsidRPr="00B322F5">
        <w:t>fréquence</w:t>
      </w:r>
      <w:r w:rsidRPr="00EB71B7">
        <w:rPr>
          <w:rStyle w:val="FootnoteReference"/>
          <w:b w:val="0"/>
          <w:bCs/>
        </w:rPr>
        <w:t>1, 2, 3, 4, 5, 6, 7, 7</w:t>
      </w:r>
      <w:r w:rsidRPr="00B322F5">
        <w:rPr>
          <w:rStyle w:val="FootnoteReference"/>
          <w:b w:val="0"/>
          <w:bCs/>
          <w:i/>
          <w:iCs/>
        </w:rPr>
        <w:t>bis</w:t>
      </w:r>
      <w:r w:rsidRPr="00653F06">
        <w:rPr>
          <w:rStyle w:val="FootnoteReference"/>
        </w:rPr>
        <w:t> </w:t>
      </w:r>
      <w:r w:rsidRPr="00466ED8">
        <w:rPr>
          <w:b w:val="0"/>
          <w:bCs/>
          <w:sz w:val="16"/>
          <w:szCs w:val="16"/>
        </w:rPr>
        <w:t>  (CMR-12)</w:t>
      </w:r>
    </w:p>
    <w:p w14:paraId="5E89DC65" w14:textId="77777777" w:rsidR="000B7EA8" w:rsidRDefault="00D17FE0">
      <w:pPr>
        <w:pStyle w:val="Proposal"/>
      </w:pPr>
      <w:r>
        <w:rPr>
          <w:u w:val="single"/>
        </w:rPr>
        <w:t>NOC</w:t>
      </w:r>
      <w:r>
        <w:tab/>
        <w:t>IRN/61A21A8/1</w:t>
      </w:r>
    </w:p>
    <w:p w14:paraId="69D8E8D4" w14:textId="77777777" w:rsidR="004A6A8C" w:rsidRDefault="00D17FE0" w:rsidP="00D94B99">
      <w:pPr>
        <w:pStyle w:val="Section1"/>
      </w:pPr>
      <w:r>
        <w:t>Section II –</w:t>
      </w:r>
      <w:r w:rsidRPr="00375EEA">
        <w:t xml:space="preserve"> Examen des fiches de notification et inscription des</w:t>
      </w:r>
      <w:r w:rsidRPr="00375EEA">
        <w:br/>
        <w:t>assignations de fréquence dans le Fichier de référence</w:t>
      </w:r>
    </w:p>
    <w:p w14:paraId="4168FA90" w14:textId="1466C41A" w:rsidR="000B7EA8" w:rsidRPr="00D36CBC" w:rsidRDefault="00D17FE0" w:rsidP="00B322F5">
      <w:pPr>
        <w:pStyle w:val="Reasons"/>
        <w:rPr>
          <w:lang w:val="fr-CH"/>
        </w:rPr>
      </w:pPr>
      <w:r>
        <w:rPr>
          <w:b/>
        </w:rPr>
        <w:t>Motifs:</w:t>
      </w:r>
      <w:r>
        <w:tab/>
      </w:r>
      <w:r w:rsidR="0008242B" w:rsidRPr="00B322F5">
        <w:rPr>
          <w:lang w:val="fr-CH" w:eastAsia="ko-KR"/>
        </w:rPr>
        <w:t>Il convient de noter que la CMR</w:t>
      </w:r>
      <w:r w:rsidR="0008242B" w:rsidRPr="00B322F5">
        <w:rPr>
          <w:lang w:val="fr-CH" w:eastAsia="ko-KR"/>
        </w:rPr>
        <w:noBreakHyphen/>
        <w:t xml:space="preserve">12 a récemment examiné cette question et qu'il faudra peut-être davantage de temps pour dresser l'inventaire des conséquences réglementaires de l'ensemble de nouvelles dispositions. </w:t>
      </w:r>
      <w:r w:rsidR="00D36CBC" w:rsidRPr="00B322F5">
        <w:rPr>
          <w:lang w:val="fr-CH" w:eastAsia="ko-KR"/>
        </w:rPr>
        <w:t>Il</w:t>
      </w:r>
      <w:r w:rsidR="00D36CBC">
        <w:rPr>
          <w:lang w:val="fr-CH" w:eastAsia="ko-KR"/>
        </w:rPr>
        <w:t xml:space="preserve"> est proposé de n’apporter aucune modification </w:t>
      </w:r>
      <w:r w:rsidR="00046595">
        <w:rPr>
          <w:lang w:val="fr-CH" w:eastAsia="ko-KR"/>
        </w:rPr>
        <w:t xml:space="preserve">(NOC) </w:t>
      </w:r>
      <w:r w:rsidR="00D36CBC">
        <w:rPr>
          <w:lang w:val="fr-CH" w:eastAsia="ko-KR"/>
        </w:rPr>
        <w:t xml:space="preserve">au RR, les pratiques actuelles </w:t>
      </w:r>
      <w:r w:rsidR="0042415B">
        <w:rPr>
          <w:lang w:val="fr-CH" w:eastAsia="ko-KR"/>
        </w:rPr>
        <w:t>permetta</w:t>
      </w:r>
      <w:r w:rsidR="002D6162">
        <w:rPr>
          <w:lang w:val="fr-CH" w:eastAsia="ko-KR"/>
        </w:rPr>
        <w:t>nt de</w:t>
      </w:r>
      <w:r w:rsidR="00D36CBC">
        <w:rPr>
          <w:lang w:val="fr-CH" w:eastAsia="ko-KR"/>
        </w:rPr>
        <w:t xml:space="preserve"> traiter cette question.</w:t>
      </w:r>
    </w:p>
    <w:p w14:paraId="73612F37" w14:textId="77777777" w:rsidR="0008242B" w:rsidRPr="00D36CBC" w:rsidRDefault="0008242B" w:rsidP="0032202E">
      <w:pPr>
        <w:pStyle w:val="Reasons"/>
        <w:rPr>
          <w:lang w:val="fr-CH"/>
        </w:rPr>
      </w:pPr>
    </w:p>
    <w:p w14:paraId="725D4711" w14:textId="77777777" w:rsidR="0008242B" w:rsidRDefault="0008242B">
      <w:pPr>
        <w:jc w:val="center"/>
      </w:pPr>
      <w:r>
        <w:t>______________</w:t>
      </w:r>
    </w:p>
    <w:p w14:paraId="7F7C3B34" w14:textId="77777777" w:rsidR="0008242B" w:rsidRPr="0008242B" w:rsidRDefault="0008242B" w:rsidP="0008242B">
      <w:pPr>
        <w:pStyle w:val="Reasons"/>
        <w:spacing w:line="480" w:lineRule="auto"/>
        <w:rPr>
          <w:lang w:val="en-US"/>
        </w:rPr>
      </w:pPr>
    </w:p>
    <w:sectPr w:rsidR="0008242B" w:rsidRPr="000824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7601E" w14:textId="77777777" w:rsidR="001F17E8" w:rsidRDefault="001F17E8">
      <w:r>
        <w:separator/>
      </w:r>
    </w:p>
  </w:endnote>
  <w:endnote w:type="continuationSeparator" w:id="0">
    <w:p w14:paraId="3ED5E0CD" w14:textId="77777777"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E7724" w14:textId="77777777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504E2">
      <w:rPr>
        <w:noProof/>
        <w:lang w:val="en-US"/>
      </w:rPr>
      <w:t>P:\FRA\ITU-R\CONF-R\CMR15\000\061ADD21ADD8F.docx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504E2">
      <w:rPr>
        <w:noProof/>
      </w:rPr>
      <w:t>23.10.15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504E2">
      <w:rPr>
        <w:noProof/>
      </w:rPr>
      <w:t>23.10.15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FA83E" w14:textId="77777777"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504E2">
      <w:rPr>
        <w:lang w:val="en-US"/>
      </w:rPr>
      <w:t>P:\FRA\ITU-R\CONF-R\CMR15\000\061ADD21ADD8F.docx</w:t>
    </w:r>
    <w:r>
      <w:fldChar w:fldCharType="end"/>
    </w:r>
    <w:r w:rsidR="003B4944">
      <w:t xml:space="preserve"> (388293)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504E2">
      <w:t>23.10.15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504E2">
      <w:t>23.10.15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7A5B8" w14:textId="77777777"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504E2">
      <w:rPr>
        <w:lang w:val="en-US"/>
      </w:rPr>
      <w:t>P:\FRA\ITU-R\CONF-R\CMR15\000\061ADD21ADD8F.docx</w:t>
    </w:r>
    <w:r>
      <w:fldChar w:fldCharType="end"/>
    </w:r>
    <w:r w:rsidR="003B4944">
      <w:t xml:space="preserve"> (388293)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504E2">
      <w:t>23.10.15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504E2">
      <w:t>23.10.15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1F4AD" w14:textId="77777777" w:rsidR="001F17E8" w:rsidRDefault="001F17E8">
      <w:r>
        <w:rPr>
          <w:b/>
        </w:rPr>
        <w:t>_______________</w:t>
      </w:r>
    </w:p>
  </w:footnote>
  <w:footnote w:type="continuationSeparator" w:id="0">
    <w:p w14:paraId="177BD2A6" w14:textId="77777777" w:rsidR="001F17E8" w:rsidRDefault="001F17E8">
      <w:r>
        <w:continuationSeparator/>
      </w:r>
    </w:p>
  </w:footnote>
  <w:footnote w:id="1">
    <w:p w14:paraId="0749E7F9" w14:textId="468D72D3" w:rsidR="00B322F5" w:rsidRPr="00EB71B7" w:rsidRDefault="00B322F5" w:rsidP="002F5E9C">
      <w:pPr>
        <w:pStyle w:val="FootnoteText"/>
        <w:rPr>
          <w:szCs w:val="24"/>
          <w:lang w:val="fr-CH"/>
        </w:rPr>
      </w:pPr>
      <w:r>
        <w:rPr>
          <w:rStyle w:val="FootnoteReference"/>
        </w:rPr>
        <w:footnoteRef/>
      </w:r>
      <w:r w:rsidR="002F5E9C">
        <w:tab/>
      </w:r>
      <w:r w:rsidRPr="00EB71B7">
        <w:rPr>
          <w:szCs w:val="24"/>
          <w:lang w:val="fr-CH"/>
        </w:rPr>
        <w:t>Ce déplacement légitime ne doit en aucun cas être en contradiction ou en conflit avec les dispositions pertinentes du RR.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1A591" w14:textId="77777777" w:rsidR="00952CF7" w:rsidRDefault="00952C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3A61C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504E2">
      <w:rPr>
        <w:noProof/>
      </w:rPr>
      <w:t>2</w:t>
    </w:r>
    <w:r>
      <w:fldChar w:fldCharType="end"/>
    </w:r>
  </w:p>
  <w:p w14:paraId="08886DF2" w14:textId="77777777"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61(Add.21)(Add.8)-</w:t>
    </w:r>
    <w:r w:rsidR="00010B43" w:rsidRPr="00010B43">
      <w:t>F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E96B6" w14:textId="77777777" w:rsidR="00952CF7" w:rsidRDefault="00952C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46595"/>
    <w:rsid w:val="00080E2C"/>
    <w:rsid w:val="0008242B"/>
    <w:rsid w:val="000A4755"/>
    <w:rsid w:val="000B2E0C"/>
    <w:rsid w:val="000B3D0C"/>
    <w:rsid w:val="000B7EA8"/>
    <w:rsid w:val="001167B9"/>
    <w:rsid w:val="001267A0"/>
    <w:rsid w:val="001504E2"/>
    <w:rsid w:val="0015203F"/>
    <w:rsid w:val="00160C64"/>
    <w:rsid w:val="001720C0"/>
    <w:rsid w:val="0018169B"/>
    <w:rsid w:val="0019352B"/>
    <w:rsid w:val="001960D0"/>
    <w:rsid w:val="001F17E8"/>
    <w:rsid w:val="001F3F07"/>
    <w:rsid w:val="00204306"/>
    <w:rsid w:val="00232FD2"/>
    <w:rsid w:val="0026554E"/>
    <w:rsid w:val="002A4622"/>
    <w:rsid w:val="002A6F8F"/>
    <w:rsid w:val="002B17E5"/>
    <w:rsid w:val="002C0EBF"/>
    <w:rsid w:val="002C28A4"/>
    <w:rsid w:val="002D6162"/>
    <w:rsid w:val="002F04D0"/>
    <w:rsid w:val="002F5E9C"/>
    <w:rsid w:val="00315AFE"/>
    <w:rsid w:val="003606A6"/>
    <w:rsid w:val="0036650C"/>
    <w:rsid w:val="00393ACD"/>
    <w:rsid w:val="003A583E"/>
    <w:rsid w:val="003B4944"/>
    <w:rsid w:val="003E112B"/>
    <w:rsid w:val="003E1D1C"/>
    <w:rsid w:val="003E7B05"/>
    <w:rsid w:val="0042415B"/>
    <w:rsid w:val="00466211"/>
    <w:rsid w:val="004834A9"/>
    <w:rsid w:val="004D01FC"/>
    <w:rsid w:val="004E28C3"/>
    <w:rsid w:val="004F1F8E"/>
    <w:rsid w:val="00512A32"/>
    <w:rsid w:val="00586CF2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7E5826"/>
    <w:rsid w:val="00851625"/>
    <w:rsid w:val="00863C0A"/>
    <w:rsid w:val="008A3120"/>
    <w:rsid w:val="008D41BE"/>
    <w:rsid w:val="008D4CC3"/>
    <w:rsid w:val="008D58D3"/>
    <w:rsid w:val="00923064"/>
    <w:rsid w:val="00930FFD"/>
    <w:rsid w:val="00936D25"/>
    <w:rsid w:val="00941EA5"/>
    <w:rsid w:val="00952CF7"/>
    <w:rsid w:val="00964700"/>
    <w:rsid w:val="00966C16"/>
    <w:rsid w:val="0098732F"/>
    <w:rsid w:val="009A045F"/>
    <w:rsid w:val="009C7E7C"/>
    <w:rsid w:val="009F288C"/>
    <w:rsid w:val="00A00473"/>
    <w:rsid w:val="00A03C9B"/>
    <w:rsid w:val="00A3367F"/>
    <w:rsid w:val="00A37105"/>
    <w:rsid w:val="00A606C3"/>
    <w:rsid w:val="00A83B09"/>
    <w:rsid w:val="00A84541"/>
    <w:rsid w:val="00AC5494"/>
    <w:rsid w:val="00AD3B1E"/>
    <w:rsid w:val="00AE36A0"/>
    <w:rsid w:val="00B00294"/>
    <w:rsid w:val="00B322F5"/>
    <w:rsid w:val="00B64FD0"/>
    <w:rsid w:val="00BA5BD0"/>
    <w:rsid w:val="00BB1D82"/>
    <w:rsid w:val="00BF26E7"/>
    <w:rsid w:val="00C53FCA"/>
    <w:rsid w:val="00C76BAF"/>
    <w:rsid w:val="00C814B9"/>
    <w:rsid w:val="00CD516F"/>
    <w:rsid w:val="00D119A7"/>
    <w:rsid w:val="00D16AD5"/>
    <w:rsid w:val="00D17FE0"/>
    <w:rsid w:val="00D25FBA"/>
    <w:rsid w:val="00D2742C"/>
    <w:rsid w:val="00D32B28"/>
    <w:rsid w:val="00D36CBC"/>
    <w:rsid w:val="00D42954"/>
    <w:rsid w:val="00D66EAC"/>
    <w:rsid w:val="00D730DF"/>
    <w:rsid w:val="00D772F0"/>
    <w:rsid w:val="00D77BDC"/>
    <w:rsid w:val="00DC402B"/>
    <w:rsid w:val="00DE0932"/>
    <w:rsid w:val="00E005C2"/>
    <w:rsid w:val="00E03A27"/>
    <w:rsid w:val="00E049F1"/>
    <w:rsid w:val="00E37A25"/>
    <w:rsid w:val="00E537FF"/>
    <w:rsid w:val="00E6539B"/>
    <w:rsid w:val="00E70A31"/>
    <w:rsid w:val="00EA3F38"/>
    <w:rsid w:val="00EA5AB6"/>
    <w:rsid w:val="00EB71B7"/>
    <w:rsid w:val="00EC7615"/>
    <w:rsid w:val="00ED16AA"/>
    <w:rsid w:val="00EF662E"/>
    <w:rsid w:val="00F148F1"/>
    <w:rsid w:val="00FA3BBF"/>
    <w:rsid w:val="00FC41F8"/>
    <w:rsid w:val="00FF1C40"/>
    <w:rsid w:val="00FF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70B33FB"/>
  <w15:docId w15:val="{293847D3-2265-4B9A-925F-B5AFF939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Style 3,Appel note de bas de p + 11 pt,Italic,Footnote,Appel note de bas de p1,R,Appel note de bas de p2"/>
    <w:rPr>
      <w:position w:val="6"/>
      <w:sz w:val="18"/>
    </w:rPr>
  </w:style>
  <w:style w:type="paragraph" w:styleId="FootnoteText">
    <w:name w:val="footnote text"/>
    <w:basedOn w:val="Normal"/>
    <w:link w:val="FootnoteTextChar"/>
    <w:qFormat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  <w:style w:type="paragraph" w:customStyle="1" w:styleId="Headingb0">
    <w:name w:val="Heading b"/>
    <w:basedOn w:val="Normal"/>
    <w:rsid w:val="00E005C2"/>
  </w:style>
  <w:style w:type="character" w:customStyle="1" w:styleId="FootnoteTextChar">
    <w:name w:val="Footnote Text Char"/>
    <w:basedOn w:val="DefaultParagraphFont"/>
    <w:link w:val="FootnoteText"/>
    <w:locked/>
    <w:rsid w:val="0008242B"/>
    <w:rPr>
      <w:rFonts w:ascii="Times New Roman" w:hAnsi="Times New Roman"/>
      <w:sz w:val="24"/>
      <w:lang w:val="fr-FR" w:eastAsia="en-US"/>
    </w:rPr>
  </w:style>
  <w:style w:type="character" w:styleId="CommentReference">
    <w:name w:val="annotation reference"/>
    <w:basedOn w:val="DefaultParagraphFont"/>
    <w:semiHidden/>
    <w:unhideWhenUsed/>
    <w:rsid w:val="00D2742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2742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2742C"/>
    <w:rPr>
      <w:rFonts w:ascii="Times New Roman" w:hAnsi="Times New Roman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7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742C"/>
    <w:rPr>
      <w:rFonts w:ascii="Times New Roman" w:hAnsi="Times New Roman"/>
      <w:b/>
      <w:bCs/>
      <w:lang w:val="fr-FR" w:eastAsia="en-US"/>
    </w:rPr>
  </w:style>
  <w:style w:type="paragraph" w:styleId="BalloonText">
    <w:name w:val="Balloon Text"/>
    <w:basedOn w:val="Normal"/>
    <w:link w:val="BalloonTextChar"/>
    <w:semiHidden/>
    <w:unhideWhenUsed/>
    <w:rsid w:val="00D2742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2742C"/>
    <w:rPr>
      <w:rFonts w:ascii="Segoe UI" w:hAnsi="Segoe UI" w:cs="Segoe UI"/>
      <w:sz w:val="18"/>
      <w:szCs w:val="18"/>
      <w:lang w:val="fr-FR" w:eastAsia="en-US"/>
    </w:rPr>
  </w:style>
  <w:style w:type="paragraph" w:styleId="Revision">
    <w:name w:val="Revision"/>
    <w:hidden/>
    <w:uiPriority w:val="99"/>
    <w:semiHidden/>
    <w:rsid w:val="00B322F5"/>
    <w:rPr>
      <w:rFonts w:ascii="Times New Roman" w:hAnsi="Times New Roman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R15-WRC15-C-0061!A21-A8!MSW-F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99DAB-5400-4FFF-B802-D1B2860E2E65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79D277-C6A8-4E17-AF28-D1770AE6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563</Words>
  <Characters>3303</Characters>
  <Application>Microsoft Office Word</Application>
  <DocSecurity>0</DocSecurity>
  <Lines>68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R15-WRC15-C-0061!A21-A8!MSW-F</vt:lpstr>
    </vt:vector>
  </TitlesOfParts>
  <Manager>Secrétariat général - Pool</Manager>
  <Company>Union internationale des télécommunications (UIT)</Company>
  <LinksUpToDate>false</LinksUpToDate>
  <CharactersWithSpaces>3847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R15-WRC15-C-0061!A21-A8!MSW-F</dc:title>
  <dc:subject>Conférence mondiale des radiocommunications - 2015</dc:subject>
  <dc:creator>Documents Proposals Manager (DPM)</dc:creator>
  <cp:keywords>DPM_v5.2015.9.16_prod</cp:keywords>
  <dc:description/>
  <cp:lastModifiedBy>Jones, Jacqueline</cp:lastModifiedBy>
  <cp:revision>7</cp:revision>
  <cp:lastPrinted>2015-10-23T09:11:00Z</cp:lastPrinted>
  <dcterms:created xsi:type="dcterms:W3CDTF">2015-10-20T17:43:00Z</dcterms:created>
  <dcterms:modified xsi:type="dcterms:W3CDTF">2015-10-23T09:11:00Z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