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131E05" w:rsidTr="0050008E">
        <w:trPr>
          <w:cantSplit/>
        </w:trPr>
        <w:tc>
          <w:tcPr>
            <w:tcW w:w="6911" w:type="dxa"/>
          </w:tcPr>
          <w:p w:rsidR="0090121B" w:rsidRPr="00131E05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31E0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131E0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131E0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131E05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131E05">
              <w:rPr>
                <w:noProof/>
                <w:lang w:val="en-US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131E05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131E05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131E05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131E05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131E05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131E05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131E05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131E05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131E05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131E05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131E05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131E05">
              <w:rPr>
                <w:rFonts w:ascii="Verdana" w:eastAsia="SimSun" w:hAnsi="Verdana" w:cs="Traditional Arabic"/>
                <w:b/>
                <w:sz w:val="20"/>
              </w:rPr>
              <w:t>Addéndum 2 al</w:t>
            </w:r>
            <w:r w:rsidRPr="00131E05">
              <w:rPr>
                <w:rFonts w:ascii="Verdana" w:eastAsia="SimSun" w:hAnsi="Verdana" w:cs="Traditional Arabic"/>
                <w:b/>
                <w:sz w:val="20"/>
              </w:rPr>
              <w:br/>
              <w:t>Documento 61(Add.21)</w:t>
            </w:r>
            <w:r w:rsidR="0090121B" w:rsidRPr="00131E05">
              <w:rPr>
                <w:rFonts w:ascii="Verdana" w:hAnsi="Verdana"/>
                <w:b/>
                <w:sz w:val="20"/>
              </w:rPr>
              <w:t>-</w:t>
            </w:r>
            <w:r w:rsidRPr="00131E05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131E05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131E05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131E05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131E05">
              <w:rPr>
                <w:rFonts w:ascii="Verdana" w:hAnsi="Verdana"/>
                <w:b/>
                <w:sz w:val="20"/>
              </w:rPr>
              <w:t>14 de octubre de 2015</w:t>
            </w:r>
          </w:p>
        </w:tc>
      </w:tr>
      <w:tr w:rsidR="000A5B9A" w:rsidRPr="00131E05" w:rsidTr="0090121B">
        <w:trPr>
          <w:cantSplit/>
        </w:trPr>
        <w:tc>
          <w:tcPr>
            <w:tcW w:w="6911" w:type="dxa"/>
          </w:tcPr>
          <w:p w:rsidR="000A5B9A" w:rsidRPr="00131E05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131E05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131E05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131E05" w:rsidTr="006744FC">
        <w:trPr>
          <w:cantSplit/>
        </w:trPr>
        <w:tc>
          <w:tcPr>
            <w:tcW w:w="10031" w:type="dxa"/>
            <w:gridSpan w:val="2"/>
          </w:tcPr>
          <w:p w:rsidR="000A5B9A" w:rsidRPr="00131E05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131E05" w:rsidTr="0050008E">
        <w:trPr>
          <w:cantSplit/>
        </w:trPr>
        <w:tc>
          <w:tcPr>
            <w:tcW w:w="10031" w:type="dxa"/>
            <w:gridSpan w:val="2"/>
          </w:tcPr>
          <w:p w:rsidR="000A5B9A" w:rsidRPr="00131E05" w:rsidRDefault="000A5B9A" w:rsidP="000A5B9A">
            <w:pPr>
              <w:pStyle w:val="Source"/>
            </w:pPr>
            <w:bookmarkStart w:id="2" w:name="dsource" w:colFirst="0" w:colLast="0"/>
            <w:r w:rsidRPr="00131E05">
              <w:t>Irán (República Islámica del)</w:t>
            </w:r>
          </w:p>
        </w:tc>
      </w:tr>
      <w:tr w:rsidR="000A5B9A" w:rsidRPr="00131E05" w:rsidTr="0050008E">
        <w:trPr>
          <w:cantSplit/>
        </w:trPr>
        <w:tc>
          <w:tcPr>
            <w:tcW w:w="10031" w:type="dxa"/>
            <w:gridSpan w:val="2"/>
          </w:tcPr>
          <w:p w:rsidR="000A5B9A" w:rsidRPr="00131E05" w:rsidRDefault="00EA16D8" w:rsidP="000A5B9A">
            <w:pPr>
              <w:pStyle w:val="Title1"/>
            </w:pPr>
            <w:bookmarkStart w:id="3" w:name="dtitle1" w:colFirst="0" w:colLast="0"/>
            <w:bookmarkEnd w:id="2"/>
            <w:r w:rsidRPr="00131E05">
              <w:t>PROPUESTAS PARA LOS TRABAJOS DE LA CONFERENCIA</w:t>
            </w:r>
          </w:p>
        </w:tc>
      </w:tr>
      <w:tr w:rsidR="000A5B9A" w:rsidRPr="00131E05" w:rsidTr="0050008E">
        <w:trPr>
          <w:cantSplit/>
        </w:trPr>
        <w:tc>
          <w:tcPr>
            <w:tcW w:w="10031" w:type="dxa"/>
            <w:gridSpan w:val="2"/>
          </w:tcPr>
          <w:p w:rsidR="000A5B9A" w:rsidRPr="00131E05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131E05" w:rsidTr="0050008E">
        <w:trPr>
          <w:cantSplit/>
        </w:trPr>
        <w:tc>
          <w:tcPr>
            <w:tcW w:w="10031" w:type="dxa"/>
            <w:gridSpan w:val="2"/>
          </w:tcPr>
          <w:p w:rsidR="000A5B9A" w:rsidRPr="00131E05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131E05">
              <w:t>Punto 7(B) del orden del día</w:t>
            </w:r>
          </w:p>
        </w:tc>
      </w:tr>
    </w:tbl>
    <w:bookmarkEnd w:id="5"/>
    <w:p w:rsidR="001C0E40" w:rsidRPr="00131E05" w:rsidRDefault="00903042" w:rsidP="00512F4E">
      <w:r w:rsidRPr="00131E05">
        <w:t>7</w:t>
      </w:r>
      <w:r w:rsidRPr="00131E05">
        <w:tab/>
        <w:t xml:space="preserve">considerar posibles modificaciones y otras opciones como consecuencia de la Resolución 86 (Rev. Marrakech, 2002) de la Conferencia de Plenipotenciarios: «Procedimientos de publicación anticipada, de coordinación, de notificación y de inscripción de asignaciones de frecuencias de redes de satélite», de conformidad con la Resolución </w:t>
      </w:r>
      <w:r w:rsidRPr="00131E05">
        <w:rPr>
          <w:b/>
          <w:bCs/>
        </w:rPr>
        <w:t>86 (Rev.CMR-07)</w:t>
      </w:r>
      <w:r w:rsidRPr="00131E05">
        <w:t>, para facilitar la utilización racional, eficaz y económica de las frecuencias radioeléctricas y toda órbita asociada, incluida la órbita de los satélites geoestacionarios;</w:t>
      </w:r>
    </w:p>
    <w:p w:rsidR="001C0E40" w:rsidRDefault="00903042" w:rsidP="00EA16D8">
      <w:r w:rsidRPr="00131E05">
        <w:t xml:space="preserve">7(B) </w:t>
      </w:r>
      <w:r w:rsidRPr="00131E05">
        <w:tab/>
        <w:t>Tema B – Publicación de información sobre la puesta en servicio de redes de satélites en el sitio web de la UIT</w:t>
      </w:r>
    </w:p>
    <w:p w:rsidR="00227983" w:rsidRPr="00131E05" w:rsidRDefault="00227983" w:rsidP="00EA16D8"/>
    <w:p w:rsidR="003020E4" w:rsidRPr="00131E05" w:rsidRDefault="003020E4" w:rsidP="00EA16D8">
      <w:pPr>
        <w:pStyle w:val="Headingb"/>
      </w:pPr>
      <w:r w:rsidRPr="00131E05">
        <w:t>Introduc</w:t>
      </w:r>
      <w:r w:rsidR="00EA16D8" w:rsidRPr="00131E05">
        <w:t>ció</w:t>
      </w:r>
      <w:r w:rsidRPr="00131E05">
        <w:t>n</w:t>
      </w:r>
    </w:p>
    <w:p w:rsidR="00C1448B" w:rsidRPr="00131E05" w:rsidRDefault="00C1448B" w:rsidP="004F692E">
      <w:r w:rsidRPr="00131E05">
        <w:t>Durante el examen del punto 7 del orden del día de la CMR-12, se recibieron y adoptaron</w:t>
      </w:r>
      <w:r w:rsidR="00EA16D8" w:rsidRPr="00131E05">
        <w:t xml:space="preserve"> propuestas de modificaci</w:t>
      </w:r>
      <w:r w:rsidR="00131E05">
        <w:t xml:space="preserve">ón </w:t>
      </w:r>
      <w:r w:rsidR="004F692E">
        <w:t>de las disposiciones reglamentarias, incluidas la puesta en servicio y la suspensión de redes de satélites. A raíz de ello, se aclararon notablemente las medidas adoptadas por las administraciones. Sin embargo, no se examinaron las medidas de la Oficina de Radiocomunicaciones (BR) relativas a la publicación de información.</w:t>
      </w:r>
    </w:p>
    <w:p w:rsidR="00C1448B" w:rsidRPr="00131E05" w:rsidRDefault="00EA16D8" w:rsidP="00EA16D8">
      <w:r w:rsidRPr="00131E05">
        <w:t>Este tema examina las disposiciones del Reglamento de Radiocomunicaciones (RR) relativas a la publicación de información sobre la puesta en servicio de redes de satélites y estudia la forma de aclarar la labor de la BR para mejorar la accesibilidad y transparencia de la información</w:t>
      </w:r>
      <w:r w:rsidR="00C1448B" w:rsidRPr="00131E05">
        <w:t>.</w:t>
      </w:r>
    </w:p>
    <w:p w:rsidR="00C1448B" w:rsidRPr="00131E05" w:rsidRDefault="00C1448B" w:rsidP="00EA16D8">
      <w:pPr>
        <w:rPr>
          <w:rFonts w:ascii="Times New Roman Bold" w:hAnsi="Times New Roman Bold"/>
          <w:b/>
        </w:rPr>
      </w:pPr>
      <w:r w:rsidRPr="00131E05">
        <w:t>Los esfuerzos desplegados por la BR al respecto deben ser respaldados por las disposiciones que rigen la situación jurídica de la información publicada en su totalidad.</w:t>
      </w:r>
    </w:p>
    <w:p w:rsidR="00363A65" w:rsidRPr="00227983" w:rsidRDefault="003020E4" w:rsidP="00227983">
      <w:pPr>
        <w:pStyle w:val="Headingb"/>
        <w:keepNext w:val="0"/>
        <w:rPr>
          <w:rFonts w:ascii="Times New Roman Bold" w:hAnsi="Times New Roman Bold" w:cs="Times New Roman Bold"/>
          <w:lang w:val="en-US"/>
        </w:rPr>
      </w:pPr>
      <w:r w:rsidRPr="00227983">
        <w:rPr>
          <w:rFonts w:ascii="Times New Roman Bold" w:hAnsi="Times New Roman Bold" w:cs="Times New Roman Bold"/>
          <w:lang w:val="en-US"/>
        </w:rPr>
        <w:t>Prop</w:t>
      </w:r>
      <w:r w:rsidR="00EA16D8" w:rsidRPr="00227983">
        <w:rPr>
          <w:rFonts w:ascii="Times New Roman Bold" w:hAnsi="Times New Roman Bold" w:cs="Times New Roman Bold"/>
          <w:lang w:val="en-US"/>
        </w:rPr>
        <w:t>uesta</w:t>
      </w:r>
    </w:p>
    <w:p w:rsidR="008750A8" w:rsidRPr="00131E05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131E05">
        <w:br w:type="page"/>
      </w:r>
    </w:p>
    <w:p w:rsidR="003D7F1F" w:rsidRPr="00131E05" w:rsidRDefault="00903042">
      <w:pPr>
        <w:pStyle w:val="Proposal"/>
      </w:pPr>
      <w:r w:rsidRPr="00131E05">
        <w:rPr>
          <w:u w:val="single"/>
        </w:rPr>
        <w:lastRenderedPageBreak/>
        <w:t>NOC</w:t>
      </w:r>
      <w:r w:rsidRPr="00131E05">
        <w:tab/>
        <w:t>IRN/61A21A2/1</w:t>
      </w:r>
    </w:p>
    <w:p w:rsidR="00F008F3" w:rsidRPr="00131E05" w:rsidRDefault="00903042" w:rsidP="001A409B">
      <w:pPr>
        <w:pStyle w:val="ArtNo"/>
      </w:pPr>
      <w:r w:rsidRPr="00131E05">
        <w:t xml:space="preserve">ARTÍCULO </w:t>
      </w:r>
      <w:r w:rsidRPr="00131E05">
        <w:rPr>
          <w:rStyle w:val="href"/>
        </w:rPr>
        <w:t>11</w:t>
      </w:r>
    </w:p>
    <w:p w:rsidR="00F008F3" w:rsidRPr="00131E05" w:rsidRDefault="00903042" w:rsidP="00FD75A4">
      <w:pPr>
        <w:pStyle w:val="Arttitle"/>
        <w:spacing w:before="120"/>
        <w:rPr>
          <w:bCs/>
        </w:rPr>
      </w:pPr>
      <w:r w:rsidRPr="00131E05">
        <w:t>Notificación e inscripción de asignaciones</w:t>
      </w:r>
      <w:r w:rsidRPr="00131E05">
        <w:br/>
        <w:t>de frecuencia</w:t>
      </w:r>
      <w:r w:rsidRPr="00131E05">
        <w:rPr>
          <w:rStyle w:val="FootnoteReference"/>
          <w:bCs/>
          <w:szCs w:val="18"/>
        </w:rPr>
        <w:t>1</w:t>
      </w:r>
      <w:r w:rsidRPr="00131E05">
        <w:rPr>
          <w:bCs/>
          <w:position w:val="6"/>
          <w:sz w:val="18"/>
          <w:szCs w:val="18"/>
        </w:rPr>
        <w:t xml:space="preserve">, </w:t>
      </w:r>
      <w:r w:rsidRPr="00131E05">
        <w:rPr>
          <w:rStyle w:val="FootnoteReference"/>
          <w:bCs/>
          <w:szCs w:val="18"/>
        </w:rPr>
        <w:t>2</w:t>
      </w:r>
      <w:r w:rsidRPr="00131E05">
        <w:rPr>
          <w:bCs/>
          <w:position w:val="6"/>
          <w:sz w:val="18"/>
          <w:szCs w:val="18"/>
        </w:rPr>
        <w:t xml:space="preserve">, </w:t>
      </w:r>
      <w:r w:rsidRPr="00131E05">
        <w:rPr>
          <w:rStyle w:val="FootnoteReference"/>
          <w:bCs/>
          <w:szCs w:val="18"/>
        </w:rPr>
        <w:t>3</w:t>
      </w:r>
      <w:r w:rsidRPr="00131E05">
        <w:rPr>
          <w:bCs/>
          <w:position w:val="6"/>
          <w:sz w:val="18"/>
          <w:szCs w:val="18"/>
        </w:rPr>
        <w:t xml:space="preserve">, </w:t>
      </w:r>
      <w:r w:rsidRPr="00131E05">
        <w:rPr>
          <w:rStyle w:val="FootnoteReference"/>
          <w:bCs/>
          <w:szCs w:val="18"/>
        </w:rPr>
        <w:t>4</w:t>
      </w:r>
      <w:r w:rsidRPr="00131E05">
        <w:rPr>
          <w:bCs/>
          <w:position w:val="6"/>
          <w:sz w:val="18"/>
          <w:szCs w:val="18"/>
        </w:rPr>
        <w:t xml:space="preserve">, </w:t>
      </w:r>
      <w:r w:rsidRPr="00131E05">
        <w:rPr>
          <w:rStyle w:val="FootnoteReference"/>
          <w:bCs/>
          <w:szCs w:val="18"/>
        </w:rPr>
        <w:t>5</w:t>
      </w:r>
      <w:r w:rsidRPr="00131E05">
        <w:rPr>
          <w:bCs/>
          <w:position w:val="6"/>
          <w:sz w:val="18"/>
          <w:szCs w:val="18"/>
        </w:rPr>
        <w:t xml:space="preserve">, </w:t>
      </w:r>
      <w:r w:rsidRPr="00131E05">
        <w:rPr>
          <w:rStyle w:val="FootnoteReference"/>
          <w:bCs/>
          <w:szCs w:val="18"/>
        </w:rPr>
        <w:t>6</w:t>
      </w:r>
      <w:r w:rsidRPr="00131E05">
        <w:rPr>
          <w:bCs/>
          <w:position w:val="6"/>
          <w:sz w:val="18"/>
          <w:szCs w:val="18"/>
        </w:rPr>
        <w:t xml:space="preserve">, </w:t>
      </w:r>
      <w:r w:rsidRPr="00131E05">
        <w:rPr>
          <w:rStyle w:val="FootnoteReference"/>
          <w:bCs/>
          <w:szCs w:val="18"/>
        </w:rPr>
        <w:t>7,</w:t>
      </w:r>
      <w:r w:rsidR="00227983" w:rsidRPr="00227983">
        <w:rPr>
          <w:bCs/>
          <w:position w:val="6"/>
          <w:sz w:val="18"/>
          <w:szCs w:val="18"/>
        </w:rPr>
        <w:t xml:space="preserve"> </w:t>
      </w:r>
      <w:r w:rsidRPr="00131E05">
        <w:rPr>
          <w:bCs/>
          <w:position w:val="6"/>
          <w:sz w:val="18"/>
          <w:szCs w:val="18"/>
        </w:rPr>
        <w:t>7</w:t>
      </w:r>
      <w:r w:rsidRPr="00131E05">
        <w:rPr>
          <w:bCs/>
          <w:i/>
          <w:iCs/>
          <w:position w:val="6"/>
          <w:sz w:val="18"/>
          <w:szCs w:val="18"/>
        </w:rPr>
        <w:t>bis</w:t>
      </w:r>
      <w:r w:rsidRPr="00131E05">
        <w:rPr>
          <w:b w:val="0"/>
          <w:sz w:val="16"/>
        </w:rPr>
        <w:t>     (CMR</w:t>
      </w:r>
      <w:r w:rsidRPr="00131E05">
        <w:rPr>
          <w:b w:val="0"/>
          <w:sz w:val="16"/>
        </w:rPr>
        <w:noBreakHyphen/>
        <w:t>12)</w:t>
      </w:r>
    </w:p>
    <w:p w:rsidR="003020E4" w:rsidRPr="00131E05" w:rsidRDefault="00903042" w:rsidP="00C3373E">
      <w:pPr>
        <w:pStyle w:val="Reasons"/>
      </w:pPr>
      <w:r w:rsidRPr="00131E05">
        <w:rPr>
          <w:b/>
        </w:rPr>
        <w:t>Motivos:</w:t>
      </w:r>
      <w:r w:rsidRPr="00131E05">
        <w:tab/>
        <w:t>La ventaja de est</w:t>
      </w:r>
      <w:r w:rsidR="003527F3" w:rsidRPr="00131E05">
        <w:t xml:space="preserve">a </w:t>
      </w:r>
      <w:r w:rsidR="004F692E">
        <w:t>propuesta</w:t>
      </w:r>
      <w:r w:rsidR="003527F3" w:rsidRPr="00131E05">
        <w:t xml:space="preserve">, acorde al Método B3, </w:t>
      </w:r>
      <w:r w:rsidRPr="00131E05">
        <w:t>es que no requer</w:t>
      </w:r>
      <w:r w:rsidR="003527F3" w:rsidRPr="00131E05">
        <w:t>iría</w:t>
      </w:r>
      <w:r w:rsidRPr="00131E05">
        <w:t xml:space="preserve"> la introducción de cambios específicos en el RR</w:t>
      </w:r>
      <w:r w:rsidR="003527F3" w:rsidRPr="00131E05">
        <w:t>,</w:t>
      </w:r>
      <w:r w:rsidRPr="00131E05">
        <w:t xml:space="preserve"> pero tendría el mismo efecto que si se introdujesen modificaciones en el RR. Esta práctica ha sido utilizada en pasadas CMR, incluida la CMR-12, en las que los resultados de las decisiones </w:t>
      </w:r>
      <w:r w:rsidR="003527F3" w:rsidRPr="00131E05">
        <w:t>se incluyeron en las Actas de la Sesión Plenaria y se</w:t>
      </w:r>
      <w:r w:rsidRPr="00131E05">
        <w:t xml:space="preserve"> distribu</w:t>
      </w:r>
      <w:r w:rsidR="003527F3" w:rsidRPr="00131E05">
        <w:t>yeron</w:t>
      </w:r>
      <w:r w:rsidRPr="00131E05">
        <w:t xml:space="preserve"> mediante </w:t>
      </w:r>
      <w:r w:rsidR="00C3373E">
        <w:t>C</w:t>
      </w:r>
      <w:r w:rsidRPr="00131E05">
        <w:t xml:space="preserve">arta </w:t>
      </w:r>
      <w:r w:rsidR="00C3373E">
        <w:t>C</w:t>
      </w:r>
      <w:r w:rsidRPr="00131E05">
        <w:t>ircular</w:t>
      </w:r>
      <w:r w:rsidR="003527F3" w:rsidRPr="00131E05">
        <w:t xml:space="preserve"> entre los Estados Miembros</w:t>
      </w:r>
      <w:r w:rsidRPr="00131E05">
        <w:t>. Además, debido a la intensa carga de trabajo de las CMR, en particular la CMR-15, debe hacerse todo lo posible para</w:t>
      </w:r>
      <w:r w:rsidR="004F692E">
        <w:t xml:space="preserve"> evitar que se </w:t>
      </w:r>
      <w:r w:rsidR="003527F3" w:rsidRPr="00131E05">
        <w:t>gener</w:t>
      </w:r>
      <w:r w:rsidRPr="00131E05">
        <w:t>en debates innecesarios durante la</w:t>
      </w:r>
      <w:r w:rsidR="003527F3" w:rsidRPr="00131E05">
        <w:t xml:space="preserve"> Conferencia, d</w:t>
      </w:r>
      <w:r w:rsidRPr="00131E05">
        <w:t xml:space="preserve">e manera que ésta pueda centrarse en temas importantes que requieren </w:t>
      </w:r>
      <w:r w:rsidR="004F692E">
        <w:t>extensas</w:t>
      </w:r>
      <w:r w:rsidR="003527F3" w:rsidRPr="00131E05">
        <w:t xml:space="preserve"> </w:t>
      </w:r>
      <w:r w:rsidRPr="00131E05">
        <w:t>deliberaciones</w:t>
      </w:r>
      <w:r w:rsidR="004F692E">
        <w:t xml:space="preserve"> y discusiones</w:t>
      </w:r>
      <w:r w:rsidR="003527F3" w:rsidRPr="00131E05">
        <w:t>.</w:t>
      </w:r>
    </w:p>
    <w:p w:rsidR="003020E4" w:rsidRPr="00131E05" w:rsidRDefault="003527F3" w:rsidP="004F692E">
      <w:pPr>
        <w:rPr>
          <w:bCs/>
        </w:rPr>
      </w:pPr>
      <w:r w:rsidRPr="00131E05">
        <w:rPr>
          <w:rStyle w:val="hps"/>
        </w:rPr>
        <w:t>Sin embargo</w:t>
      </w:r>
      <w:r w:rsidRPr="00131E05">
        <w:t>,</w:t>
      </w:r>
      <w:r w:rsidR="004F692E">
        <w:t xml:space="preserve"> la</w:t>
      </w:r>
      <w:r w:rsidRPr="00131E05">
        <w:t xml:space="preserve"> </w:t>
      </w:r>
      <w:r w:rsidRPr="00131E05">
        <w:rPr>
          <w:rStyle w:val="hps"/>
        </w:rPr>
        <w:t>Administración</w:t>
      </w:r>
      <w:r w:rsidR="004F692E">
        <w:rPr>
          <w:rStyle w:val="hps"/>
        </w:rPr>
        <w:t xml:space="preserve"> de la República Islámica del Irán</w:t>
      </w:r>
      <w:r w:rsidRPr="00131E05">
        <w:rPr>
          <w:rStyle w:val="hps"/>
        </w:rPr>
        <w:t xml:space="preserve"> podría tomar en consideración otras opciones, en función de los debates que la Conferencia celebr</w:t>
      </w:r>
      <w:r w:rsidR="004F692E">
        <w:rPr>
          <w:rStyle w:val="hps"/>
        </w:rPr>
        <w:t>e</w:t>
      </w:r>
      <w:r w:rsidRPr="00131E05">
        <w:rPr>
          <w:rStyle w:val="hps"/>
        </w:rPr>
        <w:t xml:space="preserve"> al respecto</w:t>
      </w:r>
      <w:r w:rsidR="00DE28FC" w:rsidRPr="00131E05">
        <w:rPr>
          <w:rStyle w:val="hps"/>
        </w:rPr>
        <w:t>,</w:t>
      </w:r>
      <w:r w:rsidRPr="00131E05">
        <w:rPr>
          <w:rStyle w:val="hps"/>
        </w:rPr>
        <w:t xml:space="preserve"> si </w:t>
      </w:r>
      <w:r w:rsidR="00DE28FC" w:rsidRPr="00131E05">
        <w:rPr>
          <w:rStyle w:val="hps"/>
        </w:rPr>
        <w:t>procede</w:t>
      </w:r>
      <w:r w:rsidRPr="00131E05">
        <w:rPr>
          <w:rStyle w:val="hps"/>
        </w:rPr>
        <w:t>.</w:t>
      </w:r>
    </w:p>
    <w:p w:rsidR="00227983" w:rsidRDefault="00227983" w:rsidP="0032202E">
      <w:pPr>
        <w:pStyle w:val="Reasons"/>
      </w:pPr>
    </w:p>
    <w:p w:rsidR="00227983" w:rsidRDefault="00227983">
      <w:pPr>
        <w:jc w:val="center"/>
      </w:pPr>
      <w:r>
        <w:t>______________</w:t>
      </w:r>
    </w:p>
    <w:sectPr w:rsidR="002279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C3373E" w:rsidRDefault="0077084A">
    <w:pPr>
      <w:ind w:right="360"/>
    </w:pPr>
    <w:r>
      <w:fldChar w:fldCharType="begin"/>
    </w:r>
    <w:r w:rsidRPr="00C3373E">
      <w:instrText xml:space="preserve"> FILENAME \p  \* MERGEFORMAT </w:instrText>
    </w:r>
    <w:r>
      <w:fldChar w:fldCharType="separate"/>
    </w:r>
    <w:r w:rsidR="00C3373E">
      <w:rPr>
        <w:noProof/>
      </w:rPr>
      <w:t>P:\ESP\ITU-R\CONF-R\CMR15\000\061ADD21ADD02S.docx</w:t>
    </w:r>
    <w:r>
      <w:fldChar w:fldCharType="end"/>
    </w:r>
    <w:r w:rsidRPr="00C3373E">
      <w:tab/>
    </w:r>
    <w:r>
      <w:fldChar w:fldCharType="begin"/>
    </w:r>
    <w:r>
      <w:instrText xml:space="preserve"> SAVEDATE \@ DD.MM.YY </w:instrText>
    </w:r>
    <w:r>
      <w:fldChar w:fldCharType="separate"/>
    </w:r>
    <w:r w:rsidR="00C14980">
      <w:rPr>
        <w:noProof/>
      </w:rPr>
      <w:t>22.10.15</w:t>
    </w:r>
    <w:r>
      <w:fldChar w:fldCharType="end"/>
    </w:r>
    <w:r w:rsidRPr="00C3373E">
      <w:tab/>
    </w:r>
    <w:r>
      <w:fldChar w:fldCharType="begin"/>
    </w:r>
    <w:r>
      <w:instrText xml:space="preserve"> PRINTDATE \@ DD.MM.YY </w:instrText>
    </w:r>
    <w:r>
      <w:fldChar w:fldCharType="separate"/>
    </w:r>
    <w:r w:rsidR="00C3373E">
      <w:rPr>
        <w:noProof/>
      </w:rPr>
      <w:t>22.10.15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227983" w:rsidRDefault="00C14980" w:rsidP="00227983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C3373E">
      <w:t>P:\ESP\ITU-R\CONF-R\CMR15\000\061ADD21ADD02S.docx</w:t>
    </w:r>
    <w:r>
      <w:fldChar w:fldCharType="end"/>
    </w:r>
    <w:r>
      <w:t xml:space="preserve"> </w:t>
    </w:r>
    <w:r>
      <w:t>(388289)</w:t>
    </w:r>
    <w:bookmarkStart w:id="6" w:name="_GoBack"/>
    <w:bookmarkEnd w:id="6"/>
    <w:r w:rsidR="00227983">
      <w:tab/>
    </w:r>
    <w:r w:rsidR="00227983">
      <w:fldChar w:fldCharType="begin"/>
    </w:r>
    <w:r w:rsidR="00227983">
      <w:instrText xml:space="preserve"> SAVEDATE \@ DD.MM.YY </w:instrText>
    </w:r>
    <w:r w:rsidR="00227983">
      <w:fldChar w:fldCharType="separate"/>
    </w:r>
    <w:r>
      <w:t>22.10.15</w:t>
    </w:r>
    <w:r w:rsidR="00227983">
      <w:fldChar w:fldCharType="end"/>
    </w:r>
    <w:r w:rsidR="00227983">
      <w:tab/>
    </w:r>
    <w:r w:rsidR="00227983">
      <w:fldChar w:fldCharType="begin"/>
    </w:r>
    <w:r w:rsidR="00227983">
      <w:instrText xml:space="preserve"> PRINTDATE \@ DD.MM.YY </w:instrText>
    </w:r>
    <w:r w:rsidR="00227983">
      <w:fldChar w:fldCharType="separate"/>
    </w:r>
    <w:r w:rsidR="00C3373E">
      <w:t>22.10.15</w:t>
    </w:r>
    <w:r w:rsidR="00227983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227983" w:rsidRDefault="00C3373E" w:rsidP="00227983">
    <w:pPr>
      <w:pStyle w:val="Footer"/>
    </w:pPr>
    <w:fldSimple w:instr=" FILENAME \p  \* MERGEFORMAT ">
      <w:r>
        <w:t>P:\ESP\ITU-R\CONF-R\CMR15\000\061ADD21ADD02S.docx</w:t>
      </w:r>
    </w:fldSimple>
    <w:r w:rsidR="00C14980">
      <w:t xml:space="preserve"> (388289)</w:t>
    </w:r>
    <w:r w:rsidR="00227983">
      <w:tab/>
    </w:r>
    <w:r w:rsidR="00227983">
      <w:fldChar w:fldCharType="begin"/>
    </w:r>
    <w:r w:rsidR="00227983">
      <w:instrText xml:space="preserve"> SAVEDATE \@ DD.MM.YY </w:instrText>
    </w:r>
    <w:r w:rsidR="00227983">
      <w:fldChar w:fldCharType="separate"/>
    </w:r>
    <w:r w:rsidR="00C14980">
      <w:t>22.10.15</w:t>
    </w:r>
    <w:r w:rsidR="00227983">
      <w:fldChar w:fldCharType="end"/>
    </w:r>
    <w:r w:rsidR="00227983">
      <w:tab/>
    </w:r>
    <w:r w:rsidR="00227983">
      <w:fldChar w:fldCharType="begin"/>
    </w:r>
    <w:r w:rsidR="00227983">
      <w:instrText xml:space="preserve"> PRINTDATE \@ DD.MM.YY </w:instrText>
    </w:r>
    <w:r w:rsidR="00227983">
      <w:fldChar w:fldCharType="separate"/>
    </w:r>
    <w:r>
      <w:t>22.10.15</w:t>
    </w:r>
    <w:r w:rsidR="0022798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80" w:rsidRDefault="00C149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14980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61(Add.21)(Add.2)-</w:t>
    </w:r>
    <w:r w:rsidR="003248A9" w:rsidRPr="003248A9">
      <w:t>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80" w:rsidRDefault="00C149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31E05"/>
    <w:rsid w:val="0015142D"/>
    <w:rsid w:val="001616DC"/>
    <w:rsid w:val="00163962"/>
    <w:rsid w:val="00191A97"/>
    <w:rsid w:val="001A083F"/>
    <w:rsid w:val="001A13C9"/>
    <w:rsid w:val="001C41FA"/>
    <w:rsid w:val="001E2B52"/>
    <w:rsid w:val="001E3F27"/>
    <w:rsid w:val="00227983"/>
    <w:rsid w:val="00236D2A"/>
    <w:rsid w:val="00255F12"/>
    <w:rsid w:val="00262C09"/>
    <w:rsid w:val="002A791F"/>
    <w:rsid w:val="002C1B26"/>
    <w:rsid w:val="002C5D6C"/>
    <w:rsid w:val="002E701F"/>
    <w:rsid w:val="003020E4"/>
    <w:rsid w:val="003248A9"/>
    <w:rsid w:val="00324FFA"/>
    <w:rsid w:val="0032680B"/>
    <w:rsid w:val="003527F3"/>
    <w:rsid w:val="00363A65"/>
    <w:rsid w:val="003B1E8C"/>
    <w:rsid w:val="003C2508"/>
    <w:rsid w:val="003D0AA3"/>
    <w:rsid w:val="003D7F1F"/>
    <w:rsid w:val="00440B3A"/>
    <w:rsid w:val="0045384C"/>
    <w:rsid w:val="00454553"/>
    <w:rsid w:val="00464F27"/>
    <w:rsid w:val="004B124A"/>
    <w:rsid w:val="004B4818"/>
    <w:rsid w:val="004F692E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77CFE"/>
    <w:rsid w:val="008E5AF2"/>
    <w:rsid w:val="0090121B"/>
    <w:rsid w:val="00903042"/>
    <w:rsid w:val="009144C9"/>
    <w:rsid w:val="0094091F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1448B"/>
    <w:rsid w:val="00C14980"/>
    <w:rsid w:val="00C3373E"/>
    <w:rsid w:val="00C63EB5"/>
    <w:rsid w:val="00CC01E0"/>
    <w:rsid w:val="00CD5FEE"/>
    <w:rsid w:val="00CE60D2"/>
    <w:rsid w:val="00CE7431"/>
    <w:rsid w:val="00D0288A"/>
    <w:rsid w:val="00D72A5D"/>
    <w:rsid w:val="00D80C2C"/>
    <w:rsid w:val="00DC629B"/>
    <w:rsid w:val="00DE28FC"/>
    <w:rsid w:val="00E05BFF"/>
    <w:rsid w:val="00E262F1"/>
    <w:rsid w:val="00E3176A"/>
    <w:rsid w:val="00E54754"/>
    <w:rsid w:val="00E56BD3"/>
    <w:rsid w:val="00E6777A"/>
    <w:rsid w:val="00E71D14"/>
    <w:rsid w:val="00EA16D8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8C252592-8EA4-4805-9082-D9842CD1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hps">
    <w:name w:val="hps"/>
    <w:basedOn w:val="DefaultParagraphFont"/>
    <w:rsid w:val="003527F3"/>
  </w:style>
  <w:style w:type="paragraph" w:styleId="BalloonText">
    <w:name w:val="Balloon Text"/>
    <w:basedOn w:val="Normal"/>
    <w:link w:val="BalloonTextChar"/>
    <w:semiHidden/>
    <w:unhideWhenUsed/>
    <w:rsid w:val="00131E0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31E05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R15-WRC15-C-0061!A21-A2!MSW-S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2C3A37-F0E2-4D27-8618-5A6FAF5A6391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996b2e75-67fd-4955-a3b0-5ab9934cb50b"/>
    <ds:schemaRef ds:uri="http://schemas.microsoft.com/office/2006/documentManagement/types"/>
    <ds:schemaRef ds:uri="32a1a8c5-2265-4ebc-b7a0-2071e2c5c9bb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44EDED-714D-4E5F-A32A-8430BADC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446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R15-WRC15-C-0061!A21-A2!MSW-S</vt:lpstr>
    </vt:vector>
  </TitlesOfParts>
  <Manager>Secretaría General - Pool</Manager>
  <Company>Unión Internacional de Telecomunicaciones (UIT)</Company>
  <LinksUpToDate>false</LinksUpToDate>
  <CharactersWithSpaces>2964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R15-WRC15-C-0061!A21-A2!MSW-S</dc:title>
  <dc:subject>Conferencia Mundial de Radiocomunicaciones - 2015</dc:subject>
  <dc:creator>Documents Proposals Manager (DPM)</dc:creator>
  <cp:keywords>DPM_v5.2015.10.15_prod</cp:keywords>
  <dc:description/>
  <cp:lastModifiedBy>spanish</cp:lastModifiedBy>
  <cp:revision>6</cp:revision>
  <cp:lastPrinted>2015-10-22T11:12:00Z</cp:lastPrinted>
  <dcterms:created xsi:type="dcterms:W3CDTF">2015-10-21T11:12:00Z</dcterms:created>
  <dcterms:modified xsi:type="dcterms:W3CDTF">2015-10-22T11:18:00Z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