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771"/>
        <w:gridCol w:w="3260"/>
      </w:tblGrid>
      <w:tr w:rsidR="00622560" w:rsidTr="00A01AFD">
        <w:trPr>
          <w:cantSplit/>
        </w:trPr>
        <w:tc>
          <w:tcPr>
            <w:tcW w:w="677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26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7F887A62" wp14:editId="31CC0DA5">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rsidTr="00A01AFD">
        <w:trPr>
          <w:cantSplit/>
        </w:trPr>
        <w:tc>
          <w:tcPr>
            <w:tcW w:w="677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26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A01AFD">
        <w:trPr>
          <w:cantSplit/>
        </w:trPr>
        <w:tc>
          <w:tcPr>
            <w:tcW w:w="677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26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A01AFD">
        <w:trPr>
          <w:cantSplit/>
          <w:trHeight w:val="23"/>
        </w:trPr>
        <w:tc>
          <w:tcPr>
            <w:tcW w:w="6771"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260" w:type="dxa"/>
            <w:shd w:val="clear" w:color="auto" w:fill="auto"/>
          </w:tcPr>
          <w:p w:rsidR="00622560" w:rsidRPr="00622560" w:rsidRDefault="000273B7" w:rsidP="005F1274">
            <w:pPr>
              <w:spacing w:before="0"/>
              <w:rPr>
                <w:rFonts w:ascii="Verdana" w:hAnsi="Verdana"/>
                <w:sz w:val="20"/>
              </w:rPr>
            </w:pPr>
            <w:r>
              <w:rPr>
                <w:rFonts w:ascii="Verdana" w:hAnsi="Verdana" w:cs="Traditional Arabic"/>
                <w:b/>
                <w:sz w:val="20"/>
              </w:rPr>
              <w:t>文件</w:t>
            </w:r>
            <w:r w:rsidR="00F864F2">
              <w:rPr>
                <w:rFonts w:ascii="Verdana" w:hAnsi="Verdana" w:cs="Traditional Arabic"/>
                <w:b/>
                <w:sz w:val="20"/>
              </w:rPr>
              <w:t xml:space="preserve"> 61</w:t>
            </w:r>
            <w:r>
              <w:rPr>
                <w:rFonts w:ascii="Verdana" w:hAnsi="Verdana" w:cs="Traditional Arabic"/>
                <w:b/>
                <w:sz w:val="20"/>
              </w:rPr>
              <w:t>(Add.21)</w:t>
            </w:r>
            <w:r w:rsidR="005F1274">
              <w:rPr>
                <w:rFonts w:ascii="Verdana" w:hAnsi="Verdana" w:cs="Traditional Arabic"/>
                <w:b/>
                <w:sz w:val="20"/>
              </w:rPr>
              <w:t>(Add.2)</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A01AFD">
        <w:trPr>
          <w:cantSplit/>
          <w:trHeight w:val="23"/>
        </w:trPr>
        <w:tc>
          <w:tcPr>
            <w:tcW w:w="6771" w:type="dxa"/>
            <w:shd w:val="clear" w:color="auto" w:fill="auto"/>
          </w:tcPr>
          <w:p w:rsidR="008221A4" w:rsidRPr="00C324A8" w:rsidRDefault="008221A4" w:rsidP="00A466E6">
            <w:pPr>
              <w:spacing w:before="0"/>
              <w:rPr>
                <w:rFonts w:ascii="Verdana" w:hAnsi="Verdana"/>
                <w:b/>
                <w:smallCaps/>
                <w:sz w:val="20"/>
              </w:rPr>
            </w:pPr>
          </w:p>
        </w:tc>
        <w:tc>
          <w:tcPr>
            <w:tcW w:w="326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14</w:t>
            </w:r>
            <w:r w:rsidRPr="000273B7">
              <w:rPr>
                <w:rFonts w:ascii="Verdana" w:hAnsi="Verdana"/>
                <w:b/>
                <w:bCs/>
                <w:sz w:val="20"/>
              </w:rPr>
              <w:t>日</w:t>
            </w:r>
          </w:p>
        </w:tc>
      </w:tr>
      <w:tr w:rsidR="008221A4" w:rsidRPr="00C324A8" w:rsidTr="00A01AFD">
        <w:trPr>
          <w:cantSplit/>
          <w:trHeight w:val="23"/>
        </w:trPr>
        <w:tc>
          <w:tcPr>
            <w:tcW w:w="6771" w:type="dxa"/>
          </w:tcPr>
          <w:p w:rsidR="008221A4" w:rsidRPr="00CB4E5A" w:rsidRDefault="008221A4" w:rsidP="00A466E6">
            <w:pPr>
              <w:spacing w:before="0"/>
              <w:rPr>
                <w:rFonts w:ascii="Verdana" w:hAnsi="Verdana"/>
                <w:b/>
                <w:bCs/>
                <w:sz w:val="20"/>
              </w:rPr>
            </w:pPr>
          </w:p>
        </w:tc>
        <w:tc>
          <w:tcPr>
            <w:tcW w:w="3260" w:type="dxa"/>
          </w:tcPr>
          <w:p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rPr>
                <w:lang w:eastAsia="zh-CN"/>
              </w:rPr>
            </w:pPr>
            <w:bookmarkStart w:id="4" w:name="dsource" w:colFirst="0" w:colLast="0"/>
            <w:r w:rsidRPr="000273B7">
              <w:rPr>
                <w:lang w:eastAsia="zh-CN"/>
              </w:rPr>
              <w:t>伊朗（伊斯兰共和国）</w:t>
            </w:r>
          </w:p>
        </w:tc>
      </w:tr>
      <w:tr w:rsidR="008221A4">
        <w:trPr>
          <w:cantSplit/>
        </w:trPr>
        <w:tc>
          <w:tcPr>
            <w:tcW w:w="10031" w:type="dxa"/>
            <w:gridSpan w:val="2"/>
          </w:tcPr>
          <w:p w:rsidR="008221A4" w:rsidRDefault="005F1274" w:rsidP="008221A4">
            <w:pPr>
              <w:pStyle w:val="Title1"/>
            </w:pPr>
            <w:bookmarkStart w:id="5" w:name="dtitle1" w:colFirst="0" w:colLast="0"/>
            <w:bookmarkEnd w:id="4"/>
            <w:r w:rsidRPr="00956EF1">
              <w:rPr>
                <w:rFonts w:hint="eastAsia"/>
              </w:rPr>
              <w:t>有关大会工作的提案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7(B)</w:t>
            </w:r>
          </w:p>
        </w:tc>
      </w:tr>
    </w:tbl>
    <w:bookmarkEnd w:id="7"/>
    <w:p w:rsidR="008B60D0" w:rsidRPr="007806A0" w:rsidRDefault="00A01AFD" w:rsidP="00F864F2">
      <w:pPr>
        <w:pStyle w:val="Normalaftertitle0"/>
        <w:rPr>
          <w:lang w:eastAsia="zh-CN"/>
        </w:rPr>
      </w:pPr>
      <w:r w:rsidRPr="009C33AA">
        <w:rPr>
          <w:lang w:eastAsia="zh-CN"/>
        </w:rPr>
        <w:t>7</w:t>
      </w:r>
      <w:r w:rsidRPr="009C33AA">
        <w:rPr>
          <w:lang w:eastAsia="zh-CN"/>
        </w:rPr>
        <w:tab/>
      </w:r>
      <w:r w:rsidRPr="009C33AA">
        <w:rPr>
          <w:rFonts w:hint="eastAsia"/>
          <w:lang w:eastAsia="zh-CN"/>
        </w:rPr>
        <w:t>根据第</w:t>
      </w:r>
      <w:r w:rsidRPr="009C33AA">
        <w:rPr>
          <w:b/>
          <w:bCs/>
          <w:lang w:eastAsia="zh-CN"/>
        </w:rPr>
        <w:t>86</w:t>
      </w:r>
      <w:r w:rsidRPr="009C33AA">
        <w:rPr>
          <w:rFonts w:hint="eastAsia"/>
          <w:lang w:eastAsia="zh-CN"/>
        </w:rPr>
        <w:t>号决议</w:t>
      </w:r>
      <w:r w:rsidRPr="009C33AA">
        <w:rPr>
          <w:rFonts w:hint="eastAsia"/>
          <w:b/>
          <w:bCs/>
          <w:lang w:eastAsia="zh-CN"/>
        </w:rPr>
        <w:t>（</w:t>
      </w:r>
      <w:r w:rsidRPr="009C33AA">
        <w:rPr>
          <w:b/>
          <w:bCs/>
          <w:lang w:eastAsia="zh-CN"/>
        </w:rPr>
        <w:t>WRC-07</w:t>
      </w:r>
      <w:r w:rsidRPr="009C33AA">
        <w:rPr>
          <w:rFonts w:hint="eastAsia"/>
          <w:b/>
          <w:bCs/>
          <w:lang w:eastAsia="zh-CN"/>
        </w:rPr>
        <w:t>，修订版）</w:t>
      </w:r>
      <w:r w:rsidRPr="009C33AA">
        <w:rPr>
          <w:rFonts w:hint="eastAsia"/>
          <w:lang w:eastAsia="zh-CN"/>
        </w:rPr>
        <w:t>，考虑为回应全权代表大会第</w:t>
      </w:r>
      <w:r w:rsidRPr="009C33AA">
        <w:rPr>
          <w:lang w:eastAsia="zh-CN"/>
        </w:rPr>
        <w:t>86</w:t>
      </w:r>
      <w:r w:rsidRPr="009C33AA">
        <w:rPr>
          <w:rFonts w:hint="eastAsia"/>
          <w:lang w:eastAsia="zh-CN"/>
        </w:rPr>
        <w:t>号决议（</w:t>
      </w:r>
      <w:r w:rsidRPr="009C33AA">
        <w:rPr>
          <w:lang w:eastAsia="zh-CN"/>
        </w:rPr>
        <w:t>2002</w:t>
      </w:r>
      <w:r w:rsidRPr="009C33AA">
        <w:rPr>
          <w:rFonts w:hint="eastAsia"/>
          <w:lang w:eastAsia="zh-CN"/>
        </w:rPr>
        <w:t>年，马拉喀什，修订版）</w:t>
      </w:r>
      <w:r>
        <w:rPr>
          <w:rFonts w:hint="eastAsia"/>
          <w:lang w:eastAsia="zh-CN"/>
        </w:rPr>
        <w:t xml:space="preserve"> </w:t>
      </w:r>
      <w:r>
        <w:rPr>
          <w:lang w:eastAsia="zh-CN"/>
        </w:rPr>
        <w:t>–</w:t>
      </w:r>
      <w:r w:rsidRPr="009C33AA">
        <w:rPr>
          <w:rFonts w:hint="eastAsia"/>
          <w:lang w:eastAsia="zh-CN"/>
        </w:rPr>
        <w:t xml:space="preserve"> </w:t>
      </w:r>
      <w:r w:rsidRPr="009C33AA">
        <w:rPr>
          <w:rFonts w:hint="eastAsia"/>
          <w:lang w:eastAsia="zh-CN"/>
        </w:rPr>
        <w:t>关于卫星网络频率指配的提前公布、协调、通知和登记程序</w:t>
      </w:r>
      <w:r w:rsidRPr="009C33AA">
        <w:rPr>
          <w:rFonts w:hint="eastAsia"/>
          <w:lang w:eastAsia="zh-CN"/>
        </w:rPr>
        <w:t xml:space="preserve"> </w:t>
      </w:r>
      <w:r w:rsidRPr="009C33AA">
        <w:rPr>
          <w:lang w:eastAsia="zh-CN"/>
        </w:rPr>
        <w:t xml:space="preserve">– </w:t>
      </w:r>
      <w:r w:rsidRPr="009C33AA">
        <w:rPr>
          <w:rFonts w:hint="eastAsia"/>
          <w:lang w:eastAsia="zh-CN"/>
        </w:rPr>
        <w:t>而可能做出的修改和采取的其它方案，以便为合理、高效和经济地使用无线电频率及任何相关轨道（包括对地静止卫星轨道）提供便利；</w:t>
      </w:r>
    </w:p>
    <w:p w:rsidR="008B60D0" w:rsidRDefault="00A01AFD" w:rsidP="006A2625">
      <w:pPr>
        <w:rPr>
          <w:bCs/>
          <w:lang w:eastAsia="zh-CN"/>
        </w:rPr>
      </w:pPr>
      <w:r>
        <w:rPr>
          <w:rFonts w:hint="eastAsia"/>
          <w:lang w:eastAsia="zh-CN"/>
        </w:rPr>
        <w:t>7(</w:t>
      </w:r>
      <w:r>
        <w:rPr>
          <w:lang w:eastAsia="zh-CN"/>
        </w:rPr>
        <w:t>B</w:t>
      </w:r>
      <w:r>
        <w:rPr>
          <w:rFonts w:hint="eastAsia"/>
          <w:lang w:eastAsia="zh-CN"/>
        </w:rPr>
        <w:t>)</w:t>
      </w:r>
      <w:r>
        <w:rPr>
          <w:rFonts w:hint="eastAsia"/>
          <w:lang w:eastAsia="zh-CN"/>
        </w:rPr>
        <w:tab/>
      </w:r>
      <w:r>
        <w:rPr>
          <w:rFonts w:hint="eastAsia"/>
          <w:lang w:eastAsia="zh-CN"/>
        </w:rPr>
        <w:t>问题</w:t>
      </w:r>
      <w:r>
        <w:rPr>
          <w:lang w:eastAsia="zh-CN"/>
        </w:rPr>
        <w:t xml:space="preserve">B – </w:t>
      </w:r>
      <w:r>
        <w:rPr>
          <w:rFonts w:hint="eastAsia"/>
          <w:bCs/>
          <w:lang w:eastAsia="zh-CN"/>
        </w:rPr>
        <w:t>在</w:t>
      </w:r>
      <w:r>
        <w:rPr>
          <w:bCs/>
          <w:lang w:eastAsia="zh-CN"/>
        </w:rPr>
        <w:t>ITU</w:t>
      </w:r>
      <w:r>
        <w:rPr>
          <w:bCs/>
          <w:lang w:eastAsia="zh-CN"/>
        </w:rPr>
        <w:t>网站上公布卫星网络投入使用信息</w:t>
      </w:r>
      <w:bookmarkStart w:id="8" w:name="_GoBack"/>
      <w:bookmarkEnd w:id="8"/>
    </w:p>
    <w:p w:rsidR="00C914BF" w:rsidRPr="007806A0" w:rsidRDefault="00C914BF" w:rsidP="006A2625">
      <w:pPr>
        <w:rPr>
          <w:rFonts w:hint="eastAsia"/>
          <w:lang w:eastAsia="zh-CN"/>
        </w:rPr>
      </w:pPr>
    </w:p>
    <w:p w:rsidR="005F1274" w:rsidRPr="00BA49D3" w:rsidRDefault="00716C35" w:rsidP="00716C35">
      <w:pPr>
        <w:pStyle w:val="Headingb"/>
        <w:rPr>
          <w:lang w:val="en-US" w:eastAsia="zh-CN"/>
        </w:rPr>
      </w:pPr>
      <w:r>
        <w:rPr>
          <w:rFonts w:hint="eastAsia"/>
          <w:lang w:val="en-US" w:eastAsia="zh-CN"/>
        </w:rPr>
        <w:t>引言</w:t>
      </w:r>
    </w:p>
    <w:p w:rsidR="00F742E1" w:rsidRDefault="00716C35" w:rsidP="00716C35">
      <w:pPr>
        <w:overflowPunct/>
        <w:autoSpaceDE/>
        <w:autoSpaceDN/>
        <w:adjustRightInd/>
        <w:ind w:firstLineChars="200" w:firstLine="480"/>
        <w:textAlignment w:val="auto"/>
        <w:rPr>
          <w:lang w:val="en-US" w:eastAsia="zh-CN"/>
        </w:rPr>
      </w:pPr>
      <w:r>
        <w:rPr>
          <w:rFonts w:hint="eastAsia"/>
          <w:lang w:val="en-US" w:eastAsia="zh-CN"/>
        </w:rPr>
        <w:t>WRC-12</w:t>
      </w:r>
      <w:r w:rsidR="00F742E1">
        <w:rPr>
          <w:rFonts w:hint="eastAsia"/>
          <w:lang w:val="en-US" w:eastAsia="zh-CN"/>
        </w:rPr>
        <w:t>在审议议项</w:t>
      </w:r>
      <w:r w:rsidR="00F742E1">
        <w:rPr>
          <w:rFonts w:hint="eastAsia"/>
          <w:lang w:val="en-US" w:eastAsia="zh-CN"/>
        </w:rPr>
        <w:t>7</w:t>
      </w:r>
      <w:r w:rsidR="00F742E1">
        <w:rPr>
          <w:rFonts w:hint="eastAsia"/>
          <w:lang w:val="en-US" w:eastAsia="zh-CN"/>
        </w:rPr>
        <w:t>期间收到并通过</w:t>
      </w:r>
      <w:r>
        <w:rPr>
          <w:rFonts w:hint="eastAsia"/>
          <w:lang w:val="en-US" w:eastAsia="zh-CN"/>
        </w:rPr>
        <w:t>了有关修改包括卫星网络的启用和暂停等</w:t>
      </w:r>
      <w:r w:rsidR="00F742E1">
        <w:rPr>
          <w:rFonts w:hint="eastAsia"/>
          <w:lang w:val="en-US" w:eastAsia="zh-CN"/>
        </w:rPr>
        <w:t>规则条款的</w:t>
      </w:r>
      <w:r>
        <w:rPr>
          <w:rFonts w:hint="eastAsia"/>
          <w:lang w:val="en-US" w:eastAsia="zh-CN"/>
        </w:rPr>
        <w:t>提案</w:t>
      </w:r>
      <w:r w:rsidR="00F742E1">
        <w:rPr>
          <w:rFonts w:hint="eastAsia"/>
          <w:lang w:val="en-US" w:eastAsia="zh-CN"/>
        </w:rPr>
        <w:t>。因此，对主管部门的</w:t>
      </w:r>
      <w:r w:rsidR="00F742E1">
        <w:rPr>
          <w:lang w:val="en-US" w:eastAsia="zh-CN"/>
        </w:rPr>
        <w:t>行动</w:t>
      </w:r>
      <w:r w:rsidR="00F742E1">
        <w:rPr>
          <w:rFonts w:hint="eastAsia"/>
          <w:lang w:val="en-US" w:eastAsia="zh-CN"/>
        </w:rPr>
        <w:t>进行了彻底澄清。但是，无线电通信局（</w:t>
      </w:r>
      <w:r w:rsidR="00F742E1">
        <w:rPr>
          <w:rFonts w:hint="eastAsia"/>
          <w:lang w:val="en-US" w:eastAsia="zh-CN"/>
        </w:rPr>
        <w:t>BR</w:t>
      </w:r>
      <w:r w:rsidR="00F742E1">
        <w:rPr>
          <w:rFonts w:hint="eastAsia"/>
          <w:lang w:val="en-US" w:eastAsia="zh-CN"/>
        </w:rPr>
        <w:t>）有关资料公布的工作未得到审议。</w:t>
      </w:r>
    </w:p>
    <w:p w:rsidR="00F742E1" w:rsidRPr="008712C7" w:rsidRDefault="00F742E1" w:rsidP="00F742E1">
      <w:pPr>
        <w:overflowPunct/>
        <w:autoSpaceDE/>
        <w:autoSpaceDN/>
        <w:adjustRightInd/>
        <w:ind w:firstLineChars="200" w:firstLine="480"/>
        <w:textAlignment w:val="auto"/>
        <w:rPr>
          <w:lang w:val="en-US" w:eastAsia="zh-CN"/>
        </w:rPr>
      </w:pPr>
      <w:r>
        <w:rPr>
          <w:rFonts w:hint="eastAsia"/>
          <w:lang w:val="en-US" w:eastAsia="zh-CN"/>
        </w:rPr>
        <w:t>这一问题对《无线电规则》（</w:t>
      </w:r>
      <w:r>
        <w:rPr>
          <w:rFonts w:hint="eastAsia"/>
          <w:lang w:val="en-US" w:eastAsia="zh-CN"/>
        </w:rPr>
        <w:t>RR</w:t>
      </w:r>
      <w:r>
        <w:rPr>
          <w:rFonts w:hint="eastAsia"/>
          <w:lang w:val="en-US" w:eastAsia="zh-CN"/>
        </w:rPr>
        <w:t>）有关卫星网络启用资料公布的条款进行审查并探讨如何厘清无线电</w:t>
      </w:r>
      <w:r>
        <w:rPr>
          <w:lang w:val="en-US" w:eastAsia="zh-CN"/>
        </w:rPr>
        <w:t>通信局</w:t>
      </w:r>
      <w:r>
        <w:rPr>
          <w:rFonts w:hint="eastAsia"/>
          <w:lang w:val="en-US" w:eastAsia="zh-CN"/>
        </w:rPr>
        <w:t>措施的方法，以提高资料的可获取性和透明度。</w:t>
      </w:r>
    </w:p>
    <w:p w:rsidR="00F742E1" w:rsidRPr="00080240" w:rsidRDefault="00F742E1" w:rsidP="00F742E1">
      <w:pPr>
        <w:overflowPunct/>
        <w:autoSpaceDE/>
        <w:autoSpaceDN/>
        <w:adjustRightInd/>
        <w:ind w:firstLineChars="200" w:firstLine="472"/>
        <w:textAlignment w:val="auto"/>
        <w:rPr>
          <w:rFonts w:ascii="Times New Roman Bold" w:hAnsi="Times New Roman Bold"/>
          <w:b/>
          <w:spacing w:val="-4"/>
          <w:lang w:val="en-US" w:eastAsia="zh-CN"/>
        </w:rPr>
      </w:pPr>
      <w:r>
        <w:rPr>
          <w:rFonts w:hint="eastAsia"/>
          <w:spacing w:val="-4"/>
          <w:lang w:val="en-US" w:eastAsia="zh-CN"/>
        </w:rPr>
        <w:t>无线电</w:t>
      </w:r>
      <w:r>
        <w:rPr>
          <w:spacing w:val="-4"/>
          <w:lang w:val="en-US" w:eastAsia="zh-CN"/>
        </w:rPr>
        <w:t>通信局</w:t>
      </w:r>
      <w:r w:rsidRPr="00080240">
        <w:rPr>
          <w:rFonts w:hint="eastAsia"/>
          <w:spacing w:val="-4"/>
          <w:lang w:val="en-US" w:eastAsia="zh-CN"/>
        </w:rPr>
        <w:t>在这方面的努力</w:t>
      </w:r>
      <w:r>
        <w:rPr>
          <w:rFonts w:hint="eastAsia"/>
          <w:spacing w:val="-4"/>
          <w:lang w:val="en-US" w:eastAsia="zh-CN"/>
        </w:rPr>
        <w:t>必须</w:t>
      </w:r>
      <w:r>
        <w:rPr>
          <w:spacing w:val="-4"/>
          <w:lang w:val="en-US" w:eastAsia="zh-CN"/>
        </w:rPr>
        <w:t>辅</w:t>
      </w:r>
      <w:r>
        <w:rPr>
          <w:rFonts w:hint="eastAsia"/>
          <w:spacing w:val="-4"/>
          <w:lang w:val="en-US" w:eastAsia="zh-CN"/>
        </w:rPr>
        <w:t>之</w:t>
      </w:r>
      <w:r>
        <w:rPr>
          <w:spacing w:val="-4"/>
          <w:lang w:val="en-US" w:eastAsia="zh-CN"/>
        </w:rPr>
        <w:t>以</w:t>
      </w:r>
      <w:r>
        <w:rPr>
          <w:rFonts w:hint="eastAsia"/>
          <w:spacing w:val="-4"/>
          <w:lang w:val="en-US" w:eastAsia="zh-CN"/>
        </w:rPr>
        <w:t>有关规范所有公布资料法律地位的条款</w:t>
      </w:r>
      <w:r w:rsidRPr="00080240">
        <w:rPr>
          <w:rFonts w:hint="eastAsia"/>
          <w:spacing w:val="-4"/>
          <w:lang w:val="en-US" w:eastAsia="zh-CN"/>
        </w:rPr>
        <w:t>。</w:t>
      </w:r>
    </w:p>
    <w:p w:rsidR="005F1274" w:rsidRDefault="00716C35" w:rsidP="005F1274">
      <w:pPr>
        <w:pStyle w:val="Headingb"/>
        <w:rPr>
          <w:lang w:eastAsia="zh-CN"/>
        </w:rPr>
      </w:pPr>
      <w:r>
        <w:rPr>
          <w:rFonts w:hint="eastAsia"/>
          <w:lang w:eastAsia="zh-CN"/>
        </w:rPr>
        <w:t>提案</w:t>
      </w:r>
    </w:p>
    <w:p w:rsidR="00B868FC" w:rsidRDefault="00B868FC" w:rsidP="00C914BF">
      <w:pPr>
        <w:rPr>
          <w:lang w:eastAsia="zh-CN"/>
        </w:rPr>
      </w:pPr>
      <w:r>
        <w:rPr>
          <w:lang w:eastAsia="zh-CN"/>
        </w:rPr>
        <w:br w:type="page"/>
      </w:r>
    </w:p>
    <w:p w:rsidR="00AF5AD6" w:rsidRDefault="00A01AFD">
      <w:pPr>
        <w:pStyle w:val="Proposal"/>
        <w:rPr>
          <w:lang w:eastAsia="zh-CN"/>
        </w:rPr>
      </w:pPr>
      <w:r>
        <w:rPr>
          <w:u w:val="single"/>
          <w:lang w:eastAsia="zh-CN"/>
        </w:rPr>
        <w:lastRenderedPageBreak/>
        <w:t>NOC</w:t>
      </w:r>
      <w:r>
        <w:rPr>
          <w:lang w:eastAsia="zh-CN"/>
        </w:rPr>
        <w:tab/>
        <w:t>IRN/61A21A2/1</w:t>
      </w:r>
    </w:p>
    <w:p w:rsidR="00DB1CAC" w:rsidRPr="00F439B1" w:rsidRDefault="00A01AFD" w:rsidP="00F439B1">
      <w:pPr>
        <w:pStyle w:val="ArtNo"/>
        <w:rPr>
          <w:lang w:eastAsia="zh-CN"/>
        </w:rPr>
      </w:pPr>
      <w:r w:rsidRPr="00F439B1">
        <w:rPr>
          <w:rFonts w:hint="eastAsia"/>
          <w:lang w:eastAsia="zh-CN"/>
        </w:rPr>
        <w:t>第</w:t>
      </w:r>
      <w:r w:rsidRPr="00F439B1">
        <w:rPr>
          <w:rStyle w:val="href"/>
          <w:rFonts w:hint="eastAsia"/>
          <w:lang w:eastAsia="zh-CN"/>
        </w:rPr>
        <w:t>11</w:t>
      </w:r>
      <w:r w:rsidRPr="00F439B1">
        <w:rPr>
          <w:rFonts w:hint="eastAsia"/>
          <w:lang w:eastAsia="zh-CN"/>
        </w:rPr>
        <w:t>条</w:t>
      </w:r>
    </w:p>
    <w:p w:rsidR="00DB1CAC" w:rsidRDefault="00A01AFD" w:rsidP="002944B0">
      <w:pPr>
        <w:pStyle w:val="Arttitle"/>
        <w:rPr>
          <w:bCs/>
          <w:sz w:val="16"/>
          <w:szCs w:val="16"/>
          <w:lang w:val="en-US" w:eastAsia="zh-CN"/>
        </w:rPr>
      </w:pPr>
      <w:bookmarkStart w:id="9" w:name="_Toc329768676"/>
      <w:r w:rsidRPr="00A2082E">
        <w:rPr>
          <w:rFonts w:ascii="SimSun" w:hAnsi="SimSun" w:hint="eastAsia"/>
          <w:lang w:eastAsia="zh-CN"/>
        </w:rPr>
        <w:t>频率指配的通知和</w:t>
      </w:r>
      <w:r>
        <w:rPr>
          <w:rFonts w:ascii="SimSun" w:hAnsi="SimSun"/>
          <w:lang w:eastAsia="zh-CN"/>
        </w:rPr>
        <w:br/>
      </w:r>
      <w:r w:rsidRPr="00A2082E">
        <w:rPr>
          <w:rFonts w:ascii="SimSun" w:hAnsi="SimSun" w:hint="eastAsia"/>
          <w:lang w:eastAsia="zh-CN"/>
        </w:rPr>
        <w:t>登记</w:t>
      </w:r>
      <w:r w:rsidRPr="00A8083E">
        <w:rPr>
          <w:rStyle w:val="FootnoteReference"/>
          <w:bCs/>
          <w:szCs w:val="18"/>
          <w:lang w:eastAsia="zh-CN"/>
        </w:rPr>
        <w:t>1</w:t>
      </w:r>
      <w:r w:rsidRPr="00A8083E">
        <w:rPr>
          <w:rStyle w:val="FootnoteReference"/>
          <w:rFonts w:hint="eastAsia"/>
          <w:bCs/>
          <w:szCs w:val="18"/>
          <w:lang w:eastAsia="zh-CN"/>
        </w:rPr>
        <w:t xml:space="preserve">, </w:t>
      </w:r>
      <w:r w:rsidRPr="00A8083E">
        <w:rPr>
          <w:rStyle w:val="FootnoteReference"/>
          <w:bCs/>
          <w:szCs w:val="18"/>
          <w:lang w:eastAsia="zh-CN"/>
        </w:rPr>
        <w:t>2</w:t>
      </w:r>
      <w:r w:rsidRPr="00A8083E">
        <w:rPr>
          <w:rFonts w:hint="eastAsia"/>
          <w:bCs/>
          <w:position w:val="6"/>
          <w:sz w:val="18"/>
          <w:szCs w:val="18"/>
          <w:lang w:eastAsia="zh-CN"/>
        </w:rPr>
        <w:t xml:space="preserve">, </w:t>
      </w:r>
      <w:r w:rsidRPr="00A8083E">
        <w:rPr>
          <w:rStyle w:val="FootnoteReference"/>
          <w:bCs/>
          <w:szCs w:val="18"/>
          <w:lang w:eastAsia="zh-CN"/>
        </w:rPr>
        <w:t>3</w:t>
      </w:r>
      <w:r w:rsidRPr="00A8083E">
        <w:rPr>
          <w:rFonts w:hint="eastAsia"/>
          <w:bCs/>
          <w:position w:val="6"/>
          <w:sz w:val="18"/>
          <w:szCs w:val="18"/>
          <w:lang w:eastAsia="zh-CN"/>
        </w:rPr>
        <w:t xml:space="preserve">, </w:t>
      </w:r>
      <w:r w:rsidRPr="00A8083E">
        <w:rPr>
          <w:rStyle w:val="FootnoteReference"/>
          <w:bCs/>
          <w:szCs w:val="18"/>
          <w:lang w:eastAsia="zh-CN"/>
        </w:rPr>
        <w:t>4</w:t>
      </w:r>
      <w:r w:rsidRPr="00A8083E">
        <w:rPr>
          <w:rFonts w:hint="eastAsia"/>
          <w:bCs/>
          <w:position w:val="6"/>
          <w:sz w:val="18"/>
          <w:szCs w:val="18"/>
          <w:lang w:eastAsia="zh-CN"/>
        </w:rPr>
        <w:t xml:space="preserve">, </w:t>
      </w:r>
      <w:r w:rsidRPr="00A8083E">
        <w:rPr>
          <w:rStyle w:val="FootnoteReference"/>
          <w:bCs/>
          <w:szCs w:val="18"/>
          <w:lang w:eastAsia="zh-CN"/>
        </w:rPr>
        <w:t>5</w:t>
      </w:r>
      <w:r w:rsidRPr="00A8083E">
        <w:rPr>
          <w:rFonts w:hint="eastAsia"/>
          <w:bCs/>
          <w:position w:val="6"/>
          <w:sz w:val="18"/>
          <w:szCs w:val="18"/>
          <w:lang w:eastAsia="zh-CN"/>
        </w:rPr>
        <w:t xml:space="preserve">, </w:t>
      </w:r>
      <w:r w:rsidRPr="00A8083E">
        <w:rPr>
          <w:rStyle w:val="FootnoteReference"/>
          <w:bCs/>
          <w:szCs w:val="18"/>
          <w:lang w:eastAsia="zh-CN"/>
        </w:rPr>
        <w:t>6</w:t>
      </w:r>
      <w:r w:rsidRPr="00A8083E">
        <w:rPr>
          <w:rFonts w:hint="eastAsia"/>
          <w:bCs/>
          <w:position w:val="6"/>
          <w:sz w:val="18"/>
          <w:szCs w:val="18"/>
          <w:lang w:eastAsia="zh-CN"/>
        </w:rPr>
        <w:t xml:space="preserve">, </w:t>
      </w:r>
      <w:r w:rsidRPr="00A8083E">
        <w:rPr>
          <w:rStyle w:val="FootnoteReference"/>
          <w:bCs/>
          <w:szCs w:val="18"/>
          <w:lang w:eastAsia="zh-CN"/>
        </w:rPr>
        <w:t>7</w:t>
      </w:r>
      <w:r w:rsidRPr="00A8083E">
        <w:rPr>
          <w:rFonts w:hint="eastAsia"/>
          <w:bCs/>
          <w:position w:val="6"/>
          <w:sz w:val="18"/>
          <w:szCs w:val="18"/>
          <w:lang w:eastAsia="zh-CN"/>
        </w:rPr>
        <w:t>,</w:t>
      </w:r>
      <w:r w:rsidRPr="00A8083E">
        <w:rPr>
          <w:bCs/>
          <w:position w:val="6"/>
          <w:sz w:val="18"/>
          <w:szCs w:val="18"/>
          <w:lang w:eastAsia="zh-CN"/>
        </w:rPr>
        <w:t xml:space="preserve"> </w:t>
      </w:r>
      <w:r w:rsidRPr="00A8083E">
        <w:rPr>
          <w:rStyle w:val="FootnoteReference"/>
          <w:bCs/>
          <w:szCs w:val="18"/>
          <w:lang w:eastAsia="zh-CN"/>
        </w:rPr>
        <w:t>7</w:t>
      </w:r>
      <w:r w:rsidRPr="00A8083E">
        <w:rPr>
          <w:rStyle w:val="FootnoteReference"/>
          <w:rFonts w:ascii="STKaiti" w:eastAsia="STKaiti" w:hAnsi="STKaiti"/>
          <w:bCs/>
          <w:szCs w:val="18"/>
          <w:lang w:eastAsia="zh-CN"/>
        </w:rPr>
        <w:t>之二</w:t>
      </w:r>
      <w:r w:rsidRPr="002944B0">
        <w:rPr>
          <w:rFonts w:hint="eastAsia"/>
          <w:b w:val="0"/>
          <w:sz w:val="16"/>
          <w:szCs w:val="16"/>
          <w:lang w:eastAsia="zh-CN"/>
        </w:rPr>
        <w:t>（</w:t>
      </w:r>
      <w:r w:rsidRPr="002944B0">
        <w:rPr>
          <w:b w:val="0"/>
          <w:sz w:val="16"/>
          <w:szCs w:val="16"/>
          <w:lang w:eastAsia="zh-CN"/>
        </w:rPr>
        <w:t>WRC-12</w:t>
      </w:r>
      <w:r w:rsidRPr="002944B0">
        <w:rPr>
          <w:rFonts w:hint="eastAsia"/>
          <w:b w:val="0"/>
          <w:sz w:val="16"/>
          <w:szCs w:val="16"/>
          <w:lang w:eastAsia="zh-CN"/>
        </w:rPr>
        <w:t>）</w:t>
      </w:r>
      <w:bookmarkEnd w:id="9"/>
    </w:p>
    <w:p w:rsidR="00F742E1" w:rsidRDefault="00A01AFD" w:rsidP="00F864F2">
      <w:pPr>
        <w:pStyle w:val="Reasons"/>
        <w:rPr>
          <w:lang w:val="en-US" w:eastAsia="zh-CN"/>
        </w:rPr>
      </w:pPr>
      <w:r>
        <w:rPr>
          <w:b/>
          <w:lang w:eastAsia="zh-CN"/>
        </w:rPr>
        <w:t>理由：</w:t>
      </w:r>
      <w:r>
        <w:rPr>
          <w:lang w:eastAsia="zh-CN"/>
        </w:rPr>
        <w:tab/>
      </w:r>
      <w:r w:rsidR="00716C35">
        <w:rPr>
          <w:rFonts w:hint="eastAsia"/>
          <w:lang w:val="en-US" w:eastAsia="zh-CN"/>
        </w:rPr>
        <w:t>方法</w:t>
      </w:r>
      <w:r w:rsidR="00716C35">
        <w:rPr>
          <w:rFonts w:hint="eastAsia"/>
          <w:lang w:val="en-US" w:eastAsia="zh-CN"/>
        </w:rPr>
        <w:t>3</w:t>
      </w:r>
      <w:r w:rsidR="00716C35">
        <w:rPr>
          <w:rFonts w:hint="eastAsia"/>
          <w:lang w:val="en-US" w:eastAsia="zh-CN"/>
        </w:rPr>
        <w:t>的措施的好处是</w:t>
      </w:r>
      <w:r w:rsidR="00F742E1">
        <w:rPr>
          <w:rFonts w:hint="eastAsia"/>
          <w:lang w:val="en-US" w:eastAsia="zh-CN"/>
        </w:rPr>
        <w:t>无需具体修改《无线电规则》，但起到了与修改《无线电规则》相同的效果。</w:t>
      </w:r>
      <w:r w:rsidR="00F742E1">
        <w:rPr>
          <w:lang w:val="en-US" w:eastAsia="zh-CN"/>
        </w:rPr>
        <w:t>WRC-12</w:t>
      </w:r>
      <w:r w:rsidR="00716C35">
        <w:rPr>
          <w:rFonts w:hint="eastAsia"/>
          <w:lang w:val="en-US" w:eastAsia="zh-CN"/>
        </w:rPr>
        <w:t>及往届</w:t>
      </w:r>
      <w:r w:rsidR="00F742E1">
        <w:rPr>
          <w:rFonts w:hint="eastAsia"/>
          <w:lang w:val="en-US" w:eastAsia="zh-CN"/>
        </w:rPr>
        <w:t>世界无线电通信大会曾经采用过这种做法，</w:t>
      </w:r>
      <w:r w:rsidR="00716C35">
        <w:rPr>
          <w:rFonts w:hint="eastAsia"/>
          <w:lang w:val="en-US" w:eastAsia="zh-CN"/>
        </w:rPr>
        <w:t>以</w:t>
      </w:r>
      <w:r w:rsidR="00F742E1">
        <w:rPr>
          <w:rFonts w:hint="eastAsia"/>
          <w:lang w:val="en-US" w:eastAsia="zh-CN"/>
        </w:rPr>
        <w:t>通函</w:t>
      </w:r>
      <w:r w:rsidR="00716C35">
        <w:rPr>
          <w:rFonts w:hint="eastAsia"/>
          <w:lang w:val="en-US" w:eastAsia="zh-CN"/>
        </w:rPr>
        <w:t>形式</w:t>
      </w:r>
      <w:r w:rsidR="00236DBC">
        <w:rPr>
          <w:rFonts w:hint="eastAsia"/>
          <w:lang w:val="en-US" w:eastAsia="zh-CN"/>
        </w:rPr>
        <w:t>散发</w:t>
      </w:r>
      <w:r w:rsidR="00F742E1">
        <w:rPr>
          <w:rFonts w:hint="eastAsia"/>
          <w:lang w:val="en-US" w:eastAsia="zh-CN"/>
        </w:rPr>
        <w:t>全体会议</w:t>
      </w:r>
      <w:r w:rsidR="00236DBC">
        <w:rPr>
          <w:rFonts w:hint="eastAsia"/>
          <w:lang w:val="en-US" w:eastAsia="zh-CN"/>
        </w:rPr>
        <w:t>纪录中的</w:t>
      </w:r>
      <w:r w:rsidR="00F742E1">
        <w:rPr>
          <w:rFonts w:hint="eastAsia"/>
          <w:lang w:val="en-US" w:eastAsia="zh-CN"/>
        </w:rPr>
        <w:t>决定。此外，由于世界无线电通信大会，尤其是</w:t>
      </w:r>
      <w:r w:rsidR="00F742E1">
        <w:rPr>
          <w:rFonts w:hint="eastAsia"/>
          <w:lang w:val="en-US" w:eastAsia="zh-CN"/>
        </w:rPr>
        <w:t>WRC-15</w:t>
      </w:r>
      <w:r w:rsidR="00F742E1">
        <w:rPr>
          <w:rFonts w:hint="eastAsia"/>
          <w:lang w:val="en-US" w:eastAsia="zh-CN"/>
        </w:rPr>
        <w:t>工作量大，</w:t>
      </w:r>
      <w:r w:rsidR="00236DBC">
        <w:rPr>
          <w:rFonts w:hint="eastAsia"/>
          <w:lang w:val="en-US" w:eastAsia="zh-CN"/>
        </w:rPr>
        <w:t>会议期间</w:t>
      </w:r>
      <w:r w:rsidR="00F742E1">
        <w:rPr>
          <w:rFonts w:hint="eastAsia"/>
          <w:lang w:val="en-US" w:eastAsia="zh-CN"/>
        </w:rPr>
        <w:t>应尽力避免引发不必要的讨论，使大会</w:t>
      </w:r>
      <w:r w:rsidR="00236DBC">
        <w:rPr>
          <w:rFonts w:hint="eastAsia"/>
          <w:lang w:val="en-US" w:eastAsia="zh-CN"/>
        </w:rPr>
        <w:t>能够广泛深入地讨论处理重要议题。</w:t>
      </w:r>
    </w:p>
    <w:p w:rsidR="00AF5AD6" w:rsidRDefault="00236DBC" w:rsidP="00C914BF">
      <w:pPr>
        <w:pStyle w:val="Reasons"/>
        <w:ind w:firstLineChars="200" w:firstLine="480"/>
        <w:rPr>
          <w:bCs/>
          <w:lang w:eastAsia="zh-CN"/>
        </w:rPr>
      </w:pPr>
      <w:r>
        <w:rPr>
          <w:rFonts w:hint="eastAsia"/>
          <w:lang w:val="en-US" w:eastAsia="zh-CN"/>
        </w:rPr>
        <w:t>但是，本主管部门可根据大会对该问题的审议情况合理恰当地提出其他解决方案。</w:t>
      </w:r>
    </w:p>
    <w:p w:rsidR="00C914BF" w:rsidRDefault="00C914BF" w:rsidP="0032202E">
      <w:pPr>
        <w:pStyle w:val="Reasons"/>
      </w:pPr>
    </w:p>
    <w:p w:rsidR="00C914BF" w:rsidRDefault="00C914BF">
      <w:pPr>
        <w:jc w:val="center"/>
      </w:pPr>
      <w:r>
        <w:t>______________</w:t>
      </w:r>
    </w:p>
    <w:sectPr w:rsidR="00C914BF">
      <w:headerReference w:type="default" r:id="rId12"/>
      <w:footerReference w:type="default" r:id="rId13"/>
      <w:footerReference w:type="first" r:id="rId14"/>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4BF" w:rsidRPr="00DA0469" w:rsidRDefault="00C914BF" w:rsidP="00C914BF">
    <w:pPr>
      <w:pStyle w:val="Footer"/>
      <w:rPr>
        <w:lang w:val="en-US"/>
      </w:rPr>
    </w:pPr>
    <w:r>
      <w:fldChar w:fldCharType="begin"/>
    </w:r>
    <w:r w:rsidRPr="00DA0469">
      <w:rPr>
        <w:lang w:val="en-US"/>
      </w:rPr>
      <w:instrText xml:space="preserve"> FILENAME \p \* MERGEFORMAT </w:instrText>
    </w:r>
    <w:r>
      <w:fldChar w:fldCharType="separate"/>
    </w:r>
    <w:r>
      <w:rPr>
        <w:lang w:val="en-US"/>
      </w:rPr>
      <w:t>P:\CHI\ITU-R\CONF-R\CMR15\000\061ADD21ADD02C.docx</w:t>
    </w:r>
    <w:r>
      <w:fldChar w:fldCharType="end"/>
    </w:r>
    <w:r>
      <w:t xml:space="preserve"> (388289)</w:t>
    </w:r>
    <w:r w:rsidRPr="00DA0469">
      <w:rPr>
        <w:lang w:val="en-US"/>
      </w:rPr>
      <w:tab/>
    </w:r>
    <w:r>
      <w:fldChar w:fldCharType="begin"/>
    </w:r>
    <w:r>
      <w:instrText xml:space="preserve"> savedate \@ dd.MM.yy </w:instrText>
    </w:r>
    <w:r>
      <w:fldChar w:fldCharType="separate"/>
    </w:r>
    <w:r>
      <w:t>21.10.15</w:t>
    </w:r>
    <w:r>
      <w:fldChar w:fldCharType="end"/>
    </w:r>
    <w:r w:rsidRPr="00DA0469">
      <w:rPr>
        <w:lang w:val="en-US"/>
      </w:rPr>
      <w:tab/>
    </w:r>
    <w:r>
      <w:fldChar w:fldCharType="begin"/>
    </w:r>
    <w:r>
      <w:instrText xml:space="preserve"> printdate \@ dd.MM.yy </w:instrText>
    </w:r>
    <w:r>
      <w:fldChar w:fldCharType="separate"/>
    </w:r>
    <w:r>
      <w:t>03.07.06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C914BF">
      <w:rPr>
        <w:lang w:val="en-US"/>
      </w:rPr>
      <w:t>P:\CHI\ITU-R\CONF-R\CMR15\000\061ADD21ADD02C.docx</w:t>
    </w:r>
    <w:r>
      <w:fldChar w:fldCharType="end"/>
    </w:r>
    <w:r w:rsidR="00C914BF">
      <w:t xml:space="preserve"> (388289)</w:t>
    </w:r>
    <w:r w:rsidRPr="00DA0469">
      <w:rPr>
        <w:lang w:val="en-US"/>
      </w:rPr>
      <w:tab/>
    </w:r>
    <w:r>
      <w:fldChar w:fldCharType="begin"/>
    </w:r>
    <w:r>
      <w:instrText xml:space="preserve"> savedate \@ dd.MM.yy </w:instrText>
    </w:r>
    <w:r>
      <w:fldChar w:fldCharType="separate"/>
    </w:r>
    <w:r w:rsidR="00F864F2">
      <w:t>21.10.15</w:t>
    </w:r>
    <w:r>
      <w:fldChar w:fldCharType="end"/>
    </w:r>
    <w:r w:rsidRPr="00DA0469">
      <w:rPr>
        <w:lang w:val="en-US"/>
      </w:rPr>
      <w:tab/>
    </w:r>
    <w:r>
      <w:fldChar w:fldCharType="begin"/>
    </w:r>
    <w:r>
      <w:instrText xml:space="preserve"> printdate \@ dd.MM.yy </w:instrText>
    </w:r>
    <w:r>
      <w:fldChar w:fldCharType="separate"/>
    </w:r>
    <w:r w:rsidR="00622560">
      <w:t>03.07.06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C914BF">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61(Add.21)(Add.2)-</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560"/>
    <w:rsid w:val="000264C2"/>
    <w:rsid w:val="000273B7"/>
    <w:rsid w:val="00037C90"/>
    <w:rsid w:val="000C09BA"/>
    <w:rsid w:val="000C1F1E"/>
    <w:rsid w:val="000C6AA7"/>
    <w:rsid w:val="000E26F6"/>
    <w:rsid w:val="00113572"/>
    <w:rsid w:val="00123C07"/>
    <w:rsid w:val="00166859"/>
    <w:rsid w:val="001765EC"/>
    <w:rsid w:val="001853E8"/>
    <w:rsid w:val="001B6360"/>
    <w:rsid w:val="001F4EA6"/>
    <w:rsid w:val="00214959"/>
    <w:rsid w:val="002260A6"/>
    <w:rsid w:val="00236DBC"/>
    <w:rsid w:val="002742B3"/>
    <w:rsid w:val="002A4C9C"/>
    <w:rsid w:val="002B509B"/>
    <w:rsid w:val="002E2A59"/>
    <w:rsid w:val="002E4507"/>
    <w:rsid w:val="00305254"/>
    <w:rsid w:val="003169D2"/>
    <w:rsid w:val="003B4BEF"/>
    <w:rsid w:val="003C6B45"/>
    <w:rsid w:val="0041282E"/>
    <w:rsid w:val="00437869"/>
    <w:rsid w:val="00465A34"/>
    <w:rsid w:val="004C4554"/>
    <w:rsid w:val="004D2DEC"/>
    <w:rsid w:val="004F2BE6"/>
    <w:rsid w:val="00527E8A"/>
    <w:rsid w:val="00542E85"/>
    <w:rsid w:val="00562479"/>
    <w:rsid w:val="00576849"/>
    <w:rsid w:val="005A0ACB"/>
    <w:rsid w:val="005E08D2"/>
    <w:rsid w:val="005E7FD8"/>
    <w:rsid w:val="005F1274"/>
    <w:rsid w:val="00622560"/>
    <w:rsid w:val="00644391"/>
    <w:rsid w:val="00647712"/>
    <w:rsid w:val="00662E12"/>
    <w:rsid w:val="00691142"/>
    <w:rsid w:val="006B67CE"/>
    <w:rsid w:val="006C38ED"/>
    <w:rsid w:val="006E6182"/>
    <w:rsid w:val="006F3C60"/>
    <w:rsid w:val="00716C35"/>
    <w:rsid w:val="00727308"/>
    <w:rsid w:val="00736415"/>
    <w:rsid w:val="00770D2A"/>
    <w:rsid w:val="007864F6"/>
    <w:rsid w:val="007B7C4B"/>
    <w:rsid w:val="007F0FC5"/>
    <w:rsid w:val="007F5C36"/>
    <w:rsid w:val="008047DB"/>
    <w:rsid w:val="008129A9"/>
    <w:rsid w:val="008221A4"/>
    <w:rsid w:val="00824BD6"/>
    <w:rsid w:val="0083672D"/>
    <w:rsid w:val="00844734"/>
    <w:rsid w:val="00865DFB"/>
    <w:rsid w:val="008A7416"/>
    <w:rsid w:val="008B6852"/>
    <w:rsid w:val="008C26FF"/>
    <w:rsid w:val="008D1D14"/>
    <w:rsid w:val="008E1785"/>
    <w:rsid w:val="008E7127"/>
    <w:rsid w:val="008E7C8E"/>
    <w:rsid w:val="00912959"/>
    <w:rsid w:val="009657F9"/>
    <w:rsid w:val="0099525B"/>
    <w:rsid w:val="009C72B7"/>
    <w:rsid w:val="00A0052C"/>
    <w:rsid w:val="00A01AFD"/>
    <w:rsid w:val="00A31B14"/>
    <w:rsid w:val="00A323DC"/>
    <w:rsid w:val="00A466E6"/>
    <w:rsid w:val="00A815BE"/>
    <w:rsid w:val="00AA5DA1"/>
    <w:rsid w:val="00AE369F"/>
    <w:rsid w:val="00AF5AD6"/>
    <w:rsid w:val="00B026CB"/>
    <w:rsid w:val="00B711CC"/>
    <w:rsid w:val="00B851D4"/>
    <w:rsid w:val="00B868FC"/>
    <w:rsid w:val="00B95072"/>
    <w:rsid w:val="00BB26CD"/>
    <w:rsid w:val="00C07239"/>
    <w:rsid w:val="00C364B1"/>
    <w:rsid w:val="00C47D87"/>
    <w:rsid w:val="00C627F9"/>
    <w:rsid w:val="00C6584D"/>
    <w:rsid w:val="00C914BF"/>
    <w:rsid w:val="00C929E0"/>
    <w:rsid w:val="00CB4E5A"/>
    <w:rsid w:val="00CC73D7"/>
    <w:rsid w:val="00CF0AD7"/>
    <w:rsid w:val="00CF0BE1"/>
    <w:rsid w:val="00D52A14"/>
    <w:rsid w:val="00D6206A"/>
    <w:rsid w:val="00D74599"/>
    <w:rsid w:val="00DA0469"/>
    <w:rsid w:val="00DD13B7"/>
    <w:rsid w:val="00DF3B0C"/>
    <w:rsid w:val="00E14984"/>
    <w:rsid w:val="00E22A25"/>
    <w:rsid w:val="00E560F1"/>
    <w:rsid w:val="00E92319"/>
    <w:rsid w:val="00F742E1"/>
    <w:rsid w:val="00F837F4"/>
    <w:rsid w:val="00F864F2"/>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8C8A751-2B93-46E4-ADD7-FA3F24EE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aliases w:val="UNDERRUBRIK 1-2,h2,Head 2,l2,List level 2,Sub-Heading,A,1st level heading,level 2 no toc,2nd level,Titre2,h:2,h:2app,H2,2,level 2,Head2A,PA Major Section,Major Section,Head2,Header 2,Level 2 Head,Heading 2 Hidden,Titre3,Prophead 2,Header2,C2"/>
    <w:basedOn w:val="Heading1"/>
    <w:next w:val="Normal"/>
    <w:link w:val="Heading2Char"/>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Heading2Char">
    <w:name w:val="Heading 2 Char"/>
    <w:aliases w:val="UNDERRUBRIK 1-2 Char,h2 Char,Head 2 Char,l2 Char,List level 2 Char,Sub-Heading Char,A Char,1st level heading Char,level 2 no toc Char,2nd level Char,Titre2 Char,h:2 Char,h:2app Char,H2 Char,2 Char,level 2 Char,Head2A Char,Head2 Char"/>
    <w:basedOn w:val="DefaultParagraphFont"/>
    <w:link w:val="Heading2"/>
    <w:locked/>
    <w:rsid w:val="00F742E1"/>
    <w:rPr>
      <w:rFonts w:ascii="Times New Roman" w:hAnsi="Times New Roman"/>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R15-WRC15-C-0061!A21-A2!MSW-C</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D8E351CD-CAFC-4952-B078-E99D4BE2A83F}">
  <ds:schemaRefs>
    <ds:schemaRef ds:uri="http://schemas.microsoft.com/office/2006/documentManagement/types"/>
    <ds:schemaRef ds:uri="http://www.w3.org/XML/1998/namespace"/>
    <ds:schemaRef ds:uri="http://purl.org/dc/dcmitype/"/>
    <ds:schemaRef ds:uri="http://schemas.microsoft.com/office/infopath/2007/PartnerControls"/>
    <ds:schemaRef ds:uri="http://schemas.microsoft.com/office/2006/metadata/properties"/>
    <ds:schemaRef ds:uri="http://purl.org/dc/terms/"/>
    <ds:schemaRef ds:uri="32a1a8c5-2265-4ebc-b7a0-2071e2c5c9bb"/>
    <ds:schemaRef ds:uri="http://schemas.openxmlformats.org/package/2006/metadata/core-properties"/>
    <ds:schemaRef ds:uri="996b2e75-67fd-4955-a3b0-5ab9934cb50b"/>
    <ds:schemaRef ds:uri="http://purl.org/dc/elements/1.1/"/>
  </ds:schemaRefs>
</ds:datastoreItem>
</file>

<file path=customXml/itemProps5.xml><?xml version="1.0" encoding="utf-8"?>
<ds:datastoreItem xmlns:ds="http://schemas.openxmlformats.org/officeDocument/2006/customXml" ds:itemID="{3EF19A4B-F83D-472D-8FD0-7FCE2A122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R15-WRC15-C-0061!A21-A2!MSW-C</vt:lpstr>
    </vt:vector>
  </TitlesOfParts>
  <Manager>General Secretariat - Pool</Manager>
  <Company>International Telecommunication Union (ITU)</Company>
  <LinksUpToDate>false</LinksUpToDate>
  <CharactersWithSpaces>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R15-WRC15-C-0061!A21-A2!MSW-C</dc:title>
  <dc:subject>World Radiocommunication Conference - 2015</dc:subject>
  <dc:creator>Documents Proposals Manager (DPM)</dc:creator>
  <cp:keywords>DPM_v5.2015.10.15_prod</cp:keywords>
  <dc:description/>
  <cp:lastModifiedBy>Cong, Cong</cp:lastModifiedBy>
  <cp:revision>6</cp:revision>
  <cp:lastPrinted>2006-07-03T06:56:00Z</cp:lastPrinted>
  <dcterms:created xsi:type="dcterms:W3CDTF">2015-10-19T10:48:00Z</dcterms:created>
  <dcterms:modified xsi:type="dcterms:W3CDTF">2015-10-21T14:38:00Z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