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C7743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C7743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C7743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C77431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C77431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C77431">
              <w:rPr>
                <w:rFonts w:ascii="Verdana" w:hAnsi="Verdana"/>
                <w:rtl/>
              </w:rPr>
              <w:t xml:space="preserve">الإضافة </w:t>
            </w:r>
            <w:r w:rsidRPr="00C77431">
              <w:rPr>
                <w:rFonts w:ascii="Verdana" w:hAnsi="Verdana"/>
              </w:rPr>
              <w:t>2</w:t>
            </w:r>
            <w:r w:rsidRPr="00C77431">
              <w:rPr>
                <w:rFonts w:ascii="Verdana" w:hAnsi="Verdana"/>
              </w:rPr>
              <w:br/>
            </w:r>
            <w:r w:rsidRPr="00C77431">
              <w:rPr>
                <w:rFonts w:ascii="Verdana" w:hAnsi="Verdana"/>
                <w:rtl/>
              </w:rPr>
              <w:t xml:space="preserve">للوثيقة </w:t>
            </w:r>
            <w:r w:rsidRPr="00C77431">
              <w:rPr>
                <w:rFonts w:ascii="Verdana" w:hAnsi="Verdana"/>
              </w:rPr>
              <w:t>61(Add.21)-</w:t>
            </w:r>
            <w:r w:rsidR="00C77431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C7743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C7743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C77431">
              <w:rPr>
                <w:rFonts w:ascii="Verdana" w:eastAsia="SimSun" w:hAnsi="Verdana"/>
              </w:rPr>
              <w:t>14</w:t>
            </w:r>
            <w:r w:rsidRPr="00C77431">
              <w:rPr>
                <w:rFonts w:ascii="Verdana" w:eastAsia="SimSun" w:hAnsi="Verdana"/>
                <w:rtl/>
              </w:rPr>
              <w:t xml:space="preserve"> أكتوبر </w:t>
            </w:r>
            <w:r w:rsidRPr="00C77431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C7743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C7743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C77431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C7743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C7743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E65FD1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E65FD1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77431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C77431">
              <w:t>(B)7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C77431" w:rsidP="006031C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(المراجع في مراكش، </w:t>
      </w:r>
      <w:r w:rsidRPr="00431196">
        <w:rPr>
          <w:rFonts w:eastAsia="SimSun"/>
        </w:rPr>
        <w:t>2002</w:t>
      </w:r>
      <w:r w:rsidR="006031C9" w:rsidRPr="006031C9">
        <w:rPr>
          <w:rFonts w:eastAsia="SimSun" w:hint="cs"/>
          <w:rtl/>
        </w:rPr>
        <w:t>)</w:t>
      </w:r>
      <w:r w:rsidRPr="00431196">
        <w:rPr>
          <w:rFonts w:eastAsia="SimSun" w:hint="cs"/>
          <w:rtl/>
        </w:rPr>
        <w:t xml:space="preserve"> لمؤتمر</w:t>
      </w:r>
      <w:r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والفعال والاقتصادي للترددات الراديوية وأي مدارات مرتبطة بها، بما</w:t>
      </w:r>
      <w:r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286158" w:rsidRPr="00431196" w:rsidRDefault="00C77431" w:rsidP="00286158">
      <w:pPr>
        <w:rPr>
          <w:rFonts w:eastAsia="SimSun"/>
        </w:rPr>
      </w:pPr>
      <w:r w:rsidRPr="00431196">
        <w:rPr>
          <w:rFonts w:eastAsia="SimSun"/>
        </w:rPr>
        <w:t>(B)7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B</w:t>
      </w:r>
      <w:r w:rsidRPr="00431196">
        <w:rPr>
          <w:rFonts w:eastAsia="SimSun" w:hint="cs"/>
          <w:rtl/>
        </w:rPr>
        <w:t xml:space="preserve"> - نشر معلومات في الموقع الإلكتروني للاتحاد بشأن وضع الشبكات الساتلية في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الخدمة</w:t>
      </w:r>
    </w:p>
    <w:p w:rsidR="00F16602" w:rsidRPr="00414BFD" w:rsidRDefault="00C77431" w:rsidP="00C77431">
      <w:pPr>
        <w:pStyle w:val="Headingb"/>
        <w:rPr>
          <w:rtl/>
        </w:rPr>
      </w:pPr>
      <w:r w:rsidRPr="00414BFD">
        <w:rPr>
          <w:rFonts w:hint="cs"/>
          <w:rtl/>
        </w:rPr>
        <w:t>مقدمة</w:t>
      </w:r>
    </w:p>
    <w:p w:rsidR="00641611" w:rsidRPr="00414BFD" w:rsidRDefault="00A4376D" w:rsidP="00641611">
      <w:pPr>
        <w:rPr>
          <w:rtl/>
        </w:rPr>
      </w:pPr>
      <w:r w:rsidRPr="00414BFD">
        <w:rPr>
          <w:rFonts w:hint="cs"/>
          <w:rtl/>
        </w:rPr>
        <w:t xml:space="preserve">أثناء النظر في البند </w:t>
      </w:r>
      <w:r w:rsidRPr="00414BFD">
        <w:t>7</w:t>
      </w:r>
      <w:r w:rsidRPr="00414BFD">
        <w:rPr>
          <w:rFonts w:hint="cs"/>
          <w:rtl/>
        </w:rPr>
        <w:t xml:space="preserve"> من جدول أعمال المؤتمر العالمي للاتصالات الراديوية لعام </w:t>
      </w:r>
      <w:r w:rsidRPr="00414BFD">
        <w:t>2012</w:t>
      </w:r>
      <w:r w:rsidRPr="00414BFD">
        <w:rPr>
          <w:rFonts w:hint="cs"/>
          <w:rtl/>
        </w:rPr>
        <w:t>، وردت واعتُمدت تغييرات مقترحة للأحكام</w:t>
      </w:r>
      <w:r w:rsidRPr="00414BFD">
        <w:rPr>
          <w:rFonts w:hint="eastAsia"/>
          <w:rtl/>
        </w:rPr>
        <w:t> </w:t>
      </w:r>
      <w:r w:rsidRPr="00414BFD">
        <w:rPr>
          <w:rFonts w:hint="cs"/>
          <w:rtl/>
        </w:rPr>
        <w:t>التنظيمية، بما في ذلك وضع الشبكات الساتلية في الخدمة وتعليقها. ونتيجة</w:t>
      </w:r>
      <w:r w:rsidR="006031C9">
        <w:rPr>
          <w:rFonts w:hint="cs"/>
          <w:rtl/>
        </w:rPr>
        <w:t>ً</w:t>
      </w:r>
      <w:r w:rsidRPr="00414BFD">
        <w:rPr>
          <w:rFonts w:hint="cs"/>
          <w:rtl/>
        </w:rPr>
        <w:t xml:space="preserve"> لذلك، توضحت إجراءات الإدارات كثيراً. بيد</w:t>
      </w:r>
      <w:r w:rsidRPr="00414BFD">
        <w:rPr>
          <w:rFonts w:hint="eastAsia"/>
          <w:rtl/>
        </w:rPr>
        <w:t> </w:t>
      </w:r>
      <w:r w:rsidRPr="00414BFD">
        <w:rPr>
          <w:rFonts w:hint="cs"/>
          <w:rtl/>
        </w:rPr>
        <w:t>أن</w:t>
      </w:r>
      <w:r w:rsidRPr="00414BFD">
        <w:rPr>
          <w:rFonts w:hint="eastAsia"/>
          <w:rtl/>
        </w:rPr>
        <w:t> </w:t>
      </w:r>
      <w:r w:rsidRPr="00414BFD">
        <w:rPr>
          <w:rFonts w:hint="cs"/>
          <w:rtl/>
        </w:rPr>
        <w:t xml:space="preserve">إجراءات مكتب الاتصالات الراديوية </w:t>
      </w:r>
      <w:r w:rsidRPr="00414BFD">
        <w:t>(</w:t>
      </w:r>
      <w:r w:rsidRPr="00414BFD">
        <w:rPr>
          <w:rFonts w:hint="cs"/>
        </w:rPr>
        <w:t>BR</w:t>
      </w:r>
      <w:r w:rsidRPr="00414BFD">
        <w:t>)</w:t>
      </w:r>
      <w:r w:rsidRPr="00414BFD">
        <w:rPr>
          <w:rFonts w:hint="cs"/>
          <w:rtl/>
        </w:rPr>
        <w:t xml:space="preserve"> بشأن نشر المعلومات لم يُنظر فيها. </w:t>
      </w:r>
    </w:p>
    <w:p w:rsidR="00A4376D" w:rsidRPr="00414BFD" w:rsidRDefault="00A4376D" w:rsidP="00641611">
      <w:pPr>
        <w:rPr>
          <w:rtl/>
        </w:rPr>
      </w:pPr>
      <w:r w:rsidRPr="00414BFD">
        <w:rPr>
          <w:rFonts w:hint="cs"/>
          <w:rtl/>
          <w:lang w:bidi="ar"/>
        </w:rPr>
        <w:t>تستعرض هذه المسألة أحكاماً في لوائح الراديو</w:t>
      </w:r>
      <w:r w:rsidRPr="00414BFD">
        <w:rPr>
          <w:rFonts w:hint="eastAsia"/>
          <w:rtl/>
          <w:lang w:bidi="ar"/>
        </w:rPr>
        <w:t> </w:t>
      </w:r>
      <w:r w:rsidRPr="00414BFD">
        <w:t>(RR)</w:t>
      </w:r>
      <w:r w:rsidRPr="00414BFD">
        <w:rPr>
          <w:rFonts w:hint="cs"/>
          <w:rtl/>
          <w:lang w:bidi="ar"/>
        </w:rPr>
        <w:t xml:space="preserve"> بشأن نشر معلومات</w:t>
      </w:r>
      <w:r w:rsidRPr="00414BFD">
        <w:rPr>
          <w:rFonts w:hint="cs"/>
          <w:rtl/>
        </w:rPr>
        <w:t xml:space="preserve"> </w:t>
      </w:r>
      <w:r w:rsidR="00641611" w:rsidRPr="00414BFD">
        <w:rPr>
          <w:rFonts w:hint="cs"/>
          <w:rtl/>
        </w:rPr>
        <w:t>تتعلق ب</w:t>
      </w:r>
      <w:r w:rsidRPr="00414BFD">
        <w:rPr>
          <w:rFonts w:hint="cs"/>
          <w:rtl/>
        </w:rPr>
        <w:t>وضع</w:t>
      </w:r>
      <w:r w:rsidRPr="00414BFD">
        <w:rPr>
          <w:rFonts w:hint="cs"/>
          <w:rtl/>
          <w:lang w:bidi="ar"/>
        </w:rPr>
        <w:t xml:space="preserve"> الشبكات الساتلية في الخدمة، وتستكشف</w:t>
      </w:r>
      <w:r w:rsidRPr="00414BFD">
        <w:rPr>
          <w:rFonts w:hint="eastAsia"/>
          <w:rtl/>
          <w:lang w:bidi="ar"/>
        </w:rPr>
        <w:t> </w:t>
      </w:r>
      <w:r w:rsidRPr="00414BFD">
        <w:rPr>
          <w:rFonts w:hint="cs"/>
          <w:rtl/>
          <w:lang w:bidi="ar"/>
        </w:rPr>
        <w:t>سبل</w:t>
      </w:r>
      <w:r w:rsidRPr="00414BFD">
        <w:rPr>
          <w:rFonts w:hint="eastAsia"/>
          <w:rtl/>
          <w:lang w:bidi="ar"/>
        </w:rPr>
        <w:t> </w:t>
      </w:r>
      <w:r w:rsidRPr="00414BFD">
        <w:rPr>
          <w:rFonts w:hint="cs"/>
          <w:rtl/>
          <w:lang w:bidi="ar"/>
        </w:rPr>
        <w:t>توضيح إجراءات مكتب الاتصالات الراديوية من أجل زيادة إمكانية الوصول إلى المعلومات وزيادة شفافيتها.</w:t>
      </w:r>
    </w:p>
    <w:p w:rsidR="00C77431" w:rsidRDefault="00A4376D" w:rsidP="00442152">
      <w:pPr>
        <w:rPr>
          <w:rtl/>
          <w:lang w:bidi="ar"/>
        </w:rPr>
      </w:pPr>
      <w:r w:rsidRPr="00414BFD">
        <w:rPr>
          <w:rFonts w:hint="cs"/>
          <w:rtl/>
          <w:lang w:bidi="ar"/>
        </w:rPr>
        <w:t>ويجب دعم جهود مكتب الاتصالات الراديوية في هذا الصدد بأحكام تنظم الوضع القانوني لجميع المعلومات المنشورة.</w:t>
      </w:r>
    </w:p>
    <w:p w:rsidR="00C77431" w:rsidRDefault="00E65FD1" w:rsidP="00C77431">
      <w:pPr>
        <w:pStyle w:val="Headingb"/>
      </w:pPr>
      <w:r>
        <w:rPr>
          <w:rFonts w:hint="cs"/>
          <w:rtl/>
        </w:rPr>
        <w:t>المقترح</w:t>
      </w:r>
      <w:bookmarkStart w:id="1" w:name="_GoBack"/>
      <w:bookmarkEnd w:id="1"/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3D3DE5" w:rsidRDefault="00C77431">
      <w:pPr>
        <w:pStyle w:val="Proposal"/>
      </w:pPr>
      <w:r>
        <w:rPr>
          <w:u w:val="single"/>
        </w:rPr>
        <w:lastRenderedPageBreak/>
        <w:t>NOC</w:t>
      </w:r>
      <w:r>
        <w:tab/>
        <w:t>IRN/61A21A2/1</w:t>
      </w:r>
    </w:p>
    <w:p w:rsidR="009F37C9" w:rsidRPr="00620278" w:rsidRDefault="00C77431" w:rsidP="00C77431">
      <w:pPr>
        <w:pStyle w:val="ArtNo"/>
        <w:rPr>
          <w:rtl/>
        </w:rPr>
      </w:pPr>
      <w:r w:rsidRPr="00620278">
        <w:rPr>
          <w:rtl/>
        </w:rPr>
        <w:t>المـادة</w:t>
      </w:r>
      <w:r>
        <w:rPr>
          <w:rFonts w:hint="cs"/>
          <w:rtl/>
        </w:rPr>
        <w:t> </w:t>
      </w:r>
      <w:r w:rsidRPr="00476D6B">
        <w:rPr>
          <w:rStyle w:val="href"/>
        </w:rPr>
        <w:t>11</w:t>
      </w:r>
    </w:p>
    <w:p w:rsidR="009F37C9" w:rsidRPr="00641611" w:rsidRDefault="00C77431" w:rsidP="004A6B62">
      <w:pPr>
        <w:pStyle w:val="Arttitle"/>
        <w:rPr>
          <w:rtl/>
          <w:lang w:bidi="ar-SY"/>
        </w:rPr>
      </w:pPr>
      <w:bookmarkStart w:id="2" w:name="_Toc331055745"/>
      <w:r w:rsidRPr="00641611">
        <w:rPr>
          <w:rtl/>
        </w:rPr>
        <w:t>التبليغ عن تخصيصات التردد وتسجيلها</w:t>
      </w:r>
      <w:r w:rsidRPr="00641611">
        <w:rPr>
          <w:rStyle w:val="FootnoteReference"/>
          <w:bCs w:val="0"/>
          <w:rtl/>
        </w:rPr>
        <w:t>1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2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3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4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5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6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6416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rStyle w:val="FootnoteReference"/>
          <w:bCs w:val="0"/>
          <w:rtl/>
        </w:rPr>
        <w:t>7</w:t>
      </w:r>
      <w:r w:rsidRPr="00641611">
        <w:rPr>
          <w:rFonts w:hint="cs"/>
          <w:bCs w:val="0"/>
          <w:position w:val="-4"/>
          <w:szCs w:val="28"/>
          <w:vertAlign w:val="superscript"/>
          <w:rtl/>
        </w:rPr>
        <w:t xml:space="preserve">، </w:t>
      </w:r>
      <w:r w:rsidRPr="00641611">
        <w:rPr>
          <w:rStyle w:val="FootnoteReference"/>
          <w:bCs w:val="0"/>
          <w:rtl/>
        </w:rPr>
        <w:t>7</w:t>
      </w:r>
      <w:r w:rsidRPr="004A6B62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6416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641611">
        <w:rPr>
          <w:b w:val="0"/>
          <w:bCs w:val="0"/>
          <w:sz w:val="16"/>
          <w:szCs w:val="16"/>
          <w:lang w:bidi="ar-SA"/>
        </w:rPr>
        <w:t>(WRC</w:t>
      </w:r>
      <w:r w:rsidR="004A6B62">
        <w:rPr>
          <w:b w:val="0"/>
          <w:bCs w:val="0"/>
          <w:sz w:val="16"/>
          <w:szCs w:val="16"/>
          <w:lang w:bidi="ar-SA"/>
        </w:rPr>
        <w:noBreakHyphen/>
      </w:r>
      <w:r w:rsidRPr="00641611">
        <w:rPr>
          <w:b w:val="0"/>
          <w:bCs w:val="0"/>
          <w:sz w:val="16"/>
          <w:szCs w:val="16"/>
          <w:lang w:bidi="ar-SA"/>
        </w:rPr>
        <w:t>12)</w:t>
      </w:r>
      <w:bookmarkEnd w:id="2"/>
      <w:r w:rsidRPr="00641611">
        <w:rPr>
          <w:b w:val="0"/>
          <w:bCs w:val="0"/>
          <w:sz w:val="18"/>
          <w:lang w:bidi="ar-SA"/>
        </w:rPr>
        <w:t>    </w:t>
      </w:r>
    </w:p>
    <w:p w:rsidR="003D3DE5" w:rsidRPr="00801025" w:rsidRDefault="00C77431" w:rsidP="00801025">
      <w:pPr>
        <w:pStyle w:val="Reasons"/>
        <w:rPr>
          <w:b w:val="0"/>
          <w:bCs w:val="0"/>
        </w:rPr>
      </w:pPr>
      <w:r w:rsidRPr="004A6B62">
        <w:rPr>
          <w:rtl/>
        </w:rPr>
        <w:t>الأسباب:</w:t>
      </w:r>
      <w:r w:rsidRPr="00801025">
        <w:rPr>
          <w:b w:val="0"/>
          <w:bCs w:val="0"/>
        </w:rPr>
        <w:tab/>
      </w:r>
      <w:r w:rsidR="00641611" w:rsidRPr="00801025">
        <w:rPr>
          <w:rFonts w:hint="cs"/>
          <w:b w:val="0"/>
          <w:bCs w:val="0"/>
          <w:color w:val="000000"/>
          <w:rtl/>
        </w:rPr>
        <w:t xml:space="preserve">تتمثل </w:t>
      </w:r>
      <w:r w:rsidR="00641611" w:rsidRPr="00801025">
        <w:rPr>
          <w:b w:val="0"/>
          <w:bCs w:val="0"/>
          <w:color w:val="000000"/>
          <w:rtl/>
        </w:rPr>
        <w:t xml:space="preserve">ميزة مسار العمل هذا </w:t>
      </w:r>
      <w:r w:rsidR="00641611" w:rsidRPr="00801025">
        <w:rPr>
          <w:rFonts w:hint="cs"/>
          <w:b w:val="0"/>
          <w:bCs w:val="0"/>
          <w:color w:val="000000"/>
          <w:rtl/>
        </w:rPr>
        <w:t xml:space="preserve">بموجب الأسلوب </w:t>
      </w:r>
      <w:r w:rsidR="004A6B62" w:rsidRPr="00801025">
        <w:rPr>
          <w:b w:val="0"/>
          <w:bCs w:val="0"/>
          <w:color w:val="000000"/>
        </w:rPr>
        <w:t>B3</w:t>
      </w:r>
      <w:r w:rsidR="00641611" w:rsidRPr="00801025">
        <w:rPr>
          <w:rFonts w:hint="cs"/>
          <w:b w:val="0"/>
          <w:bCs w:val="0"/>
          <w:color w:val="000000"/>
          <w:rtl/>
          <w:lang w:bidi="ar-EG"/>
        </w:rPr>
        <w:t xml:space="preserve"> </w:t>
      </w:r>
      <w:r w:rsidR="00641611" w:rsidRPr="00801025">
        <w:rPr>
          <w:rFonts w:hint="cs"/>
          <w:b w:val="0"/>
          <w:bCs w:val="0"/>
          <w:color w:val="000000"/>
          <w:rtl/>
        </w:rPr>
        <w:t xml:space="preserve">في </w:t>
      </w:r>
      <w:r w:rsidR="00641611" w:rsidRPr="00801025">
        <w:rPr>
          <w:b w:val="0"/>
          <w:bCs w:val="0"/>
          <w:color w:val="000000"/>
          <w:rtl/>
        </w:rPr>
        <w:t>أنه لن يتطلب إجراء تغييرات معينة في لوائح الراديو ولكن سيكون له نفس التأثير كما لو أُدخلت تغييرات في لوائح الراديو</w:t>
      </w:r>
      <w:r w:rsidR="00801025" w:rsidRPr="00801025">
        <w:rPr>
          <w:rFonts w:hint="cs"/>
          <w:b w:val="0"/>
          <w:bCs w:val="0"/>
          <w:color w:val="000000"/>
          <w:rtl/>
        </w:rPr>
        <w:t>.</w:t>
      </w:r>
      <w:r w:rsidR="00641611" w:rsidRPr="00801025">
        <w:rPr>
          <w:rFonts w:hint="cs"/>
          <w:b w:val="0"/>
          <w:bCs w:val="0"/>
          <w:rtl/>
        </w:rPr>
        <w:t xml:space="preserve"> و</w:t>
      </w:r>
      <w:r w:rsidRPr="00801025">
        <w:rPr>
          <w:rFonts w:hint="cs"/>
          <w:b w:val="0"/>
          <w:bCs w:val="0"/>
          <w:rtl/>
        </w:rPr>
        <w:t>قد استخدمت هذه الممارسة خلال</w:t>
      </w:r>
      <w:r w:rsidRPr="00801025">
        <w:rPr>
          <w:rFonts w:hint="eastAsia"/>
          <w:b w:val="0"/>
          <w:bCs w:val="0"/>
          <w:rtl/>
        </w:rPr>
        <w:t> </w:t>
      </w:r>
      <w:r w:rsidRPr="00801025">
        <w:rPr>
          <w:rFonts w:hint="cs"/>
          <w:b w:val="0"/>
          <w:bCs w:val="0"/>
          <w:rtl/>
        </w:rPr>
        <w:t xml:space="preserve">المؤتمرات العالمية السابقة للاتصالات الراديوية، من بينها المؤتمر العالمي للاتصالات الراديوية لعام </w:t>
      </w:r>
      <w:r w:rsidRPr="00801025">
        <w:rPr>
          <w:b w:val="0"/>
          <w:bCs w:val="0"/>
        </w:rPr>
        <w:t>2012</w:t>
      </w:r>
      <w:r w:rsidRPr="00801025">
        <w:rPr>
          <w:rFonts w:hint="cs"/>
          <w:b w:val="0"/>
          <w:bCs w:val="0"/>
          <w:rtl/>
        </w:rPr>
        <w:t xml:space="preserve">، التي جرى خلالها </w:t>
      </w:r>
      <w:r w:rsidR="00641611" w:rsidRPr="00801025">
        <w:rPr>
          <w:rFonts w:hint="cs"/>
          <w:b w:val="0"/>
          <w:bCs w:val="0"/>
          <w:rtl/>
        </w:rPr>
        <w:t>إدراج نتائج القرارات في محضر الجلسة العامة و</w:t>
      </w:r>
      <w:r w:rsidRPr="00801025">
        <w:rPr>
          <w:rFonts w:hint="cs"/>
          <w:b w:val="0"/>
          <w:bCs w:val="0"/>
          <w:rtl/>
        </w:rPr>
        <w:t>توزيع</w:t>
      </w:r>
      <w:r w:rsidR="00641611" w:rsidRPr="00801025">
        <w:rPr>
          <w:rFonts w:hint="cs"/>
          <w:b w:val="0"/>
          <w:bCs w:val="0"/>
          <w:rtl/>
        </w:rPr>
        <w:t>ها</w:t>
      </w:r>
      <w:r w:rsidRPr="00801025">
        <w:rPr>
          <w:rFonts w:hint="cs"/>
          <w:b w:val="0"/>
          <w:bCs w:val="0"/>
          <w:rtl/>
        </w:rPr>
        <w:t xml:space="preserve"> </w:t>
      </w:r>
      <w:r w:rsidR="00641611" w:rsidRPr="00801025">
        <w:rPr>
          <w:rFonts w:hint="cs"/>
          <w:b w:val="0"/>
          <w:bCs w:val="0"/>
          <w:rtl/>
        </w:rPr>
        <w:t xml:space="preserve">على الدول الأعضاء </w:t>
      </w:r>
      <w:r w:rsidRPr="00801025">
        <w:rPr>
          <w:rFonts w:hint="cs"/>
          <w:b w:val="0"/>
          <w:bCs w:val="0"/>
          <w:rtl/>
        </w:rPr>
        <w:t xml:space="preserve">من خلال رسائل معممة. علاوةً على ذلك، </w:t>
      </w:r>
      <w:r w:rsidR="00641611" w:rsidRPr="00801025">
        <w:rPr>
          <w:rFonts w:hint="cs"/>
          <w:b w:val="0"/>
          <w:bCs w:val="0"/>
          <w:rtl/>
        </w:rPr>
        <w:t>و</w:t>
      </w:r>
      <w:r w:rsidRPr="00801025">
        <w:rPr>
          <w:rFonts w:hint="cs"/>
          <w:b w:val="0"/>
          <w:bCs w:val="0"/>
          <w:rtl/>
        </w:rPr>
        <w:t>نظراً لعبء العمل الثقيل أثناء المؤتمرات العالمية للاتصالات الراديوية، ولا</w:t>
      </w:r>
      <w:r w:rsidRPr="00801025">
        <w:rPr>
          <w:rFonts w:hint="eastAsia"/>
          <w:b w:val="0"/>
          <w:bCs w:val="0"/>
          <w:rtl/>
        </w:rPr>
        <w:t> </w:t>
      </w:r>
      <w:r w:rsidRPr="00801025">
        <w:rPr>
          <w:rFonts w:hint="cs"/>
          <w:b w:val="0"/>
          <w:bCs w:val="0"/>
          <w:rtl/>
        </w:rPr>
        <w:t xml:space="preserve">سيما المؤتمر العالمي لعام </w:t>
      </w:r>
      <w:r w:rsidRPr="00801025">
        <w:rPr>
          <w:b w:val="0"/>
          <w:bCs w:val="0"/>
        </w:rPr>
        <w:t>2015</w:t>
      </w:r>
      <w:r w:rsidRPr="00801025">
        <w:rPr>
          <w:rFonts w:hint="cs"/>
          <w:b w:val="0"/>
          <w:bCs w:val="0"/>
          <w:rtl/>
        </w:rPr>
        <w:t xml:space="preserve">، ينبغي بذل جميع الجهود </w:t>
      </w:r>
      <w:r w:rsidR="00641611" w:rsidRPr="00801025">
        <w:rPr>
          <w:rFonts w:hint="cs"/>
          <w:b w:val="0"/>
          <w:bCs w:val="0"/>
          <w:rtl/>
        </w:rPr>
        <w:t>لتفادي ال</w:t>
      </w:r>
      <w:r w:rsidRPr="00801025">
        <w:rPr>
          <w:rFonts w:hint="cs"/>
          <w:b w:val="0"/>
          <w:bCs w:val="0"/>
          <w:rtl/>
        </w:rPr>
        <w:t>مناقشات غير</w:t>
      </w:r>
      <w:r w:rsidRPr="00801025">
        <w:rPr>
          <w:rFonts w:hint="eastAsia"/>
          <w:b w:val="0"/>
          <w:bCs w:val="0"/>
          <w:rtl/>
        </w:rPr>
        <w:t> </w:t>
      </w:r>
      <w:r w:rsidR="00641611" w:rsidRPr="00801025">
        <w:rPr>
          <w:rFonts w:hint="cs"/>
          <w:b w:val="0"/>
          <w:bCs w:val="0"/>
          <w:rtl/>
        </w:rPr>
        <w:t>ال</w:t>
      </w:r>
      <w:r w:rsidRPr="00801025">
        <w:rPr>
          <w:rFonts w:hint="cs"/>
          <w:b w:val="0"/>
          <w:bCs w:val="0"/>
          <w:rtl/>
        </w:rPr>
        <w:t>ضرورية خلال ا</w:t>
      </w:r>
      <w:r w:rsidR="00641611" w:rsidRPr="00801025">
        <w:rPr>
          <w:rFonts w:hint="cs"/>
          <w:b w:val="0"/>
          <w:bCs w:val="0"/>
          <w:rtl/>
        </w:rPr>
        <w:t>لمؤتمر،</w:t>
      </w:r>
      <w:r w:rsidRPr="00801025">
        <w:rPr>
          <w:rFonts w:hint="cs"/>
          <w:b w:val="0"/>
          <w:bCs w:val="0"/>
          <w:rtl/>
        </w:rPr>
        <w:t xml:space="preserve"> ومن ثم </w:t>
      </w:r>
      <w:r w:rsidR="00641611" w:rsidRPr="00801025">
        <w:rPr>
          <w:rFonts w:hint="cs"/>
          <w:b w:val="0"/>
          <w:bCs w:val="0"/>
          <w:rtl/>
        </w:rPr>
        <w:t>السماح</w:t>
      </w:r>
      <w:r w:rsidRPr="00801025">
        <w:rPr>
          <w:rFonts w:hint="cs"/>
          <w:b w:val="0"/>
          <w:bCs w:val="0"/>
          <w:rtl/>
        </w:rPr>
        <w:t xml:space="preserve"> للمؤتمر بالتعامل مع المواضيع الهامة التي تتطلب مداولات ومناقشات مستفيضة.</w:t>
      </w:r>
    </w:p>
    <w:p w:rsidR="00C77431" w:rsidRPr="00801025" w:rsidRDefault="00641611" w:rsidP="00801025">
      <w:pPr>
        <w:pStyle w:val="Reasons"/>
        <w:rPr>
          <w:b w:val="0"/>
          <w:bCs w:val="0"/>
          <w:rtl/>
        </w:rPr>
      </w:pPr>
      <w:r w:rsidRPr="00801025">
        <w:rPr>
          <w:rFonts w:hint="cs"/>
          <w:b w:val="0"/>
          <w:bCs w:val="0"/>
          <w:rtl/>
        </w:rPr>
        <w:t>غير أن هذه الإدارة قد تنظر في حلول أخرى بناء</w:t>
      </w:r>
      <w:r w:rsidR="0004766E">
        <w:rPr>
          <w:rFonts w:hint="cs"/>
          <w:b w:val="0"/>
          <w:bCs w:val="0"/>
          <w:rtl/>
        </w:rPr>
        <w:t>ً</w:t>
      </w:r>
      <w:r w:rsidRPr="00801025">
        <w:rPr>
          <w:rFonts w:hint="cs"/>
          <w:b w:val="0"/>
          <w:bCs w:val="0"/>
          <w:rtl/>
        </w:rPr>
        <w:t xml:space="preserve"> على مداولات</w:t>
      </w:r>
      <w:r w:rsidR="00592758" w:rsidRPr="00801025">
        <w:rPr>
          <w:rFonts w:hint="cs"/>
          <w:b w:val="0"/>
          <w:bCs w:val="0"/>
          <w:rtl/>
        </w:rPr>
        <w:t xml:space="preserve"> المؤتمر</w:t>
      </w:r>
      <w:r w:rsidRPr="00801025">
        <w:rPr>
          <w:rFonts w:hint="cs"/>
          <w:b w:val="0"/>
          <w:bCs w:val="0"/>
          <w:rtl/>
        </w:rPr>
        <w:t xml:space="preserve"> بشأن المسألة/القضية</w:t>
      </w:r>
      <w:r w:rsidR="00592758" w:rsidRPr="00801025">
        <w:rPr>
          <w:rFonts w:hint="cs"/>
          <w:b w:val="0"/>
          <w:bCs w:val="0"/>
          <w:rtl/>
        </w:rPr>
        <w:t>،</w:t>
      </w:r>
      <w:r w:rsidR="00592758" w:rsidRPr="00801025">
        <w:rPr>
          <w:b w:val="0"/>
          <w:bCs w:val="0"/>
          <w:color w:val="000000"/>
          <w:rtl/>
        </w:rPr>
        <w:t xml:space="preserve"> إذا كان </w:t>
      </w:r>
      <w:r w:rsidR="00592758" w:rsidRPr="00801025">
        <w:rPr>
          <w:rFonts w:hint="cs"/>
          <w:b w:val="0"/>
          <w:bCs w:val="0"/>
          <w:color w:val="000000"/>
          <w:rtl/>
        </w:rPr>
        <w:t xml:space="preserve">ذلك </w:t>
      </w:r>
      <w:r w:rsidR="00592758" w:rsidRPr="00801025">
        <w:rPr>
          <w:b w:val="0"/>
          <w:bCs w:val="0"/>
          <w:color w:val="000000"/>
          <w:rtl/>
        </w:rPr>
        <w:t>مناسباً وله ما يبرره</w:t>
      </w:r>
      <w:r w:rsidR="00801025">
        <w:rPr>
          <w:rFonts w:hint="cs"/>
          <w:b w:val="0"/>
          <w:bCs w:val="0"/>
          <w:color w:val="000000"/>
          <w:rtl/>
        </w:rPr>
        <w:t>.</w:t>
      </w:r>
    </w:p>
    <w:p w:rsidR="00C77431" w:rsidRPr="00C77431" w:rsidRDefault="00C77431" w:rsidP="00C77431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C77431" w:rsidRPr="00C7743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77431" w:rsidRDefault="00281F5F" w:rsidP="00C77431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C77431">
      <w:instrText xml:space="preserve"> FILENAME \p \* MERGEFORMAT </w:instrText>
    </w:r>
    <w:r w:rsidRPr="00CB4300">
      <w:fldChar w:fldCharType="separate"/>
    </w:r>
    <w:r w:rsidR="00856453">
      <w:rPr>
        <w:noProof/>
      </w:rPr>
      <w:t>P:\ARA\ITU-R\CONF-R\CMR15\000\061ADD21ADD02A.docx</w:t>
    </w:r>
    <w:r w:rsidRPr="00CB4300">
      <w:fldChar w:fldCharType="end"/>
    </w:r>
    <w:r w:rsidRPr="00C77431">
      <w:t xml:space="preserve">  (</w:t>
    </w:r>
    <w:r w:rsidR="00C77431">
      <w:t>388289</w:t>
    </w:r>
    <w:r w:rsidRPr="00C77431">
      <w:t>)</w:t>
    </w:r>
    <w:r w:rsidRPr="00C77431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E65FD1">
      <w:rPr>
        <w:noProof/>
      </w:rPr>
      <w:t>25.10.15</w:t>
    </w:r>
    <w:r w:rsidRPr="00CB4300">
      <w:fldChar w:fldCharType="end"/>
    </w:r>
    <w:r w:rsidRPr="00C77431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56453">
      <w:rPr>
        <w:noProof/>
      </w:rPr>
      <w:t>25.10.15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77431" w:rsidRDefault="00281F5F" w:rsidP="00C77431">
    <w:pPr>
      <w:pStyle w:val="Footer"/>
      <w:tabs>
        <w:tab w:val="clear" w:pos="5812"/>
        <w:tab w:val="left" w:pos="6379"/>
      </w:tabs>
    </w:pPr>
    <w:r>
      <w:fldChar w:fldCharType="begin"/>
    </w:r>
    <w:r w:rsidRPr="00C77431">
      <w:instrText xml:space="preserve"> FILENAME \p \* MERGEFORMAT </w:instrText>
    </w:r>
    <w:r>
      <w:fldChar w:fldCharType="separate"/>
    </w:r>
    <w:r w:rsidR="00856453">
      <w:rPr>
        <w:noProof/>
      </w:rPr>
      <w:t>P:\ARA\ITU-R\CONF-R\CMR15\000\061ADD21ADD02A.docx</w:t>
    </w:r>
    <w:r>
      <w:fldChar w:fldCharType="end"/>
    </w:r>
    <w:r w:rsidRPr="00C77431">
      <w:t xml:space="preserve">   (</w:t>
    </w:r>
    <w:r w:rsidR="00C77431">
      <w:t>388289</w:t>
    </w:r>
    <w:r w:rsidRPr="00C77431">
      <w:t>)</w:t>
    </w:r>
    <w:r w:rsidRPr="00C77431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65FD1">
      <w:rPr>
        <w:noProof/>
      </w:rPr>
      <w:t>25.10.15</w:t>
    </w:r>
    <w:r w:rsidRPr="00B12661">
      <w:fldChar w:fldCharType="end"/>
    </w:r>
    <w:r w:rsidRPr="00C77431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56453">
      <w:rPr>
        <w:noProof/>
      </w:rPr>
      <w:t>25.10.15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65FD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61(Add.21)(Add.2)-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4766E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3DE5"/>
    <w:rsid w:val="003E02EF"/>
    <w:rsid w:val="003E1608"/>
    <w:rsid w:val="003E1D90"/>
    <w:rsid w:val="00400CD4"/>
    <w:rsid w:val="004147B9"/>
    <w:rsid w:val="00414BFD"/>
    <w:rsid w:val="00422C04"/>
    <w:rsid w:val="00426144"/>
    <w:rsid w:val="00442152"/>
    <w:rsid w:val="00461FA7"/>
    <w:rsid w:val="00470CBD"/>
    <w:rsid w:val="0047407D"/>
    <w:rsid w:val="004909DD"/>
    <w:rsid w:val="004A05E6"/>
    <w:rsid w:val="004A6B62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2758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31C9"/>
    <w:rsid w:val="00613492"/>
    <w:rsid w:val="006315B5"/>
    <w:rsid w:val="00641611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1025"/>
    <w:rsid w:val="00810482"/>
    <w:rsid w:val="00817568"/>
    <w:rsid w:val="008204AC"/>
    <w:rsid w:val="008261C2"/>
    <w:rsid w:val="00830D96"/>
    <w:rsid w:val="008455BE"/>
    <w:rsid w:val="0085569D"/>
    <w:rsid w:val="00855B59"/>
    <w:rsid w:val="00856453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4376D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77431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65FD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7DE4CB0-D126-439F-8864-D861D102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R15-WRC15-C-0061!A21-A2!MSW-A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C1BDD-4BE0-4D9C-9FEA-7DD73A0F4CE9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1BD4E3-4EEA-43D2-955B-FD08ACD4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1978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R15-WRC15-C-0061!A21-A2!MSW-A</vt:lpstr>
    </vt:vector>
  </TitlesOfParts>
  <Manager>General Secretariat - Pool</Manager>
  <Company>International Telecommunication Union (ITU)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R15-WRC15-C-0061!A21-A2!MSW-A</dc:title>
  <dc:creator>Documents Proposals Manager (DPM)</dc:creator>
  <cp:keywords>DPM_v5.2015.10.15_prod</cp:keywords>
  <cp:lastModifiedBy>Awad, Samy</cp:lastModifiedBy>
  <cp:revision>8</cp:revision>
  <cp:lastPrinted>2015-10-25T12:11:00Z</cp:lastPrinted>
  <dcterms:created xsi:type="dcterms:W3CDTF">2015-10-25T12:10:00Z</dcterms:created>
  <dcterms:modified xsi:type="dcterms:W3CDTF">2015-10-25T14:44:00Z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