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BB1D82" w:rsidRPr="002A6F8F" w:rsidTr="0050008E">
        <w:trPr>
          <w:cantSplit/>
        </w:trPr>
        <w:tc>
          <w:tcPr>
            <w:tcW w:w="6911" w:type="dxa"/>
          </w:tcPr>
          <w:p w:rsidR="00BB1D82" w:rsidRPr="00930FFD" w:rsidRDefault="00851625" w:rsidP="00AA3F4E">
            <w:pPr>
              <w:spacing w:before="400" w:after="48"/>
              <w:rPr>
                <w:rFonts w:ascii="Verdana" w:hAnsi="Verdana"/>
                <w:b/>
                <w:bCs/>
                <w:sz w:val="20"/>
                <w:lang w:val="fr-CH"/>
              </w:rPr>
            </w:pPr>
            <w:r>
              <w:rPr>
                <w:rFonts w:ascii="Verdana" w:hAnsi="Verdana"/>
                <w:b/>
                <w:bCs/>
                <w:sz w:val="20"/>
                <w:lang w:val="fr-CH"/>
              </w:rPr>
              <w:t>Conférence mondiale des radiocommunications (CMR-15)</w:t>
            </w:r>
            <w:r w:rsidRPr="00930FFD">
              <w:rPr>
                <w:rFonts w:ascii="Verdana" w:hAnsi="Verdana"/>
                <w:b/>
                <w:bCs/>
                <w:sz w:val="20"/>
                <w:lang w:val="fr-CH"/>
              </w:rPr>
              <w:br/>
            </w:r>
            <w:r w:rsidRPr="00930FFD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Genève,</w:t>
            </w:r>
            <w:r w:rsidR="00E537FF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 xml:space="preserve"> </w:t>
            </w:r>
            <w:r w:rsidRPr="00930FFD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2-27 novembre 2015</w:t>
            </w:r>
          </w:p>
        </w:tc>
        <w:tc>
          <w:tcPr>
            <w:tcW w:w="3120" w:type="dxa"/>
          </w:tcPr>
          <w:p w:rsidR="00BB1D82" w:rsidRPr="002A6F8F" w:rsidRDefault="002C28A4" w:rsidP="00AA3F4E">
            <w:pPr>
              <w:spacing w:before="0"/>
              <w:jc w:val="right"/>
              <w:rPr>
                <w:lang w:val="en-US"/>
              </w:rPr>
            </w:pPr>
            <w:bookmarkStart w:id="0" w:name="ditulogo"/>
            <w:bookmarkEnd w:id="0"/>
            <w:r>
              <w:rPr>
                <w:noProof/>
                <w:lang w:val="en-US" w:eastAsia="zh-CN"/>
              </w:rPr>
              <w:drawing>
                <wp:inline distT="0" distB="0" distL="0" distR="0" wp14:anchorId="4EDCAEED" wp14:editId="032F8E9F">
                  <wp:extent cx="1247775" cy="935831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1D82" w:rsidRPr="002A6F8F" w:rsidTr="0050008E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BB1D82" w:rsidRPr="002A6F8F" w:rsidRDefault="002C28A4" w:rsidP="00AA3F4E">
            <w:pPr>
              <w:spacing w:before="0" w:after="48"/>
              <w:rPr>
                <w:b/>
                <w:smallCaps/>
                <w:szCs w:val="24"/>
                <w:lang w:val="en-US"/>
              </w:rPr>
            </w:pPr>
            <w:bookmarkStart w:id="1" w:name="dhead"/>
            <w:r w:rsidRPr="00BB51CC">
              <w:rPr>
                <w:rFonts w:ascii="Verdana" w:hAnsi="Verdana"/>
                <w:b/>
                <w:bCs/>
                <w:sz w:val="20"/>
              </w:rPr>
              <w:t>UNION INTERNATIONALE DES T</w:t>
            </w:r>
            <w:r>
              <w:rPr>
                <w:rFonts w:ascii="Verdana" w:hAnsi="Verdana"/>
                <w:b/>
                <w:bCs/>
                <w:sz w:val="20"/>
              </w:rPr>
              <w:t>É</w:t>
            </w:r>
            <w:r w:rsidRPr="00BB51CC">
              <w:rPr>
                <w:rFonts w:ascii="Verdana" w:hAnsi="Verdana"/>
                <w:b/>
                <w:bCs/>
                <w:sz w:val="20"/>
              </w:rPr>
              <w:t>L</w:t>
            </w:r>
            <w:r>
              <w:rPr>
                <w:rFonts w:ascii="Verdana" w:hAnsi="Verdana"/>
                <w:b/>
                <w:bCs/>
                <w:sz w:val="20"/>
              </w:rPr>
              <w:t>É</w:t>
            </w:r>
            <w:r w:rsidRPr="00BB51CC">
              <w:rPr>
                <w:rFonts w:ascii="Verdana" w:hAnsi="Verdana"/>
                <w:b/>
                <w:bCs/>
                <w:sz w:val="20"/>
              </w:rPr>
              <w:t>COMMUNICATIONS</w:t>
            </w: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BB1D82" w:rsidRPr="002A6F8F" w:rsidRDefault="00BB1D82" w:rsidP="00AA3F4E">
            <w:pPr>
              <w:spacing w:before="0"/>
              <w:rPr>
                <w:rFonts w:ascii="Verdana" w:hAnsi="Verdana"/>
                <w:szCs w:val="24"/>
                <w:lang w:val="en-US"/>
              </w:rPr>
            </w:pPr>
          </w:p>
        </w:tc>
      </w:tr>
      <w:tr w:rsidR="00BB1D82" w:rsidRPr="002A6F8F" w:rsidTr="00BB1D82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BB1D82" w:rsidRPr="002A6F8F" w:rsidRDefault="00BB1D82" w:rsidP="00AA3F4E">
            <w:pPr>
              <w:spacing w:before="0" w:after="48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BB1D82" w:rsidRPr="002A6F8F" w:rsidRDefault="00BB1D82" w:rsidP="00AA3F4E">
            <w:pPr>
              <w:spacing w:before="0"/>
              <w:rPr>
                <w:rFonts w:ascii="Verdana" w:hAnsi="Verdana"/>
                <w:sz w:val="20"/>
                <w:lang w:val="en-US"/>
              </w:rPr>
            </w:pPr>
          </w:p>
        </w:tc>
      </w:tr>
      <w:tr w:rsidR="00BB1D82" w:rsidRPr="002A6F8F" w:rsidTr="00BB1D82">
        <w:trPr>
          <w:cantSplit/>
        </w:trPr>
        <w:tc>
          <w:tcPr>
            <w:tcW w:w="6911" w:type="dxa"/>
            <w:shd w:val="clear" w:color="auto" w:fill="auto"/>
          </w:tcPr>
          <w:p w:rsidR="00BB1D82" w:rsidRPr="00930FFD" w:rsidRDefault="006D4724" w:rsidP="00AA3F4E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930FFD">
              <w:rPr>
                <w:rFonts w:ascii="Verdana" w:hAnsi="Verdana"/>
                <w:b/>
                <w:sz w:val="20"/>
                <w:lang w:val="en-US"/>
              </w:rPr>
              <w:t>SÉANCE PLÉNIÈRE</w:t>
            </w:r>
          </w:p>
        </w:tc>
        <w:tc>
          <w:tcPr>
            <w:tcW w:w="3120" w:type="dxa"/>
            <w:shd w:val="clear" w:color="auto" w:fill="auto"/>
          </w:tcPr>
          <w:p w:rsidR="00BB1D82" w:rsidRPr="007E3DBD" w:rsidRDefault="006D4724" w:rsidP="00AA3F4E">
            <w:pPr>
              <w:spacing w:before="0"/>
              <w:rPr>
                <w:rFonts w:ascii="Verdana" w:hAnsi="Verdana"/>
                <w:sz w:val="20"/>
                <w:lang w:val="fr-CH"/>
              </w:rPr>
            </w:pPr>
            <w:r w:rsidRPr="007E3DBD">
              <w:rPr>
                <w:rFonts w:ascii="Verdana" w:eastAsia="SimSun" w:hAnsi="Verdana" w:cs="Traditional Arabic"/>
                <w:b/>
                <w:sz w:val="20"/>
                <w:lang w:val="fr-CH"/>
              </w:rPr>
              <w:t>Addendum 13 au</w:t>
            </w:r>
            <w:r w:rsidRPr="007E3DBD">
              <w:rPr>
                <w:rFonts w:ascii="Verdana" w:eastAsia="SimSun" w:hAnsi="Verdana" w:cs="Traditional Arabic"/>
                <w:b/>
                <w:sz w:val="20"/>
                <w:lang w:val="fr-CH"/>
              </w:rPr>
              <w:br/>
              <w:t>Document 61(Add.21)</w:t>
            </w:r>
            <w:r w:rsidR="00BB1D82" w:rsidRPr="007E3DBD">
              <w:rPr>
                <w:rFonts w:ascii="Verdana" w:hAnsi="Verdana"/>
                <w:b/>
                <w:sz w:val="20"/>
                <w:lang w:val="fr-CH"/>
              </w:rPr>
              <w:t>-</w:t>
            </w:r>
            <w:r w:rsidRPr="007E3DBD">
              <w:rPr>
                <w:rFonts w:ascii="Verdana" w:hAnsi="Verdana"/>
                <w:b/>
                <w:sz w:val="20"/>
                <w:lang w:val="fr-CH"/>
              </w:rPr>
              <w:t>F</w:t>
            </w:r>
          </w:p>
        </w:tc>
      </w:tr>
      <w:bookmarkEnd w:id="1"/>
      <w:tr w:rsidR="00690C7B" w:rsidRPr="002A6F8F" w:rsidTr="00BB1D82">
        <w:trPr>
          <w:cantSplit/>
        </w:trPr>
        <w:tc>
          <w:tcPr>
            <w:tcW w:w="6911" w:type="dxa"/>
            <w:shd w:val="clear" w:color="auto" w:fill="auto"/>
          </w:tcPr>
          <w:p w:rsidR="00690C7B" w:rsidRPr="007E3DBD" w:rsidRDefault="00690C7B" w:rsidP="00AA3F4E">
            <w:pPr>
              <w:spacing w:before="0"/>
              <w:rPr>
                <w:rFonts w:ascii="Verdana" w:hAnsi="Verdana"/>
                <w:b/>
                <w:sz w:val="20"/>
                <w:lang w:val="fr-CH"/>
              </w:rPr>
            </w:pPr>
          </w:p>
        </w:tc>
        <w:tc>
          <w:tcPr>
            <w:tcW w:w="3120" w:type="dxa"/>
            <w:shd w:val="clear" w:color="auto" w:fill="auto"/>
          </w:tcPr>
          <w:p w:rsidR="00690C7B" w:rsidRPr="002A6F8F" w:rsidRDefault="00690C7B" w:rsidP="00AA3F4E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2A6F8F">
              <w:rPr>
                <w:rFonts w:ascii="Verdana" w:hAnsi="Verdana"/>
                <w:b/>
                <w:sz w:val="20"/>
                <w:lang w:val="en-US"/>
              </w:rPr>
              <w:t>14 octobre 2015</w:t>
            </w:r>
          </w:p>
        </w:tc>
      </w:tr>
      <w:tr w:rsidR="00690C7B" w:rsidRPr="002A6F8F" w:rsidTr="00BB1D82">
        <w:trPr>
          <w:cantSplit/>
        </w:trPr>
        <w:tc>
          <w:tcPr>
            <w:tcW w:w="6911" w:type="dxa"/>
          </w:tcPr>
          <w:p w:rsidR="00690C7B" w:rsidRPr="002A6F8F" w:rsidRDefault="00690C7B" w:rsidP="00AA3F4E">
            <w:pPr>
              <w:spacing w:before="0" w:after="48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120" w:type="dxa"/>
          </w:tcPr>
          <w:p w:rsidR="00690C7B" w:rsidRPr="002A6F8F" w:rsidRDefault="00690C7B" w:rsidP="00AA3F4E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2A6F8F">
              <w:rPr>
                <w:rFonts w:ascii="Verdana" w:hAnsi="Verdana"/>
                <w:b/>
                <w:sz w:val="20"/>
                <w:lang w:val="en-US"/>
              </w:rPr>
              <w:t>Original: anglais</w:t>
            </w:r>
          </w:p>
        </w:tc>
      </w:tr>
      <w:tr w:rsidR="00690C7B" w:rsidRPr="002A6F8F" w:rsidTr="00C11970">
        <w:trPr>
          <w:cantSplit/>
        </w:trPr>
        <w:tc>
          <w:tcPr>
            <w:tcW w:w="10031" w:type="dxa"/>
            <w:gridSpan w:val="2"/>
          </w:tcPr>
          <w:p w:rsidR="00690C7B" w:rsidRPr="002A6F8F" w:rsidRDefault="00690C7B" w:rsidP="00AA3F4E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</w:p>
        </w:tc>
      </w:tr>
      <w:tr w:rsidR="00690C7B" w:rsidRPr="002A6F8F" w:rsidTr="0050008E">
        <w:trPr>
          <w:cantSplit/>
        </w:trPr>
        <w:tc>
          <w:tcPr>
            <w:tcW w:w="10031" w:type="dxa"/>
            <w:gridSpan w:val="2"/>
          </w:tcPr>
          <w:p w:rsidR="00690C7B" w:rsidRPr="002A6F8F" w:rsidRDefault="00690C7B" w:rsidP="00AA3F4E">
            <w:pPr>
              <w:pStyle w:val="Source"/>
              <w:rPr>
                <w:lang w:val="en-US"/>
              </w:rPr>
            </w:pPr>
            <w:bookmarkStart w:id="2" w:name="dsource" w:colFirst="0" w:colLast="0"/>
            <w:r w:rsidRPr="002A6F8F">
              <w:rPr>
                <w:lang w:val="en-US"/>
              </w:rPr>
              <w:t>Iran (République islamique d')</w:t>
            </w:r>
          </w:p>
        </w:tc>
      </w:tr>
      <w:tr w:rsidR="00690C7B" w:rsidRPr="002A6F8F" w:rsidTr="0050008E">
        <w:trPr>
          <w:cantSplit/>
        </w:trPr>
        <w:tc>
          <w:tcPr>
            <w:tcW w:w="10031" w:type="dxa"/>
            <w:gridSpan w:val="2"/>
          </w:tcPr>
          <w:p w:rsidR="00690C7B" w:rsidRPr="007E3DBD" w:rsidRDefault="007E3DBD" w:rsidP="00AA3F4E">
            <w:pPr>
              <w:pStyle w:val="Title1"/>
              <w:rPr>
                <w:lang w:val="fr-CH"/>
              </w:rPr>
            </w:pPr>
            <w:bookmarkStart w:id="3" w:name="dtitle1" w:colFirst="0" w:colLast="0"/>
            <w:bookmarkEnd w:id="2"/>
            <w:r w:rsidRPr="007E3DBD">
              <w:rPr>
                <w:lang w:val="fr-CH"/>
              </w:rPr>
              <w:t>propositions pour les travaux de la conf</w:t>
            </w:r>
            <w:r>
              <w:rPr>
                <w:lang w:val="fr-CH"/>
              </w:rPr>
              <w:t>érence</w:t>
            </w:r>
          </w:p>
        </w:tc>
      </w:tr>
      <w:tr w:rsidR="00690C7B" w:rsidRPr="002A6F8F" w:rsidTr="0050008E">
        <w:trPr>
          <w:cantSplit/>
        </w:trPr>
        <w:tc>
          <w:tcPr>
            <w:tcW w:w="10031" w:type="dxa"/>
            <w:gridSpan w:val="2"/>
          </w:tcPr>
          <w:p w:rsidR="00690C7B" w:rsidRPr="007E3DBD" w:rsidRDefault="00690C7B" w:rsidP="00AA3F4E">
            <w:pPr>
              <w:pStyle w:val="Title2"/>
              <w:rPr>
                <w:lang w:val="fr-CH"/>
              </w:rPr>
            </w:pPr>
            <w:bookmarkStart w:id="4" w:name="dtitle2" w:colFirst="0" w:colLast="0"/>
            <w:bookmarkEnd w:id="3"/>
          </w:p>
        </w:tc>
      </w:tr>
      <w:tr w:rsidR="00690C7B" w:rsidTr="0050008E">
        <w:trPr>
          <w:cantSplit/>
        </w:trPr>
        <w:tc>
          <w:tcPr>
            <w:tcW w:w="10031" w:type="dxa"/>
            <w:gridSpan w:val="2"/>
          </w:tcPr>
          <w:p w:rsidR="00690C7B" w:rsidRDefault="00690C7B" w:rsidP="00AA3F4E">
            <w:pPr>
              <w:pStyle w:val="Agendaitem"/>
            </w:pPr>
            <w:bookmarkStart w:id="5" w:name="dtitle3" w:colFirst="0" w:colLast="0"/>
            <w:bookmarkEnd w:id="4"/>
            <w:r w:rsidRPr="006D4724">
              <w:t>Point 7 de l'ordre du jour</w:t>
            </w:r>
          </w:p>
        </w:tc>
      </w:tr>
    </w:tbl>
    <w:bookmarkEnd w:id="5"/>
    <w:p w:rsidR="001C0E40" w:rsidRPr="00EC691D" w:rsidRDefault="00AB48F8" w:rsidP="00AA3F4E">
      <w:pPr>
        <w:rPr>
          <w:lang w:val="fr-CA"/>
        </w:rPr>
      </w:pPr>
      <w:r w:rsidRPr="0003194D">
        <w:rPr>
          <w:lang w:val="fr-CA"/>
        </w:rPr>
        <w:t>7</w:t>
      </w:r>
      <w:r w:rsidRPr="0003194D">
        <w:rPr>
          <w:lang w:val="fr-CA"/>
        </w:rPr>
        <w:tab/>
        <w:t>examiner d'éventuels changements à apporter, et d'autres options à mettre en œuvre, en application de la Résolution 86 (Rév. </w:t>
      </w:r>
      <w:r w:rsidRPr="00EC691D">
        <w:rPr>
          <w:lang w:val="fr-CA"/>
        </w:rPr>
        <w:t>Marrakech, 2002) de la Conférence de plénipotentiaires, intitulée «Procédures de publication anticipée, de coordination, de notification et d'inscription des assignations de fréquence relatives aux réseaux à satellite», conformément à la Résolution </w:t>
      </w:r>
      <w:r w:rsidRPr="0003194D">
        <w:rPr>
          <w:b/>
          <w:bCs/>
          <w:lang w:val="fr-CA"/>
        </w:rPr>
        <w:t>86 (Rév.CMR-07)</w:t>
      </w:r>
      <w:r w:rsidRPr="00EC691D">
        <w:rPr>
          <w:lang w:val="fr-CA"/>
        </w:rPr>
        <w:t>, afin de faciliter l'utilisation rationnelle, efficace et économique des fréquences radioélectriques et des orbites associées, y compris de l'orbite des satellites géostationnaires;</w:t>
      </w:r>
    </w:p>
    <w:p w:rsidR="003A583E" w:rsidRDefault="003A583E" w:rsidP="00AA3F4E"/>
    <w:p w:rsidR="0015203F" w:rsidRDefault="0015203F" w:rsidP="00AA3F4E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>
        <w:br w:type="page"/>
      </w:r>
    </w:p>
    <w:p w:rsidR="00992DC2" w:rsidRPr="00F31016" w:rsidRDefault="00AB48F8" w:rsidP="00AA3F4E">
      <w:pPr>
        <w:pStyle w:val="AppendixNo"/>
      </w:pPr>
      <w:r w:rsidRPr="00F31016">
        <w:lastRenderedPageBreak/>
        <w:t xml:space="preserve">APPENDICE  </w:t>
      </w:r>
      <w:r w:rsidRPr="00F31016">
        <w:rPr>
          <w:rStyle w:val="href"/>
        </w:rPr>
        <w:t>30B</w:t>
      </w:r>
      <w:r w:rsidRPr="00F31016">
        <w:t xml:space="preserve">  (R</w:t>
      </w:r>
      <w:r w:rsidRPr="005905D6">
        <w:rPr>
          <w:caps w:val="0"/>
          <w:lang w:val="fr-CH"/>
        </w:rPr>
        <w:t>ÉV</w:t>
      </w:r>
      <w:r w:rsidRPr="00F31016">
        <w:t>.CMR-</w:t>
      </w:r>
      <w:r>
        <w:t>12</w:t>
      </w:r>
      <w:r w:rsidRPr="00F31016">
        <w:t>)</w:t>
      </w:r>
    </w:p>
    <w:p w:rsidR="00992DC2" w:rsidRPr="00E3609D" w:rsidRDefault="00AB48F8" w:rsidP="00AA3F4E">
      <w:pPr>
        <w:pStyle w:val="Appendixtitle"/>
        <w:spacing w:before="120" w:after="120"/>
        <w:rPr>
          <w:color w:val="000000"/>
          <w:lang w:val="fr-CH"/>
        </w:rPr>
      </w:pPr>
      <w:r>
        <w:rPr>
          <w:color w:val="000000"/>
          <w:lang w:val="fr-CH"/>
        </w:rPr>
        <w:t>Dispositions et Plan associé pour le service fixe par satellite</w:t>
      </w:r>
      <w:r>
        <w:rPr>
          <w:color w:val="000000"/>
          <w:lang w:val="fr-CH"/>
        </w:rPr>
        <w:br/>
        <w:t>dans les bandes 4</w:t>
      </w:r>
      <w:r>
        <w:rPr>
          <w:rFonts w:ascii="Tms Rmn" w:hAnsi="Tms Rmn"/>
          <w:color w:val="000000"/>
          <w:sz w:val="12"/>
          <w:lang w:val="fr-CH"/>
        </w:rPr>
        <w:t> </w:t>
      </w:r>
      <w:r>
        <w:rPr>
          <w:color w:val="000000"/>
          <w:lang w:val="fr-CH"/>
        </w:rPr>
        <w:t>500-4</w:t>
      </w:r>
      <w:r>
        <w:rPr>
          <w:rFonts w:ascii="Tms Rmn" w:hAnsi="Tms Rmn"/>
          <w:color w:val="000000"/>
          <w:sz w:val="12"/>
          <w:lang w:val="fr-CH"/>
        </w:rPr>
        <w:t> </w:t>
      </w:r>
      <w:r>
        <w:rPr>
          <w:color w:val="000000"/>
          <w:lang w:val="fr-CH"/>
        </w:rPr>
        <w:t>800 MHz, 6</w:t>
      </w:r>
      <w:r>
        <w:rPr>
          <w:rFonts w:ascii="Tms Rmn" w:hAnsi="Tms Rmn"/>
          <w:color w:val="000000"/>
          <w:sz w:val="12"/>
          <w:lang w:val="fr-CH"/>
        </w:rPr>
        <w:t> </w:t>
      </w:r>
      <w:r>
        <w:rPr>
          <w:color w:val="000000"/>
          <w:lang w:val="fr-CH"/>
        </w:rPr>
        <w:t>725-7</w:t>
      </w:r>
      <w:r>
        <w:rPr>
          <w:rFonts w:ascii="Tms Rmn" w:hAnsi="Tms Rmn"/>
          <w:color w:val="000000"/>
          <w:sz w:val="12"/>
          <w:lang w:val="fr-CH"/>
        </w:rPr>
        <w:t> </w:t>
      </w:r>
      <w:r>
        <w:rPr>
          <w:color w:val="000000"/>
          <w:lang w:val="fr-CH"/>
        </w:rPr>
        <w:t>025 MHz,</w:t>
      </w:r>
      <w:r>
        <w:rPr>
          <w:color w:val="000000"/>
          <w:lang w:val="fr-CH"/>
        </w:rPr>
        <w:br/>
        <w:t>10,70-10,95 GHz, 11,20-11,45 GHz et 12,75-13,25 GHz</w:t>
      </w:r>
    </w:p>
    <w:p w:rsidR="00650010" w:rsidRDefault="00AB48F8" w:rsidP="00AA3F4E">
      <w:pPr>
        <w:pStyle w:val="Proposal"/>
      </w:pPr>
      <w:r>
        <w:t>MOD</w:t>
      </w:r>
      <w:r>
        <w:tab/>
        <w:t>IRN/61A21A13/1</w:t>
      </w:r>
    </w:p>
    <w:p w:rsidR="00992DC2" w:rsidRPr="00F31016" w:rsidRDefault="00AB48F8" w:rsidP="00AA3F4E">
      <w:pPr>
        <w:pStyle w:val="AppArtNo"/>
      </w:pPr>
      <w:r w:rsidRPr="00F72AF2">
        <w:rPr>
          <w:lang w:val="fr-CH"/>
        </w:rPr>
        <w:t xml:space="preserve">ARTICLE  </w:t>
      </w:r>
      <w:r w:rsidRPr="00F31016">
        <w:t>6     </w:t>
      </w:r>
      <w:r w:rsidRPr="0045317C">
        <w:rPr>
          <w:sz w:val="16"/>
          <w:szCs w:val="16"/>
        </w:rPr>
        <w:t>(</w:t>
      </w:r>
      <w:r>
        <w:rPr>
          <w:sz w:val="16"/>
          <w:lang w:val="fr-CH"/>
        </w:rPr>
        <w:t>Rév.</w:t>
      </w:r>
      <w:r w:rsidRPr="0045317C">
        <w:rPr>
          <w:sz w:val="16"/>
          <w:szCs w:val="16"/>
        </w:rPr>
        <w:t>CMR</w:t>
      </w:r>
      <w:r w:rsidRPr="0045317C">
        <w:rPr>
          <w:sz w:val="16"/>
          <w:szCs w:val="16"/>
        </w:rPr>
        <w:noBreakHyphen/>
      </w:r>
      <w:r>
        <w:rPr>
          <w:sz w:val="16"/>
          <w:szCs w:val="16"/>
        </w:rPr>
        <w:t>12</w:t>
      </w:r>
      <w:r w:rsidRPr="0045317C">
        <w:rPr>
          <w:sz w:val="16"/>
          <w:szCs w:val="16"/>
        </w:rPr>
        <w:t>)</w:t>
      </w:r>
    </w:p>
    <w:p w:rsidR="00992DC2" w:rsidRPr="00F72AF2" w:rsidRDefault="00AB48F8" w:rsidP="00AA3F4E">
      <w:pPr>
        <w:pStyle w:val="AppArttitle"/>
        <w:keepNext w:val="0"/>
        <w:keepLines w:val="0"/>
      </w:pPr>
      <w:r w:rsidRPr="00F72AF2">
        <w:t>Procédures</w:t>
      </w:r>
      <w:r>
        <w:t xml:space="preserve"> applicables à </w:t>
      </w:r>
      <w:r w:rsidRPr="00F72AF2">
        <w:t>la conversion d</w:t>
      </w:r>
      <w:r>
        <w:t>'</w:t>
      </w:r>
      <w:r w:rsidRPr="00F72AF2">
        <w:t xml:space="preserve">un allotissement en assignation, </w:t>
      </w:r>
      <w:r>
        <w:br/>
        <w:t xml:space="preserve">à la mise en œuvre </w:t>
      </w:r>
      <w:r w:rsidRPr="00F72AF2">
        <w:t>d</w:t>
      </w:r>
      <w:r>
        <w:t>'</w:t>
      </w:r>
      <w:r w:rsidRPr="00F72AF2">
        <w:t xml:space="preserve">un système additionnel ou </w:t>
      </w:r>
      <w:r>
        <w:t xml:space="preserve">à </w:t>
      </w:r>
      <w:r w:rsidRPr="00F72AF2">
        <w:t xml:space="preserve">la modification </w:t>
      </w:r>
      <w:r>
        <w:br/>
      </w:r>
      <w:r w:rsidRPr="00F72AF2">
        <w:t>d</w:t>
      </w:r>
      <w:r>
        <w:t>'</w:t>
      </w:r>
      <w:r w:rsidRPr="00F72AF2">
        <w:t>une assignation figurant dans la Liste</w:t>
      </w:r>
      <w:r w:rsidR="005A3A4D" w:rsidRPr="00E3609D">
        <w:rPr>
          <w:b w:val="0"/>
          <w:bCs/>
          <w:sz w:val="16"/>
        </w:rPr>
        <w:t> </w:t>
      </w:r>
      <w:r w:rsidRPr="00E3609D">
        <w:rPr>
          <w:b w:val="0"/>
          <w:bCs/>
          <w:sz w:val="16"/>
        </w:rPr>
        <w:t>    (CMR-</w:t>
      </w:r>
      <w:del w:id="6" w:author="Deturche, Léa" w:date="2015-10-21T09:43:00Z">
        <w:r w:rsidRPr="00E3609D" w:rsidDel="006D6CB2">
          <w:rPr>
            <w:b w:val="0"/>
            <w:bCs/>
            <w:sz w:val="16"/>
          </w:rPr>
          <w:delText>07</w:delText>
        </w:r>
      </w:del>
      <w:ins w:id="7" w:author="Deturche, Léa" w:date="2015-10-21T09:43:00Z">
        <w:r w:rsidR="006D6CB2">
          <w:rPr>
            <w:b w:val="0"/>
            <w:bCs/>
            <w:sz w:val="16"/>
          </w:rPr>
          <w:t>15</w:t>
        </w:r>
      </w:ins>
      <w:r w:rsidRPr="00E3609D">
        <w:rPr>
          <w:b w:val="0"/>
          <w:bCs/>
          <w:sz w:val="16"/>
        </w:rPr>
        <w:t>)</w:t>
      </w:r>
    </w:p>
    <w:p w:rsidR="005A3A4D" w:rsidRPr="0065326A" w:rsidDel="0065326A" w:rsidRDefault="00AB48F8" w:rsidP="00821C4E">
      <w:pPr>
        <w:rPr>
          <w:del w:id="8" w:author="Deturche, Léa" w:date="2015-10-21T10:28:00Z"/>
          <w:lang w:val="fr-CH"/>
          <w:rPrChange w:id="9" w:author="Deturche, Léa" w:date="2015-10-21T10:28:00Z">
            <w:rPr>
              <w:del w:id="10" w:author="Deturche, Léa" w:date="2015-10-21T10:28:00Z"/>
              <w:b/>
            </w:rPr>
          </w:rPrChange>
        </w:rPr>
        <w:pPrChange w:id="11" w:author="Meda, Sylvie" w:date="2015-10-22T09:38:00Z">
          <w:pPr>
            <w:spacing w:line="480" w:lineRule="auto"/>
          </w:pPr>
        </w:pPrChange>
      </w:pPr>
      <w:r>
        <w:rPr>
          <w:lang w:val="fr-CH"/>
        </w:rPr>
        <w:t>6.14</w:t>
      </w:r>
      <w:r>
        <w:rPr>
          <w:lang w:val="fr-CH"/>
        </w:rPr>
        <w:tab/>
        <w:t>Dès réception d'une demande d'assistance aux termes du § 6.13, le Bureau envoie un rappel à l'administrati</w:t>
      </w:r>
      <w:r w:rsidR="00821C4E">
        <w:rPr>
          <w:lang w:val="fr-CH"/>
        </w:rPr>
        <w:t xml:space="preserve">on </w:t>
      </w:r>
      <w:r>
        <w:rPr>
          <w:lang w:val="fr-CH"/>
        </w:rPr>
        <w:t>qui n'a pas répondu, lui demandant de faire connaître sa décision</w:t>
      </w:r>
      <w:del w:id="12" w:author="Meda, Sylvie" w:date="2015-10-22T09:36:00Z">
        <w:r w:rsidDel="00BA1B6C">
          <w:rPr>
            <w:lang w:val="fr-CH"/>
          </w:rPr>
          <w:delText>.</w:delText>
        </w:r>
      </w:del>
      <w:ins w:id="13" w:author="Meda, Sylvie" w:date="2015-10-22T09:38:00Z">
        <w:r w:rsidR="00BA1B6C">
          <w:rPr>
            <w:lang w:val="fr-CH"/>
          </w:rPr>
          <w:t>,</w:t>
        </w:r>
      </w:ins>
      <w:ins w:id="14" w:author="Deturche-Nazer, Anne-Marie" w:date="2015-10-21T16:32:00Z">
        <w:r w:rsidR="00FA7C9E">
          <w:rPr>
            <w:lang w:val="fr-CH"/>
          </w:rPr>
          <w:t xml:space="preserve"> ainsi que les résultats de son analyse de compatibilité</w:t>
        </w:r>
      </w:ins>
      <w:ins w:id="15" w:author="Germain, Catherine" w:date="2015-10-26T19:03:00Z">
        <w:r w:rsidR="00854423">
          <w:rPr>
            <w:lang w:val="fr-CH"/>
          </w:rPr>
          <w:t xml:space="preserve"> </w:t>
        </w:r>
      </w:ins>
      <w:ins w:id="16" w:author="Deturche-Nazer, Anne-Marie" w:date="2015-10-21T16:32:00Z">
        <w:r w:rsidR="00FA7C9E">
          <w:rPr>
            <w:lang w:val="fr-CH"/>
          </w:rPr>
          <w:t>indiquant l</w:t>
        </w:r>
      </w:ins>
      <w:ins w:id="17" w:author="Deturche-Nazer, Anne-Marie" w:date="2015-10-21T16:33:00Z">
        <w:r w:rsidR="00FA7C9E">
          <w:rPr>
            <w:lang w:val="fr-CH"/>
          </w:rPr>
          <w:t xml:space="preserve">es </w:t>
        </w:r>
      </w:ins>
      <w:ins w:id="18" w:author="Deturche-Nazer, Anne-Marie" w:date="2015-10-21T16:32:00Z">
        <w:r w:rsidR="00FA7C9E">
          <w:rPr>
            <w:lang w:val="fr-CH"/>
          </w:rPr>
          <w:t>modification</w:t>
        </w:r>
      </w:ins>
      <w:ins w:id="19" w:author="Deturche-Nazer, Anne-Marie" w:date="2015-10-21T16:33:00Z">
        <w:r w:rsidR="00FA7C9E">
          <w:rPr>
            <w:lang w:val="fr-CH"/>
          </w:rPr>
          <w:t>s apportées aux valeurs/limites visées au §</w:t>
        </w:r>
      </w:ins>
      <w:ins w:id="20" w:author="Deturche, Léa" w:date="2015-10-21T10:28:00Z">
        <w:r w:rsidR="0065326A" w:rsidRPr="0065326A">
          <w:rPr>
            <w:color w:val="FF0000"/>
            <w:lang w:val="fr-CH"/>
            <w:rPrChange w:id="21" w:author="Deturche, Léa" w:date="2015-10-21T10:28:00Z">
              <w:rPr>
                <w:color w:val="FF0000"/>
                <w:lang w:val="en-US"/>
              </w:rPr>
            </w:rPrChange>
          </w:rPr>
          <w:t xml:space="preserve"> </w:t>
        </w:r>
      </w:ins>
      <w:ins w:id="22" w:author="Deturche-Nazer, Anne-Marie" w:date="2015-10-21T16:33:00Z">
        <w:r w:rsidR="00FA7C9E" w:rsidRPr="00AC2C05">
          <w:rPr>
            <w:color w:val="FF0000"/>
            <w:lang w:val="fr-CH"/>
          </w:rPr>
          <w:t xml:space="preserve">2.3 </w:t>
        </w:r>
        <w:r w:rsidR="00FA7C9E">
          <w:rPr>
            <w:color w:val="FF0000"/>
            <w:lang w:val="fr-CH"/>
          </w:rPr>
          <w:t>de l</w:t>
        </w:r>
      </w:ins>
      <w:ins w:id="23" w:author="Germain, Catherine" w:date="2015-10-26T18:46:00Z">
        <w:r w:rsidR="00821C4E">
          <w:rPr>
            <w:color w:val="FF0000"/>
            <w:lang w:val="fr-CH"/>
          </w:rPr>
          <w:t>'</w:t>
        </w:r>
      </w:ins>
      <w:ins w:id="24" w:author="Deturche-Nazer, Anne-Marie" w:date="2015-10-21T16:33:00Z">
        <w:r w:rsidR="00FA7C9E" w:rsidRPr="00AC2C05">
          <w:rPr>
            <w:color w:val="FF0000"/>
            <w:lang w:val="fr-CH"/>
          </w:rPr>
          <w:t>Annex</w:t>
        </w:r>
        <w:r w:rsidR="00FA7C9E">
          <w:rPr>
            <w:color w:val="FF0000"/>
            <w:lang w:val="fr-CH"/>
          </w:rPr>
          <w:t>e</w:t>
        </w:r>
        <w:r w:rsidR="00FA7C9E" w:rsidRPr="00AC2C05">
          <w:rPr>
            <w:color w:val="FF0000"/>
            <w:lang w:val="fr-CH"/>
          </w:rPr>
          <w:t xml:space="preserve"> 4 </w:t>
        </w:r>
        <w:r w:rsidR="00FA7C9E">
          <w:rPr>
            <w:color w:val="FF0000"/>
            <w:lang w:val="fr-CH"/>
          </w:rPr>
          <w:t>de l</w:t>
        </w:r>
      </w:ins>
      <w:ins w:id="25" w:author="Germain, Catherine" w:date="2015-10-26T18:47:00Z">
        <w:r w:rsidR="00821C4E">
          <w:rPr>
            <w:color w:val="FF0000"/>
            <w:lang w:val="fr-CH"/>
          </w:rPr>
          <w:t>'</w:t>
        </w:r>
      </w:ins>
      <w:ins w:id="26" w:author="Deturche-Nazer, Anne-Marie" w:date="2015-10-21T16:33:00Z">
        <w:r w:rsidR="00FA7C9E" w:rsidRPr="00AC2C05">
          <w:rPr>
            <w:color w:val="FF0000"/>
            <w:lang w:val="fr-CH"/>
          </w:rPr>
          <w:t>Appendi</w:t>
        </w:r>
        <w:r w:rsidR="00FA7C9E">
          <w:rPr>
            <w:color w:val="FF0000"/>
            <w:lang w:val="fr-CH"/>
          </w:rPr>
          <w:t>ce</w:t>
        </w:r>
        <w:r w:rsidR="00FA7C9E" w:rsidRPr="00AC2C05">
          <w:rPr>
            <w:color w:val="FF0000"/>
            <w:lang w:val="fr-CH"/>
          </w:rPr>
          <w:t xml:space="preserve"> </w:t>
        </w:r>
        <w:r w:rsidR="00FA7C9E" w:rsidRPr="00AC2C05">
          <w:rPr>
            <w:b/>
            <w:bCs/>
            <w:color w:val="FF0000"/>
            <w:lang w:val="fr-CH"/>
          </w:rPr>
          <w:t>30B</w:t>
        </w:r>
      </w:ins>
      <w:ins w:id="27" w:author="Meda, Sylvie" w:date="2015-10-22T09:39:00Z">
        <w:r w:rsidR="00BA1B6C" w:rsidRPr="00BA1B6C">
          <w:rPr>
            <w:color w:val="FF0000"/>
            <w:lang w:val="fr-CH"/>
            <w:rPrChange w:id="28" w:author="Meda, Sylvie" w:date="2015-10-22T09:39:00Z">
              <w:rPr>
                <w:b/>
                <w:bCs/>
                <w:color w:val="FF0000"/>
                <w:lang w:val="fr-CH"/>
              </w:rPr>
            </w:rPrChange>
          </w:rPr>
          <w:t>,</w:t>
        </w:r>
      </w:ins>
      <w:ins w:id="29" w:author="Deturche-Nazer, Anne-Marie" w:date="2015-10-21T16:33:00Z">
        <w:r w:rsidR="00FA7C9E">
          <w:rPr>
            <w:b/>
            <w:bCs/>
            <w:color w:val="FF0000"/>
            <w:lang w:val="fr-CH"/>
          </w:rPr>
          <w:t xml:space="preserve"> </w:t>
        </w:r>
      </w:ins>
      <w:ins w:id="30" w:author="Deturche-Nazer, Anne-Marie" w:date="2015-10-21T16:34:00Z">
        <w:r w:rsidR="00FA7C9E" w:rsidRPr="00FA7C9E">
          <w:rPr>
            <w:color w:val="FF0000"/>
            <w:lang w:val="fr-CH"/>
            <w:rPrChange w:id="31" w:author="Deturche-Nazer, Anne-Marie" w:date="2015-10-21T16:34:00Z">
              <w:rPr>
                <w:b/>
                <w:bCs/>
                <w:color w:val="FF0000"/>
                <w:lang w:val="fr-CH"/>
              </w:rPr>
            </w:rPrChange>
          </w:rPr>
          <w:t xml:space="preserve">ou la réduction de </w:t>
        </w:r>
      </w:ins>
      <w:ins w:id="32" w:author="Deturche-Nazer, Anne-Marie" w:date="2015-10-21T16:36:00Z">
        <w:r w:rsidR="00717A20">
          <w:rPr>
            <w:color w:val="FF0000"/>
            <w:lang w:val="fr-CH"/>
          </w:rPr>
          <w:t>c</w:t>
        </w:r>
      </w:ins>
      <w:ins w:id="33" w:author="Deturche-Nazer, Anne-Marie" w:date="2015-10-21T16:34:00Z">
        <w:r w:rsidR="00FA7C9E" w:rsidRPr="00FA7C9E">
          <w:rPr>
            <w:color w:val="FF0000"/>
            <w:lang w:val="fr-CH"/>
            <w:rPrChange w:id="34" w:author="Deturche-Nazer, Anne-Marie" w:date="2015-10-21T16:34:00Z">
              <w:rPr>
                <w:b/>
                <w:bCs/>
                <w:color w:val="FF0000"/>
                <w:lang w:val="fr-CH"/>
              </w:rPr>
            </w:rPrChange>
          </w:rPr>
          <w:t>es valeurs/limites</w:t>
        </w:r>
      </w:ins>
      <w:ins w:id="35" w:author="Deturche-Nazer, Anne-Marie" w:date="2015-10-21T16:33:00Z">
        <w:r w:rsidR="00FA7C9E" w:rsidRPr="00AC2C05">
          <w:rPr>
            <w:lang w:val="fr-CH"/>
          </w:rPr>
          <w:t>.</w:t>
        </w:r>
      </w:ins>
    </w:p>
    <w:p w:rsidR="005A3A4D" w:rsidRDefault="00AB48F8" w:rsidP="00AA3F4E">
      <w:pPr>
        <w:pStyle w:val="Reasons"/>
      </w:pPr>
      <w:r>
        <w:rPr>
          <w:b/>
        </w:rPr>
        <w:t>Motifs:</w:t>
      </w:r>
      <w:r>
        <w:tab/>
      </w:r>
    </w:p>
    <w:p w:rsidR="0065326A" w:rsidRPr="00BA1B6C" w:rsidRDefault="00717A20" w:rsidP="00AA3F4E">
      <w:pPr>
        <w:rPr>
          <w:lang w:val="fr-CH"/>
        </w:rPr>
      </w:pPr>
      <w:r w:rsidRPr="00BA1B6C">
        <w:rPr>
          <w:lang w:val="fr-CH"/>
        </w:rPr>
        <w:t>Le §</w:t>
      </w:r>
      <w:r w:rsidR="0065326A" w:rsidRPr="00BA1B6C">
        <w:rPr>
          <w:lang w:val="fr-CH"/>
        </w:rPr>
        <w:t xml:space="preserve"> 6.10</w:t>
      </w:r>
      <w:r w:rsidRPr="00BA1B6C">
        <w:rPr>
          <w:lang w:val="fr-CH"/>
        </w:rPr>
        <w:t xml:space="preserve"> de</w:t>
      </w:r>
      <w:r w:rsidR="0065326A" w:rsidRPr="00BA1B6C">
        <w:rPr>
          <w:lang w:val="fr-CH"/>
        </w:rPr>
        <w:t xml:space="preserve"> </w:t>
      </w:r>
      <w:r w:rsidRPr="00BA1B6C">
        <w:rPr>
          <w:lang w:val="fr-CH"/>
        </w:rPr>
        <w:t>l</w:t>
      </w:r>
      <w:r w:rsidR="00821C4E">
        <w:rPr>
          <w:lang w:val="fr-CH"/>
        </w:rPr>
        <w:t>'</w:t>
      </w:r>
      <w:r w:rsidR="0065326A" w:rsidRPr="00BA1B6C">
        <w:rPr>
          <w:lang w:val="fr-CH"/>
        </w:rPr>
        <w:t xml:space="preserve">Article 6 </w:t>
      </w:r>
      <w:r w:rsidRPr="00BA1B6C">
        <w:rPr>
          <w:lang w:val="fr-CH"/>
        </w:rPr>
        <w:t>de</w:t>
      </w:r>
      <w:r w:rsidR="0065326A" w:rsidRPr="00BA1B6C">
        <w:rPr>
          <w:lang w:val="fr-CH"/>
        </w:rPr>
        <w:t xml:space="preserve"> </w:t>
      </w:r>
      <w:r w:rsidRPr="00BA1B6C">
        <w:rPr>
          <w:lang w:val="fr-CH"/>
        </w:rPr>
        <w:t>l</w:t>
      </w:r>
      <w:r w:rsidR="00821C4E">
        <w:rPr>
          <w:lang w:val="fr-CH"/>
        </w:rPr>
        <w:t>'</w:t>
      </w:r>
      <w:r w:rsidRPr="00BA1B6C">
        <w:rPr>
          <w:lang w:val="fr-CH"/>
        </w:rPr>
        <w:t xml:space="preserve">Appendice </w:t>
      </w:r>
      <w:r w:rsidR="0065326A" w:rsidRPr="00BA1B6C">
        <w:rPr>
          <w:lang w:val="fr-CH"/>
        </w:rPr>
        <w:t xml:space="preserve">30B </w:t>
      </w:r>
      <w:r w:rsidR="00821C4E">
        <w:rPr>
          <w:lang w:val="fr-CH"/>
        </w:rPr>
        <w:t>dispose ce qui suit:</w:t>
      </w:r>
    </w:p>
    <w:p w:rsidR="00906083" w:rsidRPr="00906083" w:rsidRDefault="00717A20" w:rsidP="00AA3F4E">
      <w:pPr>
        <w:rPr>
          <w:b/>
          <w:bCs/>
          <w:i/>
          <w:iCs/>
          <w:u w:val="single"/>
          <w:lang w:val="fr-CH"/>
        </w:rPr>
      </w:pPr>
      <w:r>
        <w:rPr>
          <w:b/>
          <w:bCs/>
          <w:i/>
          <w:iCs/>
          <w:u w:val="single"/>
          <w:lang w:val="fr-CH"/>
        </w:rPr>
        <w:t xml:space="preserve">Début de citation </w:t>
      </w:r>
    </w:p>
    <w:p w:rsidR="0065326A" w:rsidRPr="007B0E56" w:rsidRDefault="00906083" w:rsidP="007B0E56">
      <w:pPr>
        <w:rPr>
          <w:rFonts w:ascii="TimesNewRoman" w:hAnsi="TimesNewRoman" w:cs="TimesNewRoman"/>
          <w:i/>
          <w:iCs/>
          <w:szCs w:val="24"/>
          <w:lang w:val="fr-CH" w:eastAsia="zh-CN"/>
        </w:rPr>
      </w:pPr>
      <w:r w:rsidRPr="00906083">
        <w:rPr>
          <w:i/>
          <w:iCs/>
          <w:lang w:val="fr-CH"/>
        </w:rPr>
        <w:t>«</w:t>
      </w:r>
      <w:r w:rsidR="0065326A" w:rsidRPr="0065326A">
        <w:rPr>
          <w:rFonts w:ascii="TimesNewRoman" w:hAnsi="TimesNewRoman" w:cs="TimesNewRoman"/>
          <w:i/>
          <w:iCs/>
          <w:szCs w:val="24"/>
          <w:lang w:val="fr-CH" w:eastAsia="zh-CN"/>
        </w:rPr>
        <w:t>6.10</w:t>
      </w:r>
      <w:r w:rsidR="0065326A" w:rsidRPr="0065326A">
        <w:rPr>
          <w:rFonts w:ascii="TimesNewRoman" w:hAnsi="TimesNewRoman" w:cs="TimesNewRoman"/>
          <w:i/>
          <w:iCs/>
          <w:szCs w:val="24"/>
          <w:lang w:val="fr-CH" w:eastAsia="zh-CN"/>
        </w:rPr>
        <w:tab/>
        <w:t>Les observations des administrations identifiées comme étant affectées au titre du § 6.5</w:t>
      </w:r>
      <w:r w:rsidR="007B0E56">
        <w:rPr>
          <w:rFonts w:ascii="TimesNewRoman" w:hAnsi="TimesNewRoman" w:cs="TimesNewRoman"/>
          <w:i/>
          <w:iCs/>
          <w:szCs w:val="24"/>
          <w:lang w:val="fr-CH" w:eastAsia="zh-CN"/>
        </w:rPr>
        <w:t xml:space="preserve"> </w:t>
      </w:r>
      <w:r w:rsidR="0065326A" w:rsidRPr="0065326A">
        <w:rPr>
          <w:rFonts w:ascii="TimesNewRoman" w:hAnsi="TimesNewRoman" w:cs="TimesNewRoman"/>
          <w:i/>
          <w:iCs/>
          <w:szCs w:val="24"/>
          <w:lang w:val="fr-CH" w:eastAsia="zh-CN"/>
        </w:rPr>
        <w:t>dans la Section spéciale de la BR IFIC publiée conformément au § 6.7 sont envoyées au Bureau et a</w:t>
      </w:r>
      <w:r w:rsidR="007B0E56">
        <w:rPr>
          <w:rFonts w:ascii="TimesNewRoman" w:hAnsi="TimesNewRoman" w:cs="TimesNewRoman"/>
          <w:i/>
          <w:iCs/>
          <w:szCs w:val="24"/>
          <w:lang w:val="fr-CH" w:eastAsia="zh-CN"/>
        </w:rPr>
        <w:t xml:space="preserve"> </w:t>
      </w:r>
      <w:r w:rsidR="0065326A" w:rsidRPr="0065326A">
        <w:rPr>
          <w:rFonts w:ascii="TimesNewRoman" w:hAnsi="TimesNewRoman" w:cs="TimesNewRoman"/>
          <w:i/>
          <w:iCs/>
          <w:szCs w:val="24"/>
          <w:lang w:val="fr-CH" w:eastAsia="zh-CN"/>
        </w:rPr>
        <w:t>l'administration qui a soumis la fiche de notification au titre du § 6.1, soit directement, soit par</w:t>
      </w:r>
      <w:r w:rsidR="007B0E56">
        <w:rPr>
          <w:rFonts w:ascii="TimesNewRoman" w:hAnsi="TimesNewRoman" w:cs="TimesNewRoman"/>
          <w:i/>
          <w:iCs/>
          <w:szCs w:val="24"/>
          <w:lang w:val="fr-CH" w:eastAsia="zh-CN"/>
        </w:rPr>
        <w:t xml:space="preserve"> </w:t>
      </w:r>
      <w:r w:rsidR="0065326A" w:rsidRPr="0065326A">
        <w:rPr>
          <w:rFonts w:ascii="TimesNewRoman" w:hAnsi="TimesNewRoman" w:cs="TimesNewRoman"/>
          <w:i/>
          <w:iCs/>
          <w:szCs w:val="24"/>
          <w:lang w:val="fr-CH" w:eastAsia="zh-CN"/>
        </w:rPr>
        <w:t>l'intermédiaire du Bureau, dans un délai de quatre mois à compter de la date de publication dans la</w:t>
      </w:r>
      <w:r w:rsidR="007B0E56">
        <w:rPr>
          <w:rFonts w:ascii="TimesNewRoman" w:hAnsi="TimesNewRoman" w:cs="TimesNewRoman"/>
          <w:i/>
          <w:iCs/>
          <w:szCs w:val="24"/>
          <w:lang w:val="fr-CH" w:eastAsia="zh-CN"/>
        </w:rPr>
        <w:t xml:space="preserve"> BR </w:t>
      </w:r>
      <w:r w:rsidR="0065326A" w:rsidRPr="0065326A">
        <w:rPr>
          <w:rFonts w:ascii="TimesNewRoman" w:hAnsi="TimesNewRoman" w:cs="TimesNewRoman"/>
          <w:i/>
          <w:iCs/>
          <w:szCs w:val="24"/>
          <w:lang w:val="fr-CH" w:eastAsia="zh-CN"/>
        </w:rPr>
        <w:t xml:space="preserve">IFIC. </w:t>
      </w:r>
      <w:r w:rsidR="0065326A" w:rsidRPr="0065326A">
        <w:rPr>
          <w:rFonts w:ascii="TimesNewRoman" w:hAnsi="TimesNewRoman" w:cs="TimesNewRoman"/>
          <w:b/>
          <w:bCs/>
          <w:i/>
          <w:iCs/>
          <w:szCs w:val="24"/>
          <w:lang w:val="fr-CH" w:eastAsia="zh-CN"/>
        </w:rPr>
        <w:t>Si elle ne répond pas dans ce délai de quatre mois, cette administration est réputée ne pas</w:t>
      </w:r>
      <w:r w:rsidR="0065326A">
        <w:rPr>
          <w:rFonts w:ascii="TimesNewRoman" w:hAnsi="TimesNewRoman" w:cs="TimesNewRoman"/>
          <w:b/>
          <w:bCs/>
          <w:i/>
          <w:iCs/>
          <w:szCs w:val="24"/>
          <w:lang w:val="fr-CH" w:eastAsia="zh-CN"/>
        </w:rPr>
        <w:t xml:space="preserve"> </w:t>
      </w:r>
      <w:r w:rsidR="0065326A" w:rsidRPr="0065326A">
        <w:rPr>
          <w:rFonts w:ascii="TimesNewRoman" w:hAnsi="TimesNewRoman" w:cs="TimesNewRoman"/>
          <w:b/>
          <w:bCs/>
          <w:i/>
          <w:iCs/>
          <w:szCs w:val="24"/>
          <w:lang w:val="fr-CH" w:eastAsia="zh-CN"/>
        </w:rPr>
        <w:t xml:space="preserve">avoir accepté l'assignation proposée, </w:t>
      </w:r>
      <w:r w:rsidR="00550345">
        <w:rPr>
          <w:rFonts w:ascii="TimesNewRoman" w:hAnsi="TimesNewRoman" w:cs="TimesNewRoman"/>
          <w:b/>
          <w:bCs/>
          <w:i/>
          <w:iCs/>
          <w:szCs w:val="24"/>
          <w:lang w:val="fr-CH" w:eastAsia="zh-CN"/>
        </w:rPr>
        <w:t xml:space="preserve">à </w:t>
      </w:r>
      <w:r w:rsidR="0065326A" w:rsidRPr="0065326A">
        <w:rPr>
          <w:rFonts w:ascii="TimesNewRoman" w:hAnsi="TimesNewRoman" w:cs="TimesNewRoman"/>
          <w:b/>
          <w:bCs/>
          <w:i/>
          <w:iCs/>
          <w:szCs w:val="24"/>
          <w:lang w:val="fr-CH" w:eastAsia="zh-CN"/>
        </w:rPr>
        <w:t>moins q</w:t>
      </w:r>
      <w:r w:rsidR="00550345">
        <w:rPr>
          <w:rFonts w:ascii="TimesNewRoman" w:hAnsi="TimesNewRoman" w:cs="TimesNewRoman"/>
          <w:b/>
          <w:bCs/>
          <w:i/>
          <w:iCs/>
          <w:szCs w:val="24"/>
          <w:lang w:val="fr-CH" w:eastAsia="zh-CN"/>
        </w:rPr>
        <w:t>ue les dispositions des § 6.13 à</w:t>
      </w:r>
      <w:r w:rsidR="0065326A" w:rsidRPr="0065326A">
        <w:rPr>
          <w:rFonts w:ascii="TimesNewRoman" w:hAnsi="TimesNewRoman" w:cs="TimesNewRoman"/>
          <w:b/>
          <w:bCs/>
          <w:i/>
          <w:iCs/>
          <w:szCs w:val="24"/>
          <w:lang w:val="fr-CH" w:eastAsia="zh-CN"/>
        </w:rPr>
        <w:t xml:space="preserve"> 6.15 soient appliquées.</w:t>
      </w:r>
      <w:r>
        <w:rPr>
          <w:rFonts w:ascii="TimesNewRoman" w:hAnsi="TimesNewRoman" w:cs="TimesNewRoman"/>
          <w:b/>
          <w:bCs/>
          <w:i/>
          <w:iCs/>
          <w:szCs w:val="24"/>
          <w:lang w:val="fr-CH" w:eastAsia="zh-CN"/>
        </w:rPr>
        <w:t>»</w:t>
      </w:r>
    </w:p>
    <w:p w:rsidR="00717A20" w:rsidRPr="00BA1B6C" w:rsidRDefault="00550345" w:rsidP="00AA3F4E">
      <w:pPr>
        <w:rPr>
          <w:b/>
          <w:bCs/>
          <w:i/>
          <w:iCs/>
          <w:u w:val="single"/>
          <w:lang w:val="fr-CH"/>
        </w:rPr>
      </w:pPr>
      <w:r>
        <w:rPr>
          <w:b/>
          <w:bCs/>
          <w:i/>
          <w:iCs/>
          <w:u w:val="single"/>
          <w:lang w:val="fr-CH"/>
        </w:rPr>
        <w:t>Fin de citation</w:t>
      </w:r>
    </w:p>
    <w:p w:rsidR="00906083" w:rsidRPr="00BA1B6C" w:rsidRDefault="00717A20" w:rsidP="00821C4E">
      <w:pPr>
        <w:rPr>
          <w:lang w:val="fr-CH"/>
        </w:rPr>
        <w:pPrChange w:id="36" w:author="Meda, Sylvie" w:date="2015-10-22T11:08:00Z">
          <w:pPr>
            <w:spacing w:line="480" w:lineRule="auto"/>
          </w:pPr>
        </w:pPrChange>
      </w:pPr>
      <w:ins w:id="37" w:author="Deturche-Nazer, Anne-Marie" w:date="2015-10-21T16:37:00Z">
        <w:r w:rsidRPr="00BA1B6C">
          <w:rPr>
            <w:lang w:val="fr-CH"/>
          </w:rPr>
          <w:t xml:space="preserve">Le § </w:t>
        </w:r>
      </w:ins>
      <w:r w:rsidR="00906083" w:rsidRPr="00BA1B6C">
        <w:rPr>
          <w:lang w:val="fr-CH"/>
        </w:rPr>
        <w:t>6.13</w:t>
      </w:r>
      <w:r w:rsidRPr="00BA1B6C">
        <w:rPr>
          <w:lang w:val="fr-CH"/>
        </w:rPr>
        <w:t xml:space="preserve"> de l</w:t>
      </w:r>
      <w:r w:rsidR="00821C4E">
        <w:rPr>
          <w:lang w:val="fr-CH"/>
        </w:rPr>
        <w:t>'</w:t>
      </w:r>
      <w:r w:rsidR="00906083" w:rsidRPr="00BA1B6C">
        <w:rPr>
          <w:lang w:val="fr-CH"/>
        </w:rPr>
        <w:t>Article 6</w:t>
      </w:r>
      <w:r w:rsidR="00821C4E">
        <w:rPr>
          <w:lang w:val="fr-CH"/>
        </w:rPr>
        <w:t xml:space="preserve"> </w:t>
      </w:r>
      <w:r w:rsidRPr="00BA1B6C">
        <w:rPr>
          <w:lang w:val="fr-CH"/>
        </w:rPr>
        <w:t>du même</w:t>
      </w:r>
      <w:r w:rsidR="00821C4E">
        <w:rPr>
          <w:lang w:val="fr-CH"/>
        </w:rPr>
        <w:t xml:space="preserve"> </w:t>
      </w:r>
      <w:r w:rsidRPr="00BA1B6C">
        <w:rPr>
          <w:lang w:val="fr-CH"/>
        </w:rPr>
        <w:t>Appendice</w:t>
      </w:r>
      <w:r w:rsidR="00906083" w:rsidRPr="00BA1B6C">
        <w:rPr>
          <w:lang w:val="fr-CH"/>
        </w:rPr>
        <w:t xml:space="preserve"> </w:t>
      </w:r>
      <w:r w:rsidRPr="00BA1B6C">
        <w:rPr>
          <w:lang w:val="fr-CH"/>
        </w:rPr>
        <w:t>stipule</w:t>
      </w:r>
      <w:r w:rsidR="00821C4E">
        <w:rPr>
          <w:lang w:val="fr-CH"/>
        </w:rPr>
        <w:t xml:space="preserve"> </w:t>
      </w:r>
      <w:r w:rsidRPr="00BA1B6C">
        <w:rPr>
          <w:lang w:val="fr-CH"/>
        </w:rPr>
        <w:t>ce qui suit</w:t>
      </w:r>
      <w:r w:rsidR="00906083" w:rsidRPr="00BA1B6C">
        <w:rPr>
          <w:lang w:val="fr-CH"/>
        </w:rPr>
        <w:t>:</w:t>
      </w:r>
    </w:p>
    <w:p w:rsidR="00904577" w:rsidRDefault="00717A20" w:rsidP="00AA3F4E">
      <w:pPr>
        <w:rPr>
          <w:b/>
          <w:bCs/>
          <w:i/>
          <w:iCs/>
          <w:u w:val="single"/>
          <w:lang w:val="fr-CH"/>
        </w:rPr>
      </w:pPr>
      <w:r>
        <w:rPr>
          <w:b/>
          <w:bCs/>
          <w:i/>
          <w:iCs/>
          <w:u w:val="single"/>
          <w:lang w:val="fr-CH"/>
        </w:rPr>
        <w:t xml:space="preserve">Début de citation </w:t>
      </w:r>
    </w:p>
    <w:p w:rsidR="00904577" w:rsidRDefault="00904577">
      <w:pPr>
        <w:tabs>
          <w:tab w:val="clear" w:pos="1134"/>
          <w:tab w:val="clear" w:pos="1871"/>
          <w:tab w:val="clear" w:pos="2268"/>
        </w:tabs>
        <w:overflowPunct/>
        <w:spacing w:before="0"/>
        <w:textAlignment w:val="auto"/>
        <w:rPr>
          <w:rFonts w:ascii="TimesNewRoman" w:hAnsi="TimesNewRoman" w:cs="TimesNewRoman"/>
          <w:i/>
          <w:iCs/>
          <w:szCs w:val="24"/>
          <w:lang w:val="fr-CH" w:eastAsia="zh-CN"/>
        </w:rPr>
      </w:pPr>
      <w:r>
        <w:rPr>
          <w:rFonts w:ascii="TimesNewRoman" w:hAnsi="TimesNewRoman" w:cs="TimesNewRoman"/>
          <w:i/>
          <w:iCs/>
          <w:szCs w:val="24"/>
          <w:lang w:val="fr-CH" w:eastAsia="zh-CN"/>
        </w:rPr>
        <w:t>«6.13</w:t>
      </w:r>
      <w:r>
        <w:rPr>
          <w:rFonts w:ascii="TimesNewRoman" w:hAnsi="TimesNewRoman" w:cs="TimesNewRoman"/>
          <w:i/>
          <w:iCs/>
          <w:szCs w:val="24"/>
          <w:lang w:val="fr-CH" w:eastAsia="zh-CN"/>
        </w:rPr>
        <w:tab/>
      </w:r>
      <w:r w:rsidR="00CD714B" w:rsidRPr="00CD714B">
        <w:rPr>
          <w:rFonts w:ascii="TimesNewRoman" w:hAnsi="TimesNewRoman" w:cs="TimesNewRoman"/>
          <w:i/>
          <w:iCs/>
          <w:szCs w:val="24"/>
          <w:lang w:val="fr-CH" w:eastAsia="zh-CN"/>
        </w:rPr>
        <w:t>Après l'expiration du délai indiqu</w:t>
      </w:r>
      <w:r w:rsidR="00925684">
        <w:rPr>
          <w:rFonts w:ascii="TimesNewRoman" w:hAnsi="TimesNewRoman" w:cs="TimesNewRoman"/>
          <w:i/>
          <w:iCs/>
          <w:szCs w:val="24"/>
          <w:lang w:val="fr-CH" w:eastAsia="zh-CN"/>
        </w:rPr>
        <w:t>é</w:t>
      </w:r>
      <w:r w:rsidR="00CD714B" w:rsidRPr="00CD714B">
        <w:rPr>
          <w:rFonts w:ascii="TimesNewRoman" w:hAnsi="TimesNewRoman" w:cs="TimesNewRoman"/>
          <w:i/>
          <w:iCs/>
          <w:szCs w:val="24"/>
          <w:lang w:val="fr-CH" w:eastAsia="zh-CN"/>
        </w:rPr>
        <w:t xml:space="preserve"> au § 6.10, </w:t>
      </w:r>
      <w:r w:rsidR="00CD714B" w:rsidRPr="00CD714B">
        <w:rPr>
          <w:rFonts w:ascii="TimesNewRoman" w:hAnsi="TimesNewRoman" w:cs="TimesNewRoman"/>
          <w:b/>
          <w:bCs/>
          <w:i/>
          <w:iCs/>
          <w:szCs w:val="24"/>
          <w:lang w:val="fr-CH" w:eastAsia="zh-CN"/>
        </w:rPr>
        <w:t>l'administration notificatrice peut demander l'assistance du Bureau en ce qui concerne une administration qui n'a pas répondu dans ce délai.</w:t>
      </w:r>
      <w:r>
        <w:rPr>
          <w:rFonts w:ascii="TimesNewRoman" w:hAnsi="TimesNewRoman" w:cs="TimesNewRoman"/>
          <w:b/>
          <w:bCs/>
          <w:i/>
          <w:iCs/>
          <w:szCs w:val="24"/>
          <w:lang w:val="fr-CH" w:eastAsia="zh-CN"/>
        </w:rPr>
        <w:t>»</w:t>
      </w:r>
      <w:r w:rsidR="00CD714B" w:rsidRPr="00CD714B">
        <w:rPr>
          <w:rFonts w:ascii="TimesNewRoman" w:hAnsi="TimesNewRoman" w:cs="TimesNewRoman"/>
          <w:i/>
          <w:iCs/>
          <w:szCs w:val="24"/>
          <w:lang w:val="fr-CH" w:eastAsia="zh-CN"/>
        </w:rPr>
        <w:t xml:space="preserve"> </w:t>
      </w:r>
    </w:p>
    <w:p w:rsidR="00904577" w:rsidRDefault="00904577" w:rsidP="00AA3F4E">
      <w:pPr>
        <w:tabs>
          <w:tab w:val="clear" w:pos="1134"/>
          <w:tab w:val="clear" w:pos="1871"/>
          <w:tab w:val="clear" w:pos="2268"/>
        </w:tabs>
        <w:overflowPunct/>
        <w:spacing w:before="0"/>
        <w:textAlignment w:val="auto"/>
        <w:rPr>
          <w:rFonts w:ascii="TimesNewRoman" w:hAnsi="TimesNewRoman" w:cs="TimesNewRoman"/>
          <w:i/>
          <w:iCs/>
          <w:szCs w:val="24"/>
          <w:lang w:val="fr-CH" w:eastAsia="zh-CN"/>
        </w:rPr>
      </w:pPr>
    </w:p>
    <w:p w:rsidR="00717A20" w:rsidRDefault="00550345" w:rsidP="00AA3F4E">
      <w:pPr>
        <w:tabs>
          <w:tab w:val="clear" w:pos="1134"/>
          <w:tab w:val="clear" w:pos="1871"/>
          <w:tab w:val="clear" w:pos="2268"/>
        </w:tabs>
        <w:overflowPunct/>
        <w:spacing w:before="0"/>
        <w:textAlignment w:val="auto"/>
        <w:rPr>
          <w:b/>
          <w:bCs/>
          <w:i/>
          <w:iCs/>
          <w:u w:val="single"/>
          <w:lang w:val="fr-CH"/>
        </w:rPr>
      </w:pPr>
      <w:r>
        <w:rPr>
          <w:b/>
          <w:bCs/>
          <w:i/>
          <w:iCs/>
          <w:u w:val="single"/>
          <w:lang w:val="fr-CH"/>
        </w:rPr>
        <w:t>Fin de citation</w:t>
      </w:r>
    </w:p>
    <w:p w:rsidR="00CD714B" w:rsidRDefault="00904577" w:rsidP="00AA3F4E">
      <w:pPr>
        <w:tabs>
          <w:tab w:val="clear" w:pos="1134"/>
          <w:tab w:val="clear" w:pos="1871"/>
          <w:tab w:val="clear" w:pos="2268"/>
        </w:tabs>
        <w:overflowPunct/>
        <w:spacing w:before="0"/>
        <w:textAlignment w:val="auto"/>
        <w:rPr>
          <w:lang w:val="fr-CH"/>
        </w:rPr>
      </w:pPr>
      <w:r>
        <w:rPr>
          <w:lang w:val="fr-CH"/>
        </w:rPr>
        <w:t>Le</w:t>
      </w:r>
      <w:r w:rsidRPr="00D02E2C">
        <w:rPr>
          <w:lang w:val="fr-CH"/>
        </w:rPr>
        <w:t xml:space="preserve"> Bureau </w:t>
      </w:r>
      <w:r w:rsidR="00B10567">
        <w:rPr>
          <w:lang w:val="fr-CH"/>
        </w:rPr>
        <w:t xml:space="preserve">des radiocommunications, agissant </w:t>
      </w:r>
      <w:r w:rsidRPr="002573D5">
        <w:rPr>
          <w:lang w:val="fr-CH"/>
        </w:rPr>
        <w:t xml:space="preserve">conformément au </w:t>
      </w:r>
      <w:r w:rsidRPr="00D02E2C">
        <w:rPr>
          <w:lang w:val="fr-CH"/>
        </w:rPr>
        <w:t>§</w:t>
      </w:r>
      <w:r w:rsidR="005813AD">
        <w:rPr>
          <w:lang w:val="fr-CH"/>
        </w:rPr>
        <w:t xml:space="preserve"> 6.14</w:t>
      </w:r>
      <w:r w:rsidRPr="002573D5">
        <w:rPr>
          <w:lang w:val="fr-CH"/>
        </w:rPr>
        <w:t>,</w:t>
      </w:r>
      <w:r w:rsidRPr="00D02E2C">
        <w:rPr>
          <w:lang w:val="fr-CH"/>
        </w:rPr>
        <w:t xml:space="preserve"> </w:t>
      </w:r>
      <w:r w:rsidR="00B10567" w:rsidRPr="002573D5">
        <w:rPr>
          <w:lang w:val="fr-CH"/>
        </w:rPr>
        <w:t>envoie</w:t>
      </w:r>
      <w:r w:rsidR="00B10567">
        <w:rPr>
          <w:lang w:val="fr-CH"/>
        </w:rPr>
        <w:t xml:space="preserve"> </w:t>
      </w:r>
      <w:r w:rsidRPr="00D02E2C">
        <w:rPr>
          <w:lang w:val="fr-CH"/>
        </w:rPr>
        <w:t xml:space="preserve">un </w:t>
      </w:r>
      <w:r>
        <w:rPr>
          <w:lang w:val="fr-CH"/>
        </w:rPr>
        <w:t>rappel</w:t>
      </w:r>
      <w:r w:rsidRPr="00D02E2C">
        <w:rPr>
          <w:lang w:val="fr-CH"/>
        </w:rPr>
        <w:t xml:space="preserve"> à l'administration qui n'a pas répondu, lui demandant de faire connaître sa décision.</w:t>
      </w:r>
    </w:p>
    <w:p w:rsidR="00904577" w:rsidRDefault="00904577" w:rsidP="00AA3F4E">
      <w:pPr>
        <w:tabs>
          <w:tab w:val="clear" w:pos="1134"/>
          <w:tab w:val="clear" w:pos="1871"/>
          <w:tab w:val="clear" w:pos="2268"/>
        </w:tabs>
        <w:overflowPunct/>
        <w:spacing w:before="0"/>
        <w:textAlignment w:val="auto"/>
        <w:rPr>
          <w:lang w:val="fr-CH"/>
        </w:rPr>
      </w:pPr>
      <w:r w:rsidRPr="00D02E2C">
        <w:rPr>
          <w:lang w:val="fr-CH"/>
        </w:rPr>
        <w:t>Quinze jours avant l'expiration du délai de trente jours d</w:t>
      </w:r>
      <w:r>
        <w:rPr>
          <w:lang w:val="fr-CH"/>
        </w:rPr>
        <w:t>ont il est question au</w:t>
      </w:r>
      <w:r w:rsidR="005813AD">
        <w:rPr>
          <w:lang w:val="fr-CH"/>
        </w:rPr>
        <w:t xml:space="preserve"> </w:t>
      </w:r>
      <w:r w:rsidR="005813AD" w:rsidRPr="00D02E2C">
        <w:rPr>
          <w:lang w:val="fr-CH"/>
        </w:rPr>
        <w:t>§</w:t>
      </w:r>
      <w:r w:rsidR="00550345">
        <w:rPr>
          <w:lang w:val="fr-CH"/>
        </w:rPr>
        <w:t> </w:t>
      </w:r>
      <w:r w:rsidR="005813AD">
        <w:rPr>
          <w:lang w:val="fr-CH"/>
        </w:rPr>
        <w:t>6.15</w:t>
      </w:r>
      <w:r w:rsidR="00821C4E">
        <w:rPr>
          <w:lang w:val="fr-CH"/>
        </w:rPr>
        <w:t>, le Bureau</w:t>
      </w:r>
      <w:r w:rsidR="00B10567">
        <w:rPr>
          <w:lang w:val="fr-CH"/>
        </w:rPr>
        <w:t>,</w:t>
      </w:r>
      <w:r w:rsidR="00B10567" w:rsidRPr="00B10567">
        <w:rPr>
          <w:lang w:val="fr-CH"/>
        </w:rPr>
        <w:t xml:space="preserve"> </w:t>
      </w:r>
      <w:r w:rsidR="00B10567">
        <w:rPr>
          <w:lang w:val="fr-CH"/>
        </w:rPr>
        <w:t xml:space="preserve">agissant </w:t>
      </w:r>
      <w:r w:rsidR="00B10567" w:rsidRPr="002573D5">
        <w:rPr>
          <w:lang w:val="fr-CH"/>
        </w:rPr>
        <w:t xml:space="preserve">conformément au </w:t>
      </w:r>
      <w:r w:rsidR="00B10567" w:rsidRPr="00D02E2C">
        <w:rPr>
          <w:lang w:val="fr-CH"/>
        </w:rPr>
        <w:t>§</w:t>
      </w:r>
      <w:r w:rsidR="00B10567">
        <w:rPr>
          <w:lang w:val="fr-CH"/>
        </w:rPr>
        <w:t xml:space="preserve"> 6.14 bis, </w:t>
      </w:r>
      <w:r w:rsidRPr="00D02E2C">
        <w:rPr>
          <w:lang w:val="fr-CH"/>
        </w:rPr>
        <w:t>envoie un rappel à l'administration susmentionnée pour attirer son attention sur les conséquences d'une absence de réponse.</w:t>
      </w:r>
    </w:p>
    <w:p w:rsidR="005813AD" w:rsidRDefault="001B0084" w:rsidP="00550345">
      <w:pPr>
        <w:tabs>
          <w:tab w:val="clear" w:pos="1134"/>
          <w:tab w:val="clear" w:pos="1871"/>
          <w:tab w:val="clear" w:pos="2268"/>
        </w:tabs>
        <w:overflowPunct/>
        <w:spacing w:before="0"/>
        <w:textAlignment w:val="auto"/>
        <w:rPr>
          <w:lang w:val="fr-CH"/>
        </w:rPr>
      </w:pPr>
      <w:r>
        <w:rPr>
          <w:lang w:val="fr-CH"/>
        </w:rPr>
        <w:t>Conformément au § 6.</w:t>
      </w:r>
      <w:r w:rsidR="00B10567">
        <w:rPr>
          <w:lang w:val="fr-CH"/>
        </w:rPr>
        <w:t>15, s</w:t>
      </w:r>
      <w:r w:rsidR="005813AD" w:rsidRPr="002573D5">
        <w:rPr>
          <w:lang w:val="fr-CH"/>
        </w:rPr>
        <w:t>i aucune décision n'est communiquée au Bureau dans les trente jours suivant la date d'envoi du ra</w:t>
      </w:r>
      <w:r w:rsidR="005813AD">
        <w:rPr>
          <w:lang w:val="fr-CH"/>
        </w:rPr>
        <w:t>ppel en application du §</w:t>
      </w:r>
      <w:r w:rsidR="00550345">
        <w:rPr>
          <w:lang w:val="fr-CH"/>
        </w:rPr>
        <w:t> </w:t>
      </w:r>
      <w:r w:rsidR="005813AD">
        <w:rPr>
          <w:lang w:val="fr-CH"/>
        </w:rPr>
        <w:t>6.14</w:t>
      </w:r>
      <w:r w:rsidR="005813AD" w:rsidRPr="002573D5">
        <w:rPr>
          <w:lang w:val="fr-CH"/>
        </w:rPr>
        <w:t>, l'administration qui n'a pas communiqué de décision est réputée avoir donné son accord à l'assignation proposée.</w:t>
      </w:r>
    </w:p>
    <w:p w:rsidR="00A7674F" w:rsidRPr="00BA1B6C" w:rsidRDefault="00B10567" w:rsidP="00AA3F4E">
      <w:pPr>
        <w:tabs>
          <w:tab w:val="clear" w:pos="1134"/>
          <w:tab w:val="clear" w:pos="1871"/>
          <w:tab w:val="clear" w:pos="2268"/>
        </w:tabs>
        <w:overflowPunct/>
        <w:spacing w:before="0"/>
        <w:textAlignment w:val="auto"/>
        <w:rPr>
          <w:lang w:val="fr-CH"/>
        </w:rPr>
      </w:pPr>
      <w:r w:rsidRPr="00BA1B6C">
        <w:rPr>
          <w:lang w:val="fr-CH"/>
        </w:rPr>
        <w:t>En d</w:t>
      </w:r>
      <w:r w:rsidR="00821C4E">
        <w:rPr>
          <w:lang w:val="fr-CH"/>
        </w:rPr>
        <w:t>'</w:t>
      </w:r>
      <w:r w:rsidRPr="00BA1B6C">
        <w:rPr>
          <w:lang w:val="fr-CH"/>
        </w:rPr>
        <w:t>autres termes, on considère que l</w:t>
      </w:r>
      <w:r w:rsidR="00821C4E">
        <w:rPr>
          <w:lang w:val="fr-CH"/>
        </w:rPr>
        <w:t>'</w:t>
      </w:r>
      <w:r w:rsidR="00925684">
        <w:rPr>
          <w:lang w:val="fr-CH"/>
        </w:rPr>
        <w:t>administration a approuvé les</w:t>
      </w:r>
      <w:r w:rsidRPr="00BA1B6C">
        <w:rPr>
          <w:lang w:val="fr-CH"/>
        </w:rPr>
        <w:t xml:space="preserve"> résultats de l</w:t>
      </w:r>
      <w:r w:rsidR="00821C4E">
        <w:rPr>
          <w:lang w:val="fr-CH"/>
        </w:rPr>
        <w:t>'</w:t>
      </w:r>
      <w:r w:rsidRPr="00BA1B6C">
        <w:rPr>
          <w:lang w:val="fr-CH"/>
        </w:rPr>
        <w:t>application de la procédure pertinente et de l</w:t>
      </w:r>
      <w:r w:rsidR="00821C4E">
        <w:rPr>
          <w:lang w:val="fr-CH"/>
        </w:rPr>
        <w:t>'</w:t>
      </w:r>
      <w:r w:rsidRPr="00BA1B6C">
        <w:rPr>
          <w:lang w:val="fr-CH"/>
        </w:rPr>
        <w:t>analyse des b</w:t>
      </w:r>
      <w:r w:rsidR="006D6DB5">
        <w:rPr>
          <w:lang w:val="fr-CH"/>
        </w:rPr>
        <w:t>rouillages qui lui est associée</w:t>
      </w:r>
      <w:r w:rsidR="00550345">
        <w:rPr>
          <w:lang w:val="fr-CH"/>
        </w:rPr>
        <w:t>.</w:t>
      </w:r>
    </w:p>
    <w:p w:rsidR="00A7674F" w:rsidRPr="00BA1B6C" w:rsidRDefault="006D6DB5" w:rsidP="00AA3F4E">
      <w:pPr>
        <w:rPr>
          <w:lang w:val="fr-CH"/>
        </w:rPr>
      </w:pPr>
      <w:r>
        <w:rPr>
          <w:lang w:val="fr-CH"/>
        </w:rPr>
        <w:lastRenderedPageBreak/>
        <w:t>Cette analyse fera</w:t>
      </w:r>
      <w:r w:rsidR="00B10567" w:rsidRPr="00BA1B6C">
        <w:rPr>
          <w:lang w:val="fr-CH"/>
        </w:rPr>
        <w:t xml:space="preserve"> ressortir les brouillages susceptibles d</w:t>
      </w:r>
      <w:r w:rsidR="00821C4E">
        <w:rPr>
          <w:lang w:val="fr-CH"/>
        </w:rPr>
        <w:t>'</w:t>
      </w:r>
      <w:r>
        <w:rPr>
          <w:lang w:val="fr-CH"/>
        </w:rPr>
        <w:t>avoir été</w:t>
      </w:r>
      <w:r w:rsidR="00B10567" w:rsidRPr="00BA1B6C">
        <w:rPr>
          <w:lang w:val="fr-CH"/>
        </w:rPr>
        <w:t xml:space="preserve"> causés à l</w:t>
      </w:r>
      <w:r>
        <w:rPr>
          <w:lang w:val="fr-CH"/>
        </w:rPr>
        <w:t>'all</w:t>
      </w:r>
      <w:r w:rsidR="00B10567" w:rsidRPr="00BA1B6C">
        <w:rPr>
          <w:lang w:val="fr-CH"/>
        </w:rPr>
        <w:t>otissement, aux assignations figurant dans la Liste et à celles faisant l</w:t>
      </w:r>
      <w:r w:rsidR="00821C4E">
        <w:rPr>
          <w:lang w:val="fr-CH"/>
        </w:rPr>
        <w:t>'</w:t>
      </w:r>
      <w:r w:rsidR="00B10567" w:rsidRPr="00BA1B6C">
        <w:rPr>
          <w:lang w:val="fr-CH"/>
        </w:rPr>
        <w:t>objet d</w:t>
      </w:r>
      <w:r w:rsidR="00821C4E">
        <w:rPr>
          <w:lang w:val="fr-CH"/>
        </w:rPr>
        <w:t>'</w:t>
      </w:r>
      <w:r w:rsidR="00B10567" w:rsidRPr="00BA1B6C">
        <w:rPr>
          <w:lang w:val="fr-CH"/>
        </w:rPr>
        <w:t>une coordination, qui ont été reçues avant les assignations considérées et pour lesquelles aucune décision n</w:t>
      </w:r>
      <w:r w:rsidR="00821C4E">
        <w:rPr>
          <w:lang w:val="fr-CH"/>
        </w:rPr>
        <w:t>'</w:t>
      </w:r>
      <w:r w:rsidR="005C630B">
        <w:rPr>
          <w:lang w:val="fr-CH"/>
        </w:rPr>
        <w:t>a été communiquée au Bureau</w:t>
      </w:r>
      <w:r w:rsidR="00550345">
        <w:rPr>
          <w:lang w:val="fr-CH"/>
        </w:rPr>
        <w:t>.</w:t>
      </w:r>
    </w:p>
    <w:p w:rsidR="00A7674F" w:rsidRPr="00BA1B6C" w:rsidRDefault="006D6DB5" w:rsidP="00AA3F4E">
      <w:pPr>
        <w:rPr>
          <w:lang w:val="fr-CH"/>
        </w:rPr>
      </w:pPr>
      <w:r>
        <w:rPr>
          <w:lang w:val="fr-CH"/>
        </w:rPr>
        <w:t>La probabilité que des brouillages</w:t>
      </w:r>
      <w:r w:rsidR="00B10567" w:rsidRPr="00BA1B6C">
        <w:rPr>
          <w:lang w:val="fr-CH"/>
        </w:rPr>
        <w:t xml:space="preserve"> </w:t>
      </w:r>
      <w:r>
        <w:rPr>
          <w:lang w:val="fr-CH"/>
        </w:rPr>
        <w:t>aient été causés</w:t>
      </w:r>
      <w:r w:rsidR="00B10567" w:rsidRPr="00BA1B6C">
        <w:rPr>
          <w:lang w:val="fr-CH"/>
        </w:rPr>
        <w:t>, comme indiqué ci-dessus, risque d</w:t>
      </w:r>
      <w:r w:rsidR="00821C4E">
        <w:rPr>
          <w:lang w:val="fr-CH"/>
        </w:rPr>
        <w:t>'</w:t>
      </w:r>
      <w:r w:rsidR="00B10567" w:rsidRPr="00BA1B6C">
        <w:rPr>
          <w:lang w:val="fr-CH"/>
        </w:rPr>
        <w:t xml:space="preserve">entraîner une dégradation </w:t>
      </w:r>
      <w:r w:rsidR="001B0084">
        <w:rPr>
          <w:lang w:val="fr-CH"/>
        </w:rPr>
        <w:t>des niveaux/limites du rapport C/I visés au §</w:t>
      </w:r>
      <w:r w:rsidR="00A7674F" w:rsidRPr="00BA1B6C">
        <w:rPr>
          <w:lang w:val="fr-CH"/>
        </w:rPr>
        <w:t xml:space="preserve"> 2.3 </w:t>
      </w:r>
      <w:r w:rsidR="00B10567" w:rsidRPr="00BA1B6C">
        <w:rPr>
          <w:lang w:val="fr-CH"/>
        </w:rPr>
        <w:t>de l</w:t>
      </w:r>
      <w:r w:rsidR="00821C4E">
        <w:rPr>
          <w:lang w:val="fr-CH"/>
        </w:rPr>
        <w:t>'</w:t>
      </w:r>
      <w:r w:rsidR="00A7674F" w:rsidRPr="00BA1B6C">
        <w:rPr>
          <w:lang w:val="fr-CH"/>
        </w:rPr>
        <w:t>Annex</w:t>
      </w:r>
      <w:r w:rsidR="00B10567" w:rsidRPr="00BA1B6C">
        <w:rPr>
          <w:lang w:val="fr-CH"/>
        </w:rPr>
        <w:t>e</w:t>
      </w:r>
      <w:r w:rsidR="00A7674F" w:rsidRPr="00BA1B6C">
        <w:rPr>
          <w:lang w:val="fr-CH"/>
        </w:rPr>
        <w:t xml:space="preserve"> 4 </w:t>
      </w:r>
      <w:r w:rsidR="00B10567" w:rsidRPr="00BA1B6C">
        <w:rPr>
          <w:lang w:val="fr-CH"/>
        </w:rPr>
        <w:t>de</w:t>
      </w:r>
      <w:r w:rsidR="00A7674F" w:rsidRPr="00BA1B6C">
        <w:rPr>
          <w:lang w:val="fr-CH"/>
        </w:rPr>
        <w:t xml:space="preserve"> </w:t>
      </w:r>
      <w:r w:rsidR="00717A20" w:rsidRPr="00BA1B6C">
        <w:rPr>
          <w:lang w:val="fr-CH"/>
        </w:rPr>
        <w:t>l</w:t>
      </w:r>
      <w:r w:rsidR="00821C4E">
        <w:rPr>
          <w:lang w:val="fr-CH"/>
        </w:rPr>
        <w:t>'</w:t>
      </w:r>
      <w:r w:rsidR="00717A20" w:rsidRPr="00BA1B6C">
        <w:rPr>
          <w:lang w:val="fr-CH"/>
        </w:rPr>
        <w:t xml:space="preserve">Appendice </w:t>
      </w:r>
      <w:r>
        <w:rPr>
          <w:lang w:val="fr-CH"/>
        </w:rPr>
        <w:t>30B, c</w:t>
      </w:r>
      <w:r w:rsidR="00821C4E">
        <w:rPr>
          <w:lang w:val="fr-CH"/>
        </w:rPr>
        <w:t>'</w:t>
      </w:r>
      <w:r w:rsidR="00B10567" w:rsidRPr="00BA1B6C">
        <w:rPr>
          <w:lang w:val="fr-CH"/>
        </w:rPr>
        <w:t xml:space="preserve">est-à-dire une dégradation de la qualité </w:t>
      </w:r>
      <w:r>
        <w:rPr>
          <w:lang w:val="fr-CH"/>
        </w:rPr>
        <w:t xml:space="preserve">de fonctionnement </w:t>
      </w:r>
      <w:r w:rsidR="00B10567" w:rsidRPr="00BA1B6C">
        <w:rPr>
          <w:lang w:val="fr-CH"/>
        </w:rPr>
        <w:t>prévue de l</w:t>
      </w:r>
      <w:r>
        <w:rPr>
          <w:lang w:val="fr-CH"/>
        </w:rPr>
        <w:t>'a</w:t>
      </w:r>
      <w:r w:rsidR="00B10567" w:rsidRPr="00BA1B6C">
        <w:rPr>
          <w:lang w:val="fr-CH"/>
        </w:rPr>
        <w:t>llotissement/des assignations de l</w:t>
      </w:r>
      <w:r>
        <w:rPr>
          <w:lang w:val="fr-CH"/>
        </w:rPr>
        <w:t>'administration n'ayant</w:t>
      </w:r>
      <w:r w:rsidR="00B10567" w:rsidRPr="00BA1B6C">
        <w:rPr>
          <w:lang w:val="fr-CH"/>
        </w:rPr>
        <w:t xml:space="preserve"> pas répondu à la d</w:t>
      </w:r>
      <w:r w:rsidR="005C630B">
        <w:rPr>
          <w:lang w:val="fr-CH"/>
        </w:rPr>
        <w:t>emande de coordination. Lorsque</w:t>
      </w:r>
      <w:r w:rsidR="00B10567" w:rsidRPr="00BA1B6C">
        <w:rPr>
          <w:lang w:val="fr-CH"/>
        </w:rPr>
        <w:t xml:space="preserve"> l</w:t>
      </w:r>
      <w:r w:rsidR="005C630B">
        <w:rPr>
          <w:lang w:val="fr-CH"/>
        </w:rPr>
        <w:t>'administration susmentionnée mettra en oe</w:t>
      </w:r>
      <w:r w:rsidR="00B10567" w:rsidRPr="00BA1B6C">
        <w:rPr>
          <w:lang w:val="fr-CH"/>
        </w:rPr>
        <w:t>uvre/utilise</w:t>
      </w:r>
      <w:r w:rsidR="005C630B">
        <w:rPr>
          <w:lang w:val="fr-CH"/>
        </w:rPr>
        <w:t>ra</w:t>
      </w:r>
      <w:r w:rsidR="00B10567" w:rsidRPr="00BA1B6C">
        <w:rPr>
          <w:lang w:val="fr-CH"/>
        </w:rPr>
        <w:t xml:space="preserve"> ses allotissement/assignations, elle</w:t>
      </w:r>
      <w:r w:rsidR="001B0084">
        <w:rPr>
          <w:lang w:val="fr-CH"/>
        </w:rPr>
        <w:t xml:space="preserve"> subira des brouillages du fait</w:t>
      </w:r>
      <w:r w:rsidR="00B10567" w:rsidRPr="00BA1B6C">
        <w:rPr>
          <w:lang w:val="fr-CH"/>
        </w:rPr>
        <w:t xml:space="preserve"> que des mesures auront été prises en raison de l</w:t>
      </w:r>
      <w:r w:rsidR="00821C4E">
        <w:rPr>
          <w:lang w:val="fr-CH"/>
        </w:rPr>
        <w:t>'</w:t>
      </w:r>
      <w:r w:rsidR="005C630B">
        <w:rPr>
          <w:lang w:val="fr-CH"/>
        </w:rPr>
        <w:t>absence de réponse.</w:t>
      </w:r>
    </w:p>
    <w:p w:rsidR="00E43590" w:rsidRPr="00BA1B6C" w:rsidRDefault="004C5749" w:rsidP="00AA3F4E">
      <w:pPr>
        <w:rPr>
          <w:lang w:val="fr-CH"/>
        </w:rPr>
      </w:pPr>
      <w:r w:rsidRPr="00BA1B6C">
        <w:rPr>
          <w:lang w:val="fr-CH"/>
        </w:rPr>
        <w:t>On trouve</w:t>
      </w:r>
      <w:r w:rsidR="005C630B">
        <w:rPr>
          <w:lang w:val="fr-CH"/>
        </w:rPr>
        <w:t>ra ci-dessous des statistiques</w:t>
      </w:r>
      <w:r w:rsidRPr="00BA1B6C">
        <w:rPr>
          <w:lang w:val="fr-CH"/>
        </w:rPr>
        <w:t xml:space="preserve"> f</w:t>
      </w:r>
      <w:r w:rsidR="005C630B">
        <w:rPr>
          <w:lang w:val="fr-CH"/>
        </w:rPr>
        <w:t>ournies par le Bureau</w:t>
      </w:r>
      <w:r w:rsidR="00550345">
        <w:rPr>
          <w:lang w:val="fr-CH"/>
        </w:rPr>
        <w:t>,</w:t>
      </w:r>
      <w:r w:rsidR="005C630B">
        <w:rPr>
          <w:lang w:val="fr-CH"/>
        </w:rPr>
        <w:t xml:space="preserve"> indiquant</w:t>
      </w:r>
      <w:r w:rsidRPr="00BA1B6C">
        <w:rPr>
          <w:lang w:val="fr-CH"/>
        </w:rPr>
        <w:t xml:space="preserve"> les résultats de l</w:t>
      </w:r>
      <w:r w:rsidR="00821C4E">
        <w:rPr>
          <w:lang w:val="fr-CH"/>
        </w:rPr>
        <w:t>'</w:t>
      </w:r>
      <w:r w:rsidRPr="00BA1B6C">
        <w:rPr>
          <w:lang w:val="fr-CH"/>
        </w:rPr>
        <w:t>application des §</w:t>
      </w:r>
      <w:r w:rsidR="00A7674F" w:rsidRPr="00BA1B6C">
        <w:rPr>
          <w:lang w:val="fr-CH"/>
        </w:rPr>
        <w:t xml:space="preserve"> 6.13,</w:t>
      </w:r>
      <w:r w:rsidR="00550345">
        <w:rPr>
          <w:lang w:val="fr-CH"/>
        </w:rPr>
        <w:t xml:space="preserve"> </w:t>
      </w:r>
      <w:r w:rsidR="00A7674F" w:rsidRPr="00BA1B6C">
        <w:rPr>
          <w:lang w:val="fr-CH"/>
        </w:rPr>
        <w:t>6.14,</w:t>
      </w:r>
      <w:r w:rsidR="00550345">
        <w:rPr>
          <w:lang w:val="fr-CH"/>
        </w:rPr>
        <w:t xml:space="preserve"> </w:t>
      </w:r>
      <w:r w:rsidR="00A7674F" w:rsidRPr="00BA1B6C">
        <w:rPr>
          <w:lang w:val="fr-CH"/>
        </w:rPr>
        <w:t xml:space="preserve">6.16bis </w:t>
      </w:r>
      <w:r w:rsidRPr="00BA1B6C">
        <w:rPr>
          <w:lang w:val="fr-CH"/>
        </w:rPr>
        <w:t xml:space="preserve">et </w:t>
      </w:r>
      <w:r w:rsidR="00D0584B">
        <w:rPr>
          <w:lang w:val="fr-CH"/>
        </w:rPr>
        <w:t>6.15</w:t>
      </w:r>
      <w:r w:rsidR="00A7674F" w:rsidRPr="00BA1B6C">
        <w:rPr>
          <w:lang w:val="fr-CH"/>
        </w:rPr>
        <w:t>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7"/>
        <w:gridCol w:w="1432"/>
        <w:gridCol w:w="1561"/>
        <w:gridCol w:w="1229"/>
        <w:gridCol w:w="1419"/>
        <w:gridCol w:w="1560"/>
      </w:tblGrid>
      <w:tr w:rsidR="00A7674F" w:rsidRPr="006D0506" w:rsidTr="00821C4E">
        <w:tc>
          <w:tcPr>
            <w:tcW w:w="1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674F" w:rsidRPr="006D0506" w:rsidRDefault="004C5749" w:rsidP="00AA3F4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 w:themeColor="text1"/>
                <w:szCs w:val="24"/>
                <w:lang w:val="en-US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  <w:lang w:val="en-US"/>
              </w:rPr>
              <w:t>Année</w:t>
            </w:r>
          </w:p>
        </w:tc>
        <w:tc>
          <w:tcPr>
            <w:tcW w:w="14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674F" w:rsidRPr="005C630B" w:rsidRDefault="00D01C64" w:rsidP="00AA3F4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 w:themeColor="text1"/>
                <w:szCs w:val="24"/>
                <w:lang w:val="fr-CH"/>
              </w:rPr>
            </w:pPr>
            <w:r w:rsidRPr="005C630B">
              <w:rPr>
                <w:rFonts w:ascii="Calibri" w:hAnsi="Calibri"/>
                <w:color w:val="000000" w:themeColor="text1"/>
                <w:sz w:val="22"/>
                <w:szCs w:val="22"/>
                <w:lang w:val="fr-CH"/>
              </w:rPr>
              <w:t>Demande</w:t>
            </w:r>
            <w:r w:rsidR="005C630B" w:rsidRPr="005C630B">
              <w:rPr>
                <w:rFonts w:ascii="Calibri" w:hAnsi="Calibri"/>
                <w:color w:val="000000" w:themeColor="text1"/>
                <w:sz w:val="22"/>
                <w:szCs w:val="22"/>
                <w:lang w:val="fr-CH"/>
              </w:rPr>
              <w:t xml:space="preserve"> au titre du </w:t>
            </w:r>
            <w:r w:rsidR="005C630B">
              <w:rPr>
                <w:rFonts w:ascii="Calibri" w:hAnsi="Calibri"/>
                <w:color w:val="000000" w:themeColor="text1"/>
                <w:sz w:val="22"/>
                <w:szCs w:val="22"/>
                <w:lang w:val="fr-CH"/>
              </w:rPr>
              <w:t>§</w:t>
            </w:r>
            <w:r w:rsidR="00821C4E">
              <w:rPr>
                <w:rFonts w:ascii="Calibri" w:hAnsi="Calibri"/>
                <w:color w:val="000000" w:themeColor="text1"/>
                <w:sz w:val="22"/>
                <w:szCs w:val="22"/>
                <w:lang w:val="fr-CH"/>
              </w:rPr>
              <w:t> </w:t>
            </w:r>
            <w:r w:rsidR="005C630B">
              <w:rPr>
                <w:rFonts w:ascii="Calibri" w:hAnsi="Calibri"/>
                <w:color w:val="000000" w:themeColor="text1"/>
                <w:sz w:val="22"/>
                <w:szCs w:val="22"/>
                <w:lang w:val="fr-CH"/>
              </w:rPr>
              <w:t>6.13</w:t>
            </w:r>
            <w:r w:rsidRPr="005C630B">
              <w:rPr>
                <w:rFonts w:ascii="Calibri" w:hAnsi="Calibri"/>
                <w:color w:val="000000" w:themeColor="text1"/>
                <w:sz w:val="22"/>
                <w:szCs w:val="22"/>
                <w:lang w:val="fr-CH"/>
              </w:rPr>
              <w:t xml:space="preserve"> </w:t>
            </w:r>
          </w:p>
          <w:p w:rsidR="00A7674F" w:rsidRPr="005C630B" w:rsidRDefault="00A7674F" w:rsidP="00AA3F4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 w:themeColor="text1"/>
                <w:szCs w:val="24"/>
                <w:lang w:val="fr-CH"/>
              </w:rPr>
            </w:pPr>
            <w:r w:rsidRPr="005C630B">
              <w:rPr>
                <w:rFonts w:ascii="Calibri" w:hAnsi="Calibri"/>
                <w:color w:val="000000" w:themeColor="text1"/>
                <w:sz w:val="22"/>
                <w:szCs w:val="22"/>
                <w:lang w:val="fr-CH"/>
              </w:rPr>
              <w:t>(</w:t>
            </w:r>
            <w:r w:rsidR="00D01C64" w:rsidRPr="005C630B">
              <w:rPr>
                <w:rFonts w:ascii="Calibri" w:hAnsi="Calibri"/>
                <w:color w:val="000000" w:themeColor="text1"/>
                <w:sz w:val="22"/>
                <w:szCs w:val="22"/>
                <w:lang w:val="fr-CH"/>
              </w:rPr>
              <w:t>réseaux</w:t>
            </w:r>
            <w:r w:rsidRPr="005C630B">
              <w:rPr>
                <w:rFonts w:ascii="Calibri" w:hAnsi="Calibri"/>
                <w:color w:val="000000" w:themeColor="text1"/>
                <w:sz w:val="22"/>
                <w:szCs w:val="22"/>
                <w:lang w:val="fr-CH"/>
              </w:rPr>
              <w:t>)</w:t>
            </w:r>
          </w:p>
        </w:tc>
        <w:tc>
          <w:tcPr>
            <w:tcW w:w="14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674F" w:rsidRPr="005C630B" w:rsidRDefault="00D01C64" w:rsidP="00821C4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 w:themeColor="text1"/>
                <w:szCs w:val="24"/>
                <w:lang w:val="fr-CH"/>
              </w:rPr>
            </w:pPr>
            <w:r w:rsidRPr="005C630B">
              <w:rPr>
                <w:rFonts w:ascii="Calibri" w:hAnsi="Calibri"/>
                <w:color w:val="000000" w:themeColor="text1"/>
                <w:sz w:val="22"/>
                <w:szCs w:val="22"/>
                <w:lang w:val="fr-CH"/>
              </w:rPr>
              <w:t xml:space="preserve">Rappels du BR </w:t>
            </w:r>
            <w:r w:rsidR="005C630B" w:rsidRPr="005C630B">
              <w:rPr>
                <w:rFonts w:ascii="Calibri" w:hAnsi="Calibri"/>
                <w:color w:val="000000" w:themeColor="text1"/>
                <w:sz w:val="22"/>
                <w:szCs w:val="22"/>
                <w:lang w:val="fr-CH"/>
              </w:rPr>
              <w:t>conformément</w:t>
            </w:r>
            <w:r w:rsidRPr="005C630B">
              <w:rPr>
                <w:rFonts w:ascii="Calibri" w:hAnsi="Calibri"/>
                <w:color w:val="000000" w:themeColor="text1"/>
                <w:sz w:val="22"/>
                <w:szCs w:val="22"/>
                <w:lang w:val="fr-CH"/>
              </w:rPr>
              <w:t xml:space="preserve"> </w:t>
            </w:r>
            <w:r w:rsidR="005C630B" w:rsidRPr="005C630B">
              <w:rPr>
                <w:rFonts w:ascii="Calibri" w:hAnsi="Calibri"/>
                <w:color w:val="000000" w:themeColor="text1"/>
                <w:sz w:val="22"/>
                <w:szCs w:val="22"/>
                <w:lang w:val="fr-CH"/>
              </w:rPr>
              <w:t>au §</w:t>
            </w:r>
            <w:r w:rsidR="00821C4E">
              <w:rPr>
                <w:rFonts w:ascii="Calibri" w:hAnsi="Calibri"/>
                <w:color w:val="000000" w:themeColor="text1"/>
                <w:sz w:val="22"/>
                <w:szCs w:val="22"/>
                <w:lang w:val="fr-CH"/>
              </w:rPr>
              <w:t> </w:t>
            </w:r>
            <w:r w:rsidR="005C630B" w:rsidRPr="005C630B">
              <w:rPr>
                <w:rFonts w:ascii="Calibri" w:hAnsi="Calibri"/>
                <w:color w:val="000000" w:themeColor="text1"/>
                <w:sz w:val="22"/>
                <w:szCs w:val="22"/>
                <w:lang w:val="fr-CH"/>
              </w:rPr>
              <w:t>6.14</w:t>
            </w:r>
          </w:p>
        </w:tc>
        <w:tc>
          <w:tcPr>
            <w:tcW w:w="12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674F" w:rsidRPr="00D0584B" w:rsidRDefault="00D01C64" w:rsidP="00821C4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 w:themeColor="text1"/>
                <w:szCs w:val="24"/>
                <w:lang w:val="fr-CH"/>
              </w:rPr>
            </w:pPr>
            <w:r w:rsidRPr="00D0584B">
              <w:rPr>
                <w:rFonts w:ascii="Calibri" w:hAnsi="Calibri"/>
                <w:color w:val="000000" w:themeColor="text1"/>
                <w:sz w:val="22"/>
                <w:szCs w:val="22"/>
                <w:lang w:val="fr-CH"/>
              </w:rPr>
              <w:t>Réponses reçues dans les délais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674F" w:rsidRPr="006D0506" w:rsidRDefault="00D01C64" w:rsidP="00821C4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 w:themeColor="text1"/>
                <w:szCs w:val="24"/>
                <w:lang w:val="en-US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  <w:lang w:val="en-US"/>
              </w:rPr>
              <w:t>Cas d</w:t>
            </w:r>
            <w:r w:rsidR="00821C4E">
              <w:rPr>
                <w:rFonts w:ascii="Calibri" w:hAnsi="Calibri"/>
                <w:color w:val="000000" w:themeColor="text1"/>
                <w:sz w:val="22"/>
                <w:szCs w:val="22"/>
                <w:lang w:val="en-US"/>
              </w:rPr>
              <w:t xml:space="preserve">'absence </w:t>
            </w:r>
            <w:r w:rsidR="005C630B">
              <w:rPr>
                <w:rFonts w:ascii="Calibri" w:hAnsi="Calibri"/>
                <w:color w:val="000000" w:themeColor="text1"/>
                <w:sz w:val="22"/>
                <w:szCs w:val="22"/>
                <w:lang w:val="en-US"/>
              </w:rPr>
              <w:t xml:space="preserve">de </w:t>
            </w:r>
            <w:r>
              <w:rPr>
                <w:rFonts w:ascii="Calibri" w:hAnsi="Calibri"/>
                <w:color w:val="000000" w:themeColor="text1"/>
                <w:sz w:val="22"/>
                <w:szCs w:val="22"/>
                <w:lang w:val="en-US"/>
              </w:rPr>
              <w:t>réponse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674F" w:rsidRPr="00821C4E" w:rsidRDefault="00D01C64" w:rsidP="00821C4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/>
                <w:color w:val="000000" w:themeColor="text1"/>
                <w:sz w:val="22"/>
                <w:szCs w:val="22"/>
                <w:lang w:val="fr-CH"/>
              </w:rPr>
            </w:pPr>
            <w:r w:rsidRPr="00BA1B6C">
              <w:rPr>
                <w:rFonts w:ascii="Calibri" w:hAnsi="Calibri"/>
                <w:color w:val="000000" w:themeColor="text1"/>
                <w:sz w:val="22"/>
                <w:szCs w:val="22"/>
                <w:lang w:val="fr-CH"/>
              </w:rPr>
              <w:t>Réponses reçues après le</w:t>
            </w:r>
            <w:r w:rsidR="00821C4E">
              <w:rPr>
                <w:rFonts w:ascii="Calibri" w:hAnsi="Calibri"/>
                <w:color w:val="000000" w:themeColor="text1"/>
                <w:sz w:val="22"/>
                <w:szCs w:val="22"/>
                <w:lang w:val="fr-CH"/>
              </w:rPr>
              <w:t> </w:t>
            </w:r>
            <w:r w:rsidRPr="00BA1B6C">
              <w:rPr>
                <w:rFonts w:ascii="Calibri" w:hAnsi="Calibri"/>
                <w:color w:val="000000" w:themeColor="text1"/>
                <w:sz w:val="22"/>
                <w:szCs w:val="22"/>
                <w:lang w:val="fr-CH"/>
              </w:rPr>
              <w:t>délai</w:t>
            </w:r>
          </w:p>
        </w:tc>
      </w:tr>
      <w:tr w:rsidR="00A7674F" w:rsidRPr="006D0506" w:rsidTr="00F318D8">
        <w:tc>
          <w:tcPr>
            <w:tcW w:w="1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74F" w:rsidRPr="006D0506" w:rsidRDefault="00A7674F" w:rsidP="00AA3F4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color w:val="000000" w:themeColor="text1"/>
                <w:szCs w:val="24"/>
                <w:lang w:val="en-US"/>
              </w:rPr>
            </w:pPr>
            <w:r w:rsidRPr="006D0506">
              <w:rPr>
                <w:rFonts w:ascii="Calibri" w:hAnsi="Calibri"/>
                <w:color w:val="000000" w:themeColor="text1"/>
                <w:sz w:val="22"/>
                <w:szCs w:val="22"/>
                <w:lang w:val="en-US"/>
              </w:rPr>
              <w:t>2009-2011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74F" w:rsidRPr="006D0506" w:rsidRDefault="00A7674F" w:rsidP="00AA3F4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 w:themeColor="text1"/>
                <w:szCs w:val="24"/>
                <w:lang w:val="en-US"/>
              </w:rPr>
            </w:pPr>
            <w:r w:rsidRPr="006D0506">
              <w:rPr>
                <w:rFonts w:ascii="Calibri" w:hAnsi="Calibri"/>
                <w:color w:val="000000" w:themeColor="text1"/>
                <w:sz w:val="22"/>
                <w:szCs w:val="22"/>
                <w:lang w:val="en-US"/>
              </w:rPr>
              <w:t>30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74F" w:rsidRPr="006D0506" w:rsidRDefault="00A7674F" w:rsidP="00AA3F4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 w:themeColor="text1"/>
                <w:szCs w:val="24"/>
                <w:lang w:val="en-US"/>
              </w:rPr>
            </w:pPr>
            <w:r w:rsidRPr="006D0506">
              <w:rPr>
                <w:rFonts w:ascii="Calibri" w:hAnsi="Calibri"/>
                <w:color w:val="000000" w:themeColor="text1"/>
                <w:sz w:val="22"/>
                <w:szCs w:val="22"/>
                <w:lang w:val="en-US"/>
              </w:rPr>
              <w:t>239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74F" w:rsidRPr="006D0506" w:rsidRDefault="00A7674F" w:rsidP="00AA3F4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 w:themeColor="text1"/>
                <w:szCs w:val="24"/>
                <w:lang w:val="en-US"/>
              </w:rPr>
            </w:pPr>
            <w:r w:rsidRPr="006D0506">
              <w:rPr>
                <w:rFonts w:ascii="Calibri" w:hAnsi="Calibri"/>
                <w:color w:val="000000" w:themeColor="text1"/>
                <w:sz w:val="22"/>
                <w:szCs w:val="22"/>
                <w:lang w:val="en-US"/>
              </w:rPr>
              <w:t>48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74F" w:rsidRPr="006D0506" w:rsidRDefault="00A7674F" w:rsidP="00AA3F4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 w:themeColor="text1"/>
                <w:szCs w:val="24"/>
                <w:lang w:val="en-US"/>
              </w:rPr>
            </w:pPr>
            <w:r w:rsidRPr="006D0506">
              <w:rPr>
                <w:rFonts w:ascii="Calibri" w:hAnsi="Calibri"/>
                <w:color w:val="000000" w:themeColor="text1"/>
                <w:sz w:val="22"/>
                <w:szCs w:val="22"/>
                <w:lang w:val="en-US"/>
              </w:rPr>
              <w:t>187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74F" w:rsidRPr="006D0506" w:rsidRDefault="00A7674F" w:rsidP="00AA3F4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 w:themeColor="text1"/>
                <w:szCs w:val="24"/>
                <w:lang w:val="en-US"/>
              </w:rPr>
            </w:pPr>
            <w:r w:rsidRPr="006D0506">
              <w:rPr>
                <w:rFonts w:ascii="Calibri" w:hAnsi="Calibri"/>
                <w:color w:val="000000" w:themeColor="text1"/>
                <w:sz w:val="22"/>
                <w:szCs w:val="22"/>
                <w:lang w:val="en-US"/>
              </w:rPr>
              <w:t>4</w:t>
            </w:r>
          </w:p>
        </w:tc>
      </w:tr>
      <w:tr w:rsidR="00A7674F" w:rsidRPr="006D0506" w:rsidTr="00F318D8">
        <w:tc>
          <w:tcPr>
            <w:tcW w:w="1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74F" w:rsidRPr="006D0506" w:rsidRDefault="00D0584B" w:rsidP="00AA3F4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color w:val="000000" w:themeColor="text1"/>
                <w:szCs w:val="24"/>
                <w:lang w:val="en-US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  <w:lang w:val="en-US"/>
              </w:rPr>
              <w:t>2012-</w:t>
            </w:r>
            <w:r w:rsidR="00550345">
              <w:rPr>
                <w:rFonts w:ascii="Calibri" w:hAnsi="Calibri"/>
                <w:color w:val="000000" w:themeColor="text1"/>
                <w:sz w:val="22"/>
                <w:szCs w:val="22"/>
                <w:lang w:val="en-US"/>
              </w:rPr>
              <w:t xml:space="preserve">juin </w:t>
            </w:r>
            <w:r w:rsidR="00A7674F" w:rsidRPr="006D0506">
              <w:rPr>
                <w:rFonts w:ascii="Calibri" w:hAnsi="Calibri"/>
                <w:color w:val="000000" w:themeColor="text1"/>
                <w:sz w:val="22"/>
                <w:szCs w:val="22"/>
                <w:lang w:val="en-US"/>
              </w:rPr>
              <w:t>2015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74F" w:rsidRPr="006D0506" w:rsidRDefault="00A7674F" w:rsidP="00AA3F4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 w:themeColor="text1"/>
                <w:szCs w:val="24"/>
                <w:lang w:val="en-US"/>
              </w:rPr>
            </w:pPr>
            <w:r w:rsidRPr="006D0506">
              <w:rPr>
                <w:rFonts w:ascii="Calibri" w:hAnsi="Calibri"/>
                <w:color w:val="000000" w:themeColor="text1"/>
                <w:sz w:val="22"/>
                <w:szCs w:val="22"/>
                <w:lang w:val="en-US"/>
              </w:rPr>
              <w:t>53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74F" w:rsidRPr="006D0506" w:rsidRDefault="00A7674F" w:rsidP="00AA3F4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 w:themeColor="text1"/>
                <w:szCs w:val="24"/>
                <w:lang w:val="en-US"/>
              </w:rPr>
            </w:pPr>
            <w:r w:rsidRPr="006D0506">
              <w:rPr>
                <w:rFonts w:ascii="Calibri" w:hAnsi="Calibri"/>
                <w:color w:val="000000" w:themeColor="text1"/>
                <w:sz w:val="22"/>
                <w:szCs w:val="22"/>
                <w:lang w:val="en-US"/>
              </w:rPr>
              <w:t>338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74F" w:rsidRPr="006D0506" w:rsidRDefault="00A7674F" w:rsidP="00AA3F4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 w:themeColor="text1"/>
                <w:szCs w:val="24"/>
                <w:lang w:val="en-US"/>
              </w:rPr>
            </w:pPr>
            <w:r w:rsidRPr="006D0506">
              <w:rPr>
                <w:rFonts w:ascii="Calibri" w:hAnsi="Calibri"/>
                <w:color w:val="000000" w:themeColor="text1"/>
                <w:sz w:val="22"/>
                <w:szCs w:val="22"/>
                <w:lang w:val="en-US"/>
              </w:rPr>
              <w:t>63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74F" w:rsidRPr="006D0506" w:rsidRDefault="00A7674F" w:rsidP="00AA3F4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 w:themeColor="text1"/>
                <w:szCs w:val="24"/>
                <w:lang w:val="en-US"/>
              </w:rPr>
            </w:pPr>
            <w:r w:rsidRPr="006D0506">
              <w:rPr>
                <w:rFonts w:ascii="Calibri" w:hAnsi="Calibri"/>
                <w:color w:val="000000" w:themeColor="text1"/>
                <w:sz w:val="22"/>
                <w:szCs w:val="22"/>
                <w:lang w:val="en-US"/>
              </w:rPr>
              <w:t>263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74F" w:rsidRPr="006D0506" w:rsidRDefault="00A7674F" w:rsidP="00AA3F4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 w:themeColor="text1"/>
                <w:szCs w:val="24"/>
                <w:lang w:val="en-US"/>
              </w:rPr>
            </w:pPr>
            <w:r w:rsidRPr="006D0506">
              <w:rPr>
                <w:rFonts w:ascii="Calibri" w:hAnsi="Calibri"/>
                <w:color w:val="000000" w:themeColor="text1"/>
                <w:sz w:val="22"/>
                <w:szCs w:val="22"/>
                <w:lang w:val="en-US"/>
              </w:rPr>
              <w:t>12</w:t>
            </w:r>
          </w:p>
        </w:tc>
      </w:tr>
      <w:tr w:rsidR="00A7674F" w:rsidRPr="00E43590" w:rsidTr="00F318D8">
        <w:trPr>
          <w:trHeight w:val="48"/>
        </w:trPr>
        <w:tc>
          <w:tcPr>
            <w:tcW w:w="1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74F" w:rsidRPr="006D0506" w:rsidRDefault="00A7674F" w:rsidP="00AA3F4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color w:val="000000" w:themeColor="text1"/>
                <w:szCs w:val="24"/>
                <w:lang w:val="en-US"/>
              </w:rPr>
            </w:pPr>
            <w:r w:rsidRPr="006D0506">
              <w:rPr>
                <w:rFonts w:ascii="Calibri" w:hAnsi="Calibri"/>
                <w:color w:val="000000" w:themeColor="text1"/>
                <w:sz w:val="22"/>
                <w:szCs w:val="22"/>
                <w:lang w:val="en-US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74F" w:rsidRPr="00E43590" w:rsidRDefault="00A7674F" w:rsidP="00AA3F4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 w:themeColor="text1"/>
                <w:szCs w:val="24"/>
                <w:lang w:val="en-US"/>
              </w:rPr>
            </w:pPr>
            <w:r w:rsidRPr="00E43590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lang w:val="en-US"/>
              </w:rPr>
              <w:t>83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74F" w:rsidRPr="00E43590" w:rsidRDefault="00A7674F" w:rsidP="00AA3F4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 w:themeColor="text1"/>
                <w:szCs w:val="24"/>
                <w:lang w:val="en-US"/>
              </w:rPr>
            </w:pPr>
            <w:r w:rsidRPr="00E43590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lang w:val="en-US"/>
              </w:rPr>
              <w:t>577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74F" w:rsidRPr="00E43590" w:rsidRDefault="00A7674F" w:rsidP="00AA3F4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 w:themeColor="text1"/>
                <w:szCs w:val="24"/>
                <w:lang w:val="en-US"/>
              </w:rPr>
            </w:pPr>
            <w:r w:rsidRPr="00E43590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lang w:val="en-US"/>
              </w:rPr>
              <w:t>111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74F" w:rsidRPr="00E43590" w:rsidRDefault="00A7674F" w:rsidP="00AA3F4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 w:themeColor="text1"/>
                <w:szCs w:val="24"/>
                <w:lang w:val="en-US"/>
              </w:rPr>
            </w:pPr>
            <w:r w:rsidRPr="00E43590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lang w:val="en-US"/>
              </w:rPr>
              <w:t>450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74F" w:rsidRPr="00E43590" w:rsidRDefault="00A7674F" w:rsidP="00AA3F4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 w:themeColor="text1"/>
                <w:szCs w:val="24"/>
                <w:lang w:val="en-US"/>
              </w:rPr>
            </w:pPr>
            <w:r w:rsidRPr="00E43590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lang w:val="en-US"/>
              </w:rPr>
              <w:t>16</w:t>
            </w:r>
          </w:p>
        </w:tc>
      </w:tr>
    </w:tbl>
    <w:p w:rsidR="00A7674F" w:rsidRDefault="00A7674F" w:rsidP="00AA3F4E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color w:val="000000"/>
          <w:szCs w:val="24"/>
          <w:lang w:val="en-US"/>
        </w:rPr>
      </w:pPr>
    </w:p>
    <w:p w:rsidR="00A7674F" w:rsidRPr="00BA1B6C" w:rsidRDefault="00D01C64" w:rsidP="00AA3F4E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val="fr-CH"/>
        </w:rPr>
      </w:pPr>
      <w:r w:rsidRPr="00BA1B6C">
        <w:rPr>
          <w:lang w:val="fr-CH"/>
        </w:rPr>
        <w:t>Il a été</w:t>
      </w:r>
      <w:r w:rsidR="00D0584B">
        <w:rPr>
          <w:lang w:val="fr-CH"/>
        </w:rPr>
        <w:t xml:space="preserve"> demandé au BR de fourni</w:t>
      </w:r>
      <w:r w:rsidR="00821C4E">
        <w:rPr>
          <w:lang w:val="fr-CH"/>
        </w:rPr>
        <w:t>r les éclaircissements suivants</w:t>
      </w:r>
      <w:r w:rsidR="00D0584B">
        <w:rPr>
          <w:lang w:val="fr-CH"/>
        </w:rPr>
        <w:t>:</w:t>
      </w:r>
    </w:p>
    <w:p w:rsidR="00A7674F" w:rsidRPr="00BA1B6C" w:rsidRDefault="00717A20" w:rsidP="00AA3F4E">
      <w:pPr>
        <w:rPr>
          <w:b/>
          <w:bCs/>
          <w:i/>
          <w:iCs/>
          <w:u w:val="single"/>
          <w:lang w:val="fr-CH"/>
        </w:rPr>
      </w:pPr>
      <w:r w:rsidRPr="00BA1B6C">
        <w:rPr>
          <w:b/>
          <w:bCs/>
          <w:i/>
          <w:iCs/>
          <w:u w:val="single"/>
          <w:lang w:val="fr-CH"/>
        </w:rPr>
        <w:t xml:space="preserve">Début de citation </w:t>
      </w:r>
    </w:p>
    <w:p w:rsidR="00A7674F" w:rsidRPr="00550345" w:rsidRDefault="00556900" w:rsidP="00550345">
      <w:pPr>
        <w:rPr>
          <w:i/>
          <w:iCs/>
          <w:lang w:val="fr-CH"/>
        </w:rPr>
      </w:pPr>
      <w:r w:rsidRPr="00550345">
        <w:rPr>
          <w:i/>
          <w:iCs/>
          <w:lang w:val="fr-CH"/>
        </w:rPr>
        <w:t>«</w:t>
      </w:r>
      <w:r w:rsidR="00D0584B" w:rsidRPr="00550345">
        <w:rPr>
          <w:i/>
          <w:iCs/>
          <w:lang w:val="fr-CH"/>
        </w:rPr>
        <w:t>Le BR est prié de fournir des statistiques sur les résultats de</w:t>
      </w:r>
      <w:r w:rsidR="00D01C64" w:rsidRPr="00550345">
        <w:rPr>
          <w:i/>
          <w:iCs/>
          <w:lang w:val="fr-CH"/>
        </w:rPr>
        <w:t xml:space="preserve"> </w:t>
      </w:r>
      <w:r w:rsidR="00D0584B" w:rsidRPr="00550345">
        <w:rPr>
          <w:i/>
          <w:iCs/>
          <w:lang w:val="fr-CH"/>
        </w:rPr>
        <w:t xml:space="preserve">ces </w:t>
      </w:r>
      <w:r w:rsidR="00D01C64" w:rsidRPr="00550345">
        <w:rPr>
          <w:i/>
          <w:iCs/>
          <w:lang w:val="fr-CH"/>
        </w:rPr>
        <w:t>cas d</w:t>
      </w:r>
      <w:r w:rsidR="00821C4E" w:rsidRPr="00550345">
        <w:rPr>
          <w:i/>
          <w:iCs/>
          <w:lang w:val="fr-CH"/>
        </w:rPr>
        <w:t>'absence de réponse</w:t>
      </w:r>
      <w:r w:rsidR="00D0584B" w:rsidRPr="00550345">
        <w:rPr>
          <w:i/>
          <w:iCs/>
          <w:lang w:val="fr-CH"/>
        </w:rPr>
        <w:t xml:space="preserve"> s'agissant</w:t>
      </w:r>
      <w:r w:rsidR="00D01C64" w:rsidRPr="00550345">
        <w:rPr>
          <w:i/>
          <w:iCs/>
          <w:lang w:val="fr-CH"/>
        </w:rPr>
        <w:t xml:space="preserve"> de la dégradation de la l</w:t>
      </w:r>
      <w:r w:rsidR="00D0584B" w:rsidRPr="00550345">
        <w:rPr>
          <w:i/>
          <w:iCs/>
          <w:lang w:val="fr-CH"/>
        </w:rPr>
        <w:t>imite/du niveau mentionné au § 2</w:t>
      </w:r>
      <w:r w:rsidR="00550345" w:rsidRPr="00550345">
        <w:rPr>
          <w:i/>
          <w:iCs/>
          <w:lang w:val="fr-CH"/>
        </w:rPr>
        <w:t>.</w:t>
      </w:r>
      <w:r w:rsidR="00D01C64" w:rsidRPr="00550345">
        <w:rPr>
          <w:i/>
          <w:iCs/>
          <w:lang w:val="fr-CH"/>
        </w:rPr>
        <w:t>3 de l</w:t>
      </w:r>
      <w:r w:rsidR="00821C4E" w:rsidRPr="00550345">
        <w:rPr>
          <w:i/>
          <w:iCs/>
          <w:lang w:val="fr-CH"/>
        </w:rPr>
        <w:t>'</w:t>
      </w:r>
      <w:r w:rsidR="00D0584B" w:rsidRPr="00550345">
        <w:rPr>
          <w:i/>
          <w:iCs/>
          <w:lang w:val="fr-CH"/>
        </w:rPr>
        <w:t>An</w:t>
      </w:r>
      <w:r w:rsidR="00D01C64" w:rsidRPr="00550345">
        <w:rPr>
          <w:i/>
          <w:iCs/>
          <w:lang w:val="fr-CH"/>
        </w:rPr>
        <w:t>nexe 4 de l</w:t>
      </w:r>
      <w:r w:rsidR="00821C4E" w:rsidRPr="00550345">
        <w:rPr>
          <w:i/>
          <w:iCs/>
          <w:lang w:val="fr-CH"/>
        </w:rPr>
        <w:t>'</w:t>
      </w:r>
      <w:r w:rsidR="00550345" w:rsidRPr="00550345">
        <w:rPr>
          <w:i/>
          <w:iCs/>
          <w:lang w:val="fr-CH"/>
        </w:rPr>
        <w:t>Appendice 30</w:t>
      </w:r>
      <w:r w:rsidR="00D0584B" w:rsidRPr="00550345">
        <w:rPr>
          <w:i/>
          <w:iCs/>
          <w:lang w:val="fr-CH"/>
        </w:rPr>
        <w:t>B (</w:t>
      </w:r>
      <w:r w:rsidR="00D01C64" w:rsidRPr="00550345">
        <w:rPr>
          <w:i/>
          <w:iCs/>
          <w:lang w:val="fr-CH"/>
        </w:rPr>
        <w:t>importance de la réduction de la valeur de référence</w:t>
      </w:r>
      <w:r w:rsidR="00D0584B" w:rsidRPr="00550345">
        <w:rPr>
          <w:i/>
          <w:iCs/>
          <w:lang w:val="fr-CH"/>
        </w:rPr>
        <w:t xml:space="preserve"> mentionnée dans ce paragraphe)</w:t>
      </w:r>
      <w:r w:rsidR="00D01C64" w:rsidRPr="00550345">
        <w:rPr>
          <w:i/>
          <w:iCs/>
          <w:lang w:val="fr-CH"/>
        </w:rPr>
        <w:t xml:space="preserve"> ainsi que le nom des administrations</w:t>
      </w:r>
      <w:r w:rsidR="00763730" w:rsidRPr="00550345">
        <w:rPr>
          <w:i/>
          <w:iCs/>
          <w:lang w:val="fr-CH"/>
        </w:rPr>
        <w:t xml:space="preserve"> dont des allotissement</w:t>
      </w:r>
      <w:r w:rsidR="001E406D" w:rsidRPr="00550345">
        <w:rPr>
          <w:i/>
          <w:iCs/>
          <w:lang w:val="fr-CH"/>
        </w:rPr>
        <w:t>s ou</w:t>
      </w:r>
      <w:r w:rsidR="00763730" w:rsidRPr="00550345">
        <w:rPr>
          <w:i/>
          <w:iCs/>
          <w:lang w:val="fr-CH"/>
        </w:rPr>
        <w:t xml:space="preserve"> des assignations ont subi une telle dégradation</w:t>
      </w:r>
      <w:r w:rsidRPr="00550345">
        <w:rPr>
          <w:i/>
          <w:iCs/>
          <w:lang w:val="fr-CH"/>
        </w:rPr>
        <w:t>»</w:t>
      </w:r>
      <w:r w:rsidR="00D0584B" w:rsidRPr="00550345">
        <w:rPr>
          <w:i/>
          <w:iCs/>
          <w:lang w:val="fr-CH"/>
        </w:rPr>
        <w:t>.</w:t>
      </w:r>
    </w:p>
    <w:p w:rsidR="00717A20" w:rsidRPr="00BA1B6C" w:rsidRDefault="00550345" w:rsidP="00AA3F4E">
      <w:pPr>
        <w:rPr>
          <w:b/>
          <w:bCs/>
          <w:i/>
          <w:iCs/>
          <w:u w:val="single"/>
          <w:lang w:val="fr-CH"/>
        </w:rPr>
      </w:pPr>
      <w:r>
        <w:rPr>
          <w:b/>
          <w:bCs/>
          <w:i/>
          <w:iCs/>
          <w:u w:val="single"/>
          <w:lang w:val="fr-CH"/>
        </w:rPr>
        <w:t>Fin de citation</w:t>
      </w:r>
    </w:p>
    <w:p w:rsidR="00A7674F" w:rsidRPr="00BA1B6C" w:rsidRDefault="00763730" w:rsidP="00AA3F4E">
      <w:pPr>
        <w:rPr>
          <w:lang w:val="fr-CH"/>
        </w:rPr>
      </w:pPr>
      <w:r w:rsidRPr="00BA1B6C">
        <w:rPr>
          <w:lang w:val="fr-CH"/>
        </w:rPr>
        <w:t>Le Bureau a fourni la r</w:t>
      </w:r>
      <w:r w:rsidR="001E406D">
        <w:rPr>
          <w:lang w:val="fr-CH"/>
        </w:rPr>
        <w:t>éponse/les précisions suivantes</w:t>
      </w:r>
      <w:r w:rsidR="00A7674F" w:rsidRPr="00BA1B6C">
        <w:rPr>
          <w:lang w:val="fr-CH"/>
        </w:rPr>
        <w:t>:</w:t>
      </w:r>
    </w:p>
    <w:p w:rsidR="00A7674F" w:rsidRPr="00BA1B6C" w:rsidRDefault="00717A20" w:rsidP="00AA3F4E">
      <w:pPr>
        <w:rPr>
          <w:b/>
          <w:bCs/>
          <w:i/>
          <w:iCs/>
          <w:u w:val="single"/>
          <w:lang w:val="fr-CH"/>
        </w:rPr>
      </w:pPr>
      <w:r w:rsidRPr="00BA1B6C">
        <w:rPr>
          <w:b/>
          <w:bCs/>
          <w:i/>
          <w:iCs/>
          <w:u w:val="single"/>
          <w:lang w:val="fr-CH"/>
        </w:rPr>
        <w:t xml:space="preserve">Début de citation </w:t>
      </w:r>
    </w:p>
    <w:p w:rsidR="00A7674F" w:rsidRPr="00550345" w:rsidRDefault="00556900" w:rsidP="00550345">
      <w:pPr>
        <w:rPr>
          <w:i/>
          <w:iCs/>
          <w:lang w:val="fr-CH"/>
        </w:rPr>
      </w:pPr>
      <w:r w:rsidRPr="00550345">
        <w:rPr>
          <w:i/>
          <w:iCs/>
          <w:color w:val="000000"/>
          <w:lang w:val="fr-CH"/>
        </w:rPr>
        <w:t>«</w:t>
      </w:r>
      <w:r w:rsidR="00763730" w:rsidRPr="00550345">
        <w:rPr>
          <w:i/>
          <w:iCs/>
          <w:color w:val="000000"/>
          <w:lang w:val="fr-CH"/>
        </w:rPr>
        <w:t xml:space="preserve">Les valeurs </w:t>
      </w:r>
      <w:r w:rsidR="00D0584B" w:rsidRPr="00550345">
        <w:rPr>
          <w:i/>
          <w:iCs/>
          <w:color w:val="000000"/>
          <w:lang w:val="fr-CH"/>
        </w:rPr>
        <w:t>de dégradation maximales</w:t>
      </w:r>
      <w:r w:rsidR="00763730" w:rsidRPr="00550345">
        <w:rPr>
          <w:i/>
          <w:iCs/>
          <w:color w:val="000000"/>
          <w:lang w:val="fr-CH"/>
        </w:rPr>
        <w:t xml:space="preserve"> de c</w:t>
      </w:r>
      <w:r w:rsidR="00D0584B" w:rsidRPr="00550345">
        <w:rPr>
          <w:i/>
          <w:iCs/>
          <w:color w:val="000000"/>
          <w:lang w:val="fr-CH"/>
        </w:rPr>
        <w:t>haque allotissement/assignation</w:t>
      </w:r>
      <w:r w:rsidR="00763730" w:rsidRPr="00550345">
        <w:rPr>
          <w:i/>
          <w:iCs/>
          <w:color w:val="000000"/>
          <w:lang w:val="fr-CH"/>
        </w:rPr>
        <w:t xml:space="preserve"> </w:t>
      </w:r>
      <w:r w:rsidR="00821C4E" w:rsidRPr="00550345">
        <w:rPr>
          <w:i/>
          <w:iCs/>
          <w:color w:val="000000"/>
          <w:lang w:val="fr-CH"/>
        </w:rPr>
        <w:t>affecté</w:t>
      </w:r>
      <w:r w:rsidR="00D0584B" w:rsidRPr="00550345">
        <w:rPr>
          <w:i/>
          <w:iCs/>
          <w:color w:val="000000"/>
          <w:lang w:val="fr-CH"/>
        </w:rPr>
        <w:t xml:space="preserve"> </w:t>
      </w:r>
      <w:r w:rsidR="00763730" w:rsidRPr="00550345">
        <w:rPr>
          <w:i/>
          <w:iCs/>
          <w:color w:val="000000"/>
          <w:lang w:val="fr-CH"/>
        </w:rPr>
        <w:t>figurent dans la Section spéciale</w:t>
      </w:r>
      <w:r w:rsidR="00763730" w:rsidRPr="00550345">
        <w:rPr>
          <w:i/>
          <w:iCs/>
          <w:lang w:val="fr-CH"/>
        </w:rPr>
        <w:t xml:space="preserve"> </w:t>
      </w:r>
      <w:r w:rsidR="00821C4E" w:rsidRPr="00550345">
        <w:rPr>
          <w:i/>
          <w:iCs/>
          <w:lang w:val="fr-CH"/>
        </w:rPr>
        <w:t xml:space="preserve">AP30B/A6A, </w:t>
      </w:r>
      <w:r w:rsidR="00763730" w:rsidRPr="00550345">
        <w:rPr>
          <w:i/>
          <w:iCs/>
          <w:lang w:val="fr-CH"/>
        </w:rPr>
        <w:t>dans laquelle sont publiées les caractéristiques d</w:t>
      </w:r>
      <w:r w:rsidR="00821C4E" w:rsidRPr="00550345">
        <w:rPr>
          <w:i/>
          <w:iCs/>
          <w:lang w:val="fr-CH"/>
        </w:rPr>
        <w:t>'</w:t>
      </w:r>
      <w:r w:rsidR="00763730" w:rsidRPr="00550345">
        <w:rPr>
          <w:i/>
          <w:iCs/>
          <w:lang w:val="fr-CH"/>
        </w:rPr>
        <w:t xml:space="preserve">un nouveau réseau en projet conformément au </w:t>
      </w:r>
      <w:r w:rsidR="00A7674F" w:rsidRPr="00550345">
        <w:rPr>
          <w:i/>
          <w:iCs/>
          <w:lang w:val="fr-CH"/>
        </w:rPr>
        <w:t>§</w:t>
      </w:r>
      <w:r w:rsidR="00550345">
        <w:rPr>
          <w:i/>
          <w:iCs/>
          <w:lang w:val="fr-CH"/>
        </w:rPr>
        <w:t xml:space="preserve"> </w:t>
      </w:r>
      <w:r w:rsidR="00A7674F" w:rsidRPr="00550345">
        <w:rPr>
          <w:i/>
          <w:iCs/>
          <w:lang w:val="fr-CH"/>
        </w:rPr>
        <w:t>6.7</w:t>
      </w:r>
      <w:r w:rsidR="006C1D97" w:rsidRPr="00550345">
        <w:rPr>
          <w:i/>
          <w:iCs/>
          <w:lang w:val="fr-CH"/>
        </w:rPr>
        <w:t xml:space="preserve"> </w:t>
      </w:r>
      <w:r w:rsidR="00763730" w:rsidRPr="00550345">
        <w:rPr>
          <w:i/>
          <w:iCs/>
          <w:lang w:val="fr-CH"/>
        </w:rPr>
        <w:t>de l</w:t>
      </w:r>
      <w:r w:rsidR="00821C4E" w:rsidRPr="00550345">
        <w:rPr>
          <w:i/>
          <w:iCs/>
          <w:lang w:val="fr-CH"/>
        </w:rPr>
        <w:t>'</w:t>
      </w:r>
      <w:r w:rsidR="006C1D97" w:rsidRPr="00550345">
        <w:rPr>
          <w:i/>
          <w:iCs/>
          <w:lang w:val="fr-CH"/>
        </w:rPr>
        <w:t>A</w:t>
      </w:r>
      <w:r w:rsidR="00763730" w:rsidRPr="00550345">
        <w:rPr>
          <w:i/>
          <w:iCs/>
          <w:lang w:val="fr-CH"/>
        </w:rPr>
        <w:t xml:space="preserve">ppendice </w:t>
      </w:r>
      <w:r w:rsidR="00D0584B" w:rsidRPr="00550345">
        <w:rPr>
          <w:i/>
          <w:iCs/>
          <w:lang w:val="fr-CH"/>
        </w:rPr>
        <w:t>30</w:t>
      </w:r>
      <w:r w:rsidR="00A7674F" w:rsidRPr="00550345">
        <w:rPr>
          <w:i/>
          <w:iCs/>
          <w:lang w:val="fr-CH"/>
        </w:rPr>
        <w:t>B.</w:t>
      </w:r>
    </w:p>
    <w:p w:rsidR="00A7674F" w:rsidRPr="00BA1B6C" w:rsidRDefault="00A7674F" w:rsidP="00AA3F4E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i/>
          <w:iCs/>
          <w:lang w:val="fr-CH"/>
        </w:rPr>
      </w:pPr>
    </w:p>
    <w:p w:rsidR="00A7674F" w:rsidRPr="00BA1B6C" w:rsidRDefault="00821C4E" w:rsidP="00854423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i/>
          <w:iCs/>
          <w:lang w:val="fr-CH"/>
        </w:rPr>
      </w:pPr>
      <w:r>
        <w:rPr>
          <w:i/>
          <w:iCs/>
          <w:lang w:val="fr-CH"/>
        </w:rPr>
        <w:t>A</w:t>
      </w:r>
      <w:r w:rsidR="006C1D97" w:rsidRPr="00BA1B6C">
        <w:rPr>
          <w:i/>
          <w:iCs/>
          <w:lang w:val="fr-CH"/>
        </w:rPr>
        <w:t xml:space="preserve"> ce jour, l</w:t>
      </w:r>
      <w:r>
        <w:rPr>
          <w:i/>
          <w:iCs/>
          <w:lang w:val="fr-CH"/>
        </w:rPr>
        <w:t>'«</w:t>
      </w:r>
      <w:r w:rsidR="006C1D97" w:rsidRPr="00BA1B6C">
        <w:rPr>
          <w:i/>
          <w:iCs/>
          <w:lang w:val="fr-CH"/>
        </w:rPr>
        <w:t>accord imp</w:t>
      </w:r>
      <w:r w:rsidR="00AF3127">
        <w:rPr>
          <w:i/>
          <w:iCs/>
          <w:lang w:val="fr-CH"/>
        </w:rPr>
        <w:t>licite</w:t>
      </w:r>
      <w:r>
        <w:rPr>
          <w:i/>
          <w:iCs/>
          <w:lang w:val="fr-CH"/>
        </w:rPr>
        <w:t>»</w:t>
      </w:r>
      <w:r w:rsidR="00AF3127">
        <w:rPr>
          <w:i/>
          <w:iCs/>
          <w:lang w:val="fr-CH"/>
        </w:rPr>
        <w:t xml:space="preserve"> dont il est question au § 6.15 n'a été appliqué</w:t>
      </w:r>
      <w:r w:rsidR="006C1D97" w:rsidRPr="00BA1B6C">
        <w:rPr>
          <w:i/>
          <w:iCs/>
          <w:lang w:val="fr-CH"/>
        </w:rPr>
        <w:t xml:space="preserve"> qu</w:t>
      </w:r>
      <w:r>
        <w:rPr>
          <w:i/>
          <w:iCs/>
          <w:lang w:val="fr-CH"/>
        </w:rPr>
        <w:t>'</w:t>
      </w:r>
      <w:r w:rsidR="006C1D97" w:rsidRPr="00BA1B6C">
        <w:rPr>
          <w:i/>
          <w:iCs/>
          <w:lang w:val="fr-CH"/>
        </w:rPr>
        <w:t>à un seul allotissement (ATG00000):</w:t>
      </w:r>
      <w:r w:rsidR="00AF3127">
        <w:rPr>
          <w:i/>
          <w:iCs/>
          <w:lang w:val="fr-CH"/>
        </w:rPr>
        <w:t xml:space="preserve"> la situation de réfé</w:t>
      </w:r>
      <w:r w:rsidR="006C1D97" w:rsidRPr="00BA1B6C">
        <w:rPr>
          <w:i/>
          <w:iCs/>
          <w:lang w:val="fr-CH"/>
        </w:rPr>
        <w:t xml:space="preserve">rence </w:t>
      </w:r>
      <w:r w:rsidR="006F0228" w:rsidRPr="00BA1B6C">
        <w:rPr>
          <w:i/>
          <w:iCs/>
          <w:lang w:val="fr-CH"/>
        </w:rPr>
        <w:t>concernant le critère</w:t>
      </w:r>
      <w:r w:rsidR="006C1D97" w:rsidRPr="00BA1B6C">
        <w:rPr>
          <w:i/>
          <w:iCs/>
          <w:lang w:val="fr-CH"/>
        </w:rPr>
        <w:t xml:space="preserve"> </w:t>
      </w:r>
      <w:r w:rsidR="00AF3127">
        <w:rPr>
          <w:i/>
          <w:iCs/>
          <w:lang w:val="fr-CH"/>
        </w:rPr>
        <w:t xml:space="preserve">cumulatif de cet </w:t>
      </w:r>
      <w:r w:rsidR="006C1D97" w:rsidRPr="00BA1B6C">
        <w:rPr>
          <w:i/>
          <w:iCs/>
          <w:lang w:val="fr-CH"/>
        </w:rPr>
        <w:t>allotissement (</w:t>
      </w:r>
      <w:r w:rsidR="00AF3127">
        <w:rPr>
          <w:i/>
          <w:iCs/>
          <w:lang w:val="fr-CH"/>
        </w:rPr>
        <w:t>34,</w:t>
      </w:r>
      <w:r w:rsidR="006C1D97" w:rsidRPr="00BA1B6C">
        <w:rPr>
          <w:i/>
          <w:iCs/>
          <w:lang w:val="fr-CH"/>
        </w:rPr>
        <w:t xml:space="preserve">199 dB) dans les bandes des13/10-11GHz </w:t>
      </w:r>
      <w:r w:rsidR="00AF3127">
        <w:rPr>
          <w:i/>
          <w:iCs/>
          <w:lang w:val="fr-CH"/>
        </w:rPr>
        <w:t>a subi</w:t>
      </w:r>
      <w:r w:rsidR="006C1D97" w:rsidRPr="00BA1B6C">
        <w:rPr>
          <w:i/>
          <w:iCs/>
          <w:lang w:val="fr-CH"/>
        </w:rPr>
        <w:t xml:space="preserve"> une dégr</w:t>
      </w:r>
      <w:r>
        <w:rPr>
          <w:i/>
          <w:iCs/>
          <w:lang w:val="fr-CH"/>
        </w:rPr>
        <w:t>adation</w:t>
      </w:r>
      <w:r w:rsidR="006C1D97" w:rsidRPr="00BA1B6C">
        <w:rPr>
          <w:i/>
          <w:iCs/>
          <w:lang w:val="fr-CH"/>
        </w:rPr>
        <w:t xml:space="preserve"> </w:t>
      </w:r>
      <w:r w:rsidR="00AF3127">
        <w:rPr>
          <w:i/>
          <w:iCs/>
          <w:lang w:val="fr-CH"/>
        </w:rPr>
        <w:t>et est passée</w:t>
      </w:r>
      <w:r w:rsidR="006F0228" w:rsidRPr="00BA1B6C">
        <w:rPr>
          <w:i/>
          <w:iCs/>
          <w:lang w:val="fr-CH"/>
        </w:rPr>
        <w:t xml:space="preserve"> à </w:t>
      </w:r>
      <w:r>
        <w:rPr>
          <w:i/>
          <w:iCs/>
          <w:lang w:val="fr-CH"/>
        </w:rPr>
        <w:t>9,723 dB</w:t>
      </w:r>
      <w:r w:rsidR="00AF3127">
        <w:rPr>
          <w:i/>
          <w:iCs/>
          <w:lang w:val="fr-CH"/>
        </w:rPr>
        <w:t>, tandis que la situation de référence pour le brouillage dû à une source unique</w:t>
      </w:r>
      <w:r w:rsidR="00854423">
        <w:rPr>
          <w:i/>
          <w:iCs/>
          <w:lang w:val="fr-CH"/>
        </w:rPr>
        <w:t xml:space="preserve"> est passée à 9,723 </w:t>
      </w:r>
      <w:bookmarkStart w:id="38" w:name="_GoBack"/>
      <w:bookmarkEnd w:id="38"/>
      <w:r w:rsidR="00BF2B14">
        <w:rPr>
          <w:i/>
          <w:iCs/>
          <w:lang w:val="fr-CH"/>
        </w:rPr>
        <w:t>dB.</w:t>
      </w:r>
      <w:r w:rsidR="00AF3127">
        <w:rPr>
          <w:i/>
          <w:iCs/>
          <w:lang w:val="fr-CH"/>
        </w:rPr>
        <w:t xml:space="preserve"> D</w:t>
      </w:r>
      <w:r w:rsidR="006F0228" w:rsidRPr="00BA1B6C">
        <w:rPr>
          <w:i/>
          <w:iCs/>
          <w:lang w:val="fr-CH"/>
        </w:rPr>
        <w:t xml:space="preserve">ans les bandes des </w:t>
      </w:r>
      <w:r w:rsidR="00A7674F" w:rsidRPr="00BA1B6C">
        <w:rPr>
          <w:i/>
          <w:iCs/>
          <w:lang w:val="fr-CH"/>
        </w:rPr>
        <w:t>6/4GHz</w:t>
      </w:r>
      <w:r w:rsidR="006F0228" w:rsidRPr="00BA1B6C">
        <w:rPr>
          <w:i/>
          <w:iCs/>
          <w:lang w:val="fr-CH"/>
        </w:rPr>
        <w:t>, la situation de</w:t>
      </w:r>
      <w:r w:rsidR="00BF2B14">
        <w:rPr>
          <w:i/>
          <w:iCs/>
          <w:lang w:val="fr-CH"/>
        </w:rPr>
        <w:t xml:space="preserve"> référence est restée</w:t>
      </w:r>
      <w:r w:rsidR="006F0228" w:rsidRPr="00BA1B6C">
        <w:rPr>
          <w:i/>
          <w:iCs/>
          <w:lang w:val="fr-CH"/>
        </w:rPr>
        <w:t xml:space="preserve"> inchangé</w:t>
      </w:r>
      <w:r>
        <w:rPr>
          <w:i/>
          <w:iCs/>
          <w:lang w:val="fr-CH"/>
        </w:rPr>
        <w:t>e</w:t>
      </w:r>
      <w:r w:rsidR="006F0228" w:rsidRPr="00BA1B6C">
        <w:rPr>
          <w:i/>
          <w:iCs/>
          <w:lang w:val="fr-CH"/>
        </w:rPr>
        <w:t>, étant donné que le réseau brouilleur dispose d</w:t>
      </w:r>
      <w:r>
        <w:rPr>
          <w:i/>
          <w:iCs/>
          <w:lang w:val="fr-CH"/>
        </w:rPr>
        <w:t>'</w:t>
      </w:r>
      <w:r w:rsidR="006F0228" w:rsidRPr="00BA1B6C">
        <w:rPr>
          <w:i/>
          <w:iCs/>
          <w:lang w:val="fr-CH"/>
        </w:rPr>
        <w:t xml:space="preserve">assignations uniquement dans les bandes des </w:t>
      </w:r>
      <w:r w:rsidR="00BF2B14">
        <w:rPr>
          <w:i/>
          <w:iCs/>
          <w:lang w:val="fr-CH"/>
        </w:rPr>
        <w:t>13/10-11GHz</w:t>
      </w:r>
      <w:r w:rsidR="00A7674F" w:rsidRPr="00BA1B6C">
        <w:rPr>
          <w:i/>
          <w:iCs/>
          <w:lang w:val="fr-CH"/>
        </w:rPr>
        <w:t>.</w:t>
      </w:r>
    </w:p>
    <w:p w:rsidR="00A7674F" w:rsidRPr="00BA1B6C" w:rsidRDefault="00A7674F" w:rsidP="00AA3F4E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i/>
          <w:iCs/>
          <w:lang w:val="fr-CH"/>
        </w:rPr>
      </w:pPr>
    </w:p>
    <w:p w:rsidR="00A7674F" w:rsidRPr="00BA1B6C" w:rsidRDefault="006F0228" w:rsidP="00821C4E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color w:val="000000"/>
          <w:lang w:val="fr-CH"/>
        </w:rPr>
      </w:pPr>
      <w:r w:rsidRPr="00BA1B6C">
        <w:rPr>
          <w:i/>
          <w:iCs/>
          <w:lang w:val="fr-CH"/>
        </w:rPr>
        <w:t>Dans le cas des autres allotissement</w:t>
      </w:r>
      <w:r w:rsidR="00BF2B14">
        <w:rPr>
          <w:i/>
          <w:iCs/>
          <w:lang w:val="fr-CH"/>
        </w:rPr>
        <w:t>s</w:t>
      </w:r>
      <w:r w:rsidRPr="00BA1B6C">
        <w:rPr>
          <w:i/>
          <w:iCs/>
          <w:lang w:val="fr-CH"/>
        </w:rPr>
        <w:t xml:space="preserve"> pour lesquels les administrations responsables n</w:t>
      </w:r>
      <w:r w:rsidR="00821C4E">
        <w:rPr>
          <w:i/>
          <w:iCs/>
          <w:lang w:val="fr-CH"/>
        </w:rPr>
        <w:t>'</w:t>
      </w:r>
      <w:r w:rsidRPr="00BA1B6C">
        <w:rPr>
          <w:i/>
          <w:iCs/>
          <w:lang w:val="fr-CH"/>
        </w:rPr>
        <w:t>ont pas répondu, il n</w:t>
      </w:r>
      <w:r w:rsidR="00821C4E">
        <w:rPr>
          <w:i/>
          <w:iCs/>
          <w:lang w:val="fr-CH"/>
        </w:rPr>
        <w:t>'</w:t>
      </w:r>
      <w:r w:rsidRPr="00BA1B6C">
        <w:rPr>
          <w:i/>
          <w:iCs/>
          <w:lang w:val="fr-CH"/>
        </w:rPr>
        <w:t>y a pas encore eu de conséquences pour les valeu</w:t>
      </w:r>
      <w:r w:rsidR="00BF2B14">
        <w:rPr>
          <w:i/>
          <w:iCs/>
          <w:lang w:val="fr-CH"/>
        </w:rPr>
        <w:t>rs de la situation de référence</w:t>
      </w:r>
      <w:r w:rsidRPr="00BA1B6C">
        <w:rPr>
          <w:i/>
          <w:iCs/>
          <w:lang w:val="fr-CH"/>
        </w:rPr>
        <w:t>, en raison de l</w:t>
      </w:r>
      <w:r w:rsidR="00821C4E">
        <w:rPr>
          <w:i/>
          <w:iCs/>
          <w:lang w:val="fr-CH"/>
        </w:rPr>
        <w:t>'</w:t>
      </w:r>
      <w:r w:rsidRPr="00BA1B6C">
        <w:rPr>
          <w:i/>
          <w:iCs/>
          <w:lang w:val="fr-CH"/>
        </w:rPr>
        <w:t>application du §</w:t>
      </w:r>
      <w:r w:rsidR="00550345">
        <w:rPr>
          <w:i/>
          <w:iCs/>
          <w:lang w:val="fr-CH"/>
        </w:rPr>
        <w:t> </w:t>
      </w:r>
      <w:r w:rsidRPr="00BA1B6C">
        <w:rPr>
          <w:i/>
          <w:iCs/>
          <w:lang w:val="fr-CH"/>
        </w:rPr>
        <w:t xml:space="preserve">6.15 </w:t>
      </w:r>
      <w:r w:rsidR="00BF2B14">
        <w:rPr>
          <w:i/>
          <w:iCs/>
          <w:lang w:val="fr-CH"/>
        </w:rPr>
        <w:t>de l</w:t>
      </w:r>
      <w:r w:rsidR="00821C4E">
        <w:rPr>
          <w:i/>
          <w:iCs/>
          <w:lang w:val="fr-CH"/>
        </w:rPr>
        <w:t>'</w:t>
      </w:r>
      <w:r w:rsidR="00BF2B14">
        <w:rPr>
          <w:i/>
          <w:iCs/>
          <w:lang w:val="fr-CH"/>
        </w:rPr>
        <w:t>A</w:t>
      </w:r>
      <w:r w:rsidR="00550345">
        <w:rPr>
          <w:i/>
          <w:iCs/>
          <w:lang w:val="fr-CH"/>
        </w:rPr>
        <w:t>ppendice 30</w:t>
      </w:r>
      <w:r w:rsidRPr="00BA1B6C">
        <w:rPr>
          <w:i/>
          <w:iCs/>
          <w:lang w:val="fr-CH"/>
        </w:rPr>
        <w:t xml:space="preserve">B </w:t>
      </w:r>
      <w:r w:rsidR="00A7674F" w:rsidRPr="00BA1B6C">
        <w:rPr>
          <w:i/>
          <w:iCs/>
          <w:lang w:val="fr-CH"/>
        </w:rPr>
        <w:t>(</w:t>
      </w:r>
      <w:r w:rsidRPr="00BA1B6C">
        <w:rPr>
          <w:i/>
          <w:iCs/>
          <w:lang w:val="fr-CH"/>
        </w:rPr>
        <w:t>même si en théorie, la situation de référence</w:t>
      </w:r>
      <w:r w:rsidR="00BF2B14">
        <w:rPr>
          <w:i/>
          <w:iCs/>
          <w:lang w:val="fr-CH"/>
        </w:rPr>
        <w:t xml:space="preserve"> a subi une dégradation du fait</w:t>
      </w:r>
      <w:r w:rsidRPr="00BA1B6C">
        <w:rPr>
          <w:i/>
          <w:iCs/>
          <w:lang w:val="fr-CH"/>
        </w:rPr>
        <w:t xml:space="preserve"> de l</w:t>
      </w:r>
      <w:r w:rsidR="00821C4E">
        <w:rPr>
          <w:i/>
          <w:iCs/>
          <w:lang w:val="fr-CH"/>
        </w:rPr>
        <w:t>'</w:t>
      </w:r>
      <w:r w:rsidRPr="00BA1B6C">
        <w:rPr>
          <w:i/>
          <w:iCs/>
          <w:lang w:val="fr-CH"/>
        </w:rPr>
        <w:t>absence de réponse). Cela s</w:t>
      </w:r>
      <w:r w:rsidR="00821C4E">
        <w:rPr>
          <w:i/>
          <w:iCs/>
          <w:lang w:val="fr-CH"/>
        </w:rPr>
        <w:t>'</w:t>
      </w:r>
      <w:r w:rsidRPr="00BA1B6C">
        <w:rPr>
          <w:i/>
          <w:iCs/>
          <w:lang w:val="fr-CH"/>
        </w:rPr>
        <w:t>explique par le fait que la plupar</w:t>
      </w:r>
      <w:r w:rsidR="00BF2B14">
        <w:rPr>
          <w:i/>
          <w:iCs/>
          <w:lang w:val="fr-CH"/>
        </w:rPr>
        <w:t>t des nouveaux réseaux en projet</w:t>
      </w:r>
      <w:r w:rsidR="00A7674F" w:rsidRPr="00BA1B6C">
        <w:rPr>
          <w:i/>
          <w:iCs/>
          <w:lang w:val="fr-CH"/>
        </w:rPr>
        <w:t xml:space="preserve"> (</w:t>
      </w:r>
      <w:r w:rsidRPr="00BA1B6C">
        <w:rPr>
          <w:i/>
          <w:iCs/>
          <w:lang w:val="fr-CH"/>
        </w:rPr>
        <w:t>c</w:t>
      </w:r>
      <w:r w:rsidR="00821C4E">
        <w:rPr>
          <w:i/>
          <w:iCs/>
          <w:lang w:val="fr-CH"/>
        </w:rPr>
        <w:t>'</w:t>
      </w:r>
      <w:r w:rsidRPr="00BA1B6C">
        <w:rPr>
          <w:i/>
          <w:iCs/>
          <w:lang w:val="fr-CH"/>
        </w:rPr>
        <w:t>est-à-dire ceux ayant demandé l</w:t>
      </w:r>
      <w:r w:rsidR="00821C4E">
        <w:rPr>
          <w:i/>
          <w:iCs/>
          <w:lang w:val="fr-CH"/>
        </w:rPr>
        <w:t>'</w:t>
      </w:r>
      <w:r w:rsidRPr="00BA1B6C">
        <w:rPr>
          <w:i/>
          <w:iCs/>
          <w:lang w:val="fr-CH"/>
        </w:rPr>
        <w:t xml:space="preserve">application des </w:t>
      </w:r>
      <w:r w:rsidR="00A7674F" w:rsidRPr="00BA1B6C">
        <w:rPr>
          <w:i/>
          <w:iCs/>
          <w:lang w:val="fr-CH"/>
        </w:rPr>
        <w:t>§</w:t>
      </w:r>
      <w:r w:rsidR="00550345">
        <w:rPr>
          <w:i/>
          <w:iCs/>
          <w:lang w:val="fr-CH"/>
        </w:rPr>
        <w:t> </w:t>
      </w:r>
      <w:r w:rsidR="00A7674F" w:rsidRPr="00BA1B6C">
        <w:rPr>
          <w:i/>
          <w:iCs/>
          <w:lang w:val="fr-CH"/>
        </w:rPr>
        <w:t>6.10</w:t>
      </w:r>
      <w:r w:rsidRPr="00BA1B6C">
        <w:rPr>
          <w:i/>
          <w:iCs/>
          <w:lang w:val="fr-CH"/>
        </w:rPr>
        <w:t xml:space="preserve"> à </w:t>
      </w:r>
      <w:r w:rsidR="00BF2B14">
        <w:rPr>
          <w:i/>
          <w:iCs/>
          <w:lang w:val="fr-CH"/>
        </w:rPr>
        <w:t>6.15</w:t>
      </w:r>
      <w:r w:rsidR="00A7674F" w:rsidRPr="00BA1B6C">
        <w:rPr>
          <w:i/>
          <w:iCs/>
          <w:lang w:val="fr-CH"/>
        </w:rPr>
        <w:t xml:space="preserve">) </w:t>
      </w:r>
      <w:r w:rsidR="00BF2B14">
        <w:rPr>
          <w:i/>
          <w:iCs/>
          <w:lang w:val="fr-CH"/>
        </w:rPr>
        <w:t>en sont encore au stade</w:t>
      </w:r>
      <w:r w:rsidRPr="00BA1B6C">
        <w:rPr>
          <w:i/>
          <w:iCs/>
          <w:lang w:val="fr-CH"/>
        </w:rPr>
        <w:t xml:space="preserve"> de la Partie A et n</w:t>
      </w:r>
      <w:r w:rsidR="00821C4E">
        <w:rPr>
          <w:i/>
          <w:iCs/>
          <w:lang w:val="fr-CH"/>
        </w:rPr>
        <w:t>'</w:t>
      </w:r>
      <w:r w:rsidRPr="00BA1B6C">
        <w:rPr>
          <w:i/>
          <w:iCs/>
          <w:lang w:val="fr-CH"/>
        </w:rPr>
        <w:t>ont pas encore é</w:t>
      </w:r>
      <w:r w:rsidR="00BF2B14">
        <w:rPr>
          <w:i/>
          <w:iCs/>
          <w:lang w:val="fr-CH"/>
        </w:rPr>
        <w:t>té inscrits dans la Liste de l</w:t>
      </w:r>
      <w:r w:rsidR="00821C4E">
        <w:rPr>
          <w:i/>
          <w:iCs/>
          <w:lang w:val="fr-CH"/>
        </w:rPr>
        <w:t>'</w:t>
      </w:r>
      <w:r w:rsidR="00BF2B14">
        <w:rPr>
          <w:i/>
          <w:iCs/>
          <w:lang w:val="fr-CH"/>
        </w:rPr>
        <w:t>A</w:t>
      </w:r>
      <w:r w:rsidR="00821C4E">
        <w:rPr>
          <w:i/>
          <w:iCs/>
          <w:lang w:val="fr-CH"/>
        </w:rPr>
        <w:t>ppendice 30</w:t>
      </w:r>
      <w:r w:rsidRPr="00BA1B6C">
        <w:rPr>
          <w:i/>
          <w:iCs/>
          <w:lang w:val="fr-CH"/>
        </w:rPr>
        <w:t xml:space="preserve">B. En conséquence, il est difficile pour le BR de préjuger de la dégradation de la situation de </w:t>
      </w:r>
      <w:r w:rsidRPr="00BA1B6C">
        <w:rPr>
          <w:i/>
          <w:iCs/>
          <w:lang w:val="fr-CH"/>
        </w:rPr>
        <w:lastRenderedPageBreak/>
        <w:t>référen</w:t>
      </w:r>
      <w:r w:rsidR="00BF2B14">
        <w:rPr>
          <w:i/>
          <w:iCs/>
          <w:lang w:val="fr-CH"/>
        </w:rPr>
        <w:t>ce pour</w:t>
      </w:r>
      <w:r w:rsidRPr="00BA1B6C">
        <w:rPr>
          <w:i/>
          <w:iCs/>
          <w:lang w:val="fr-CH"/>
        </w:rPr>
        <w:t xml:space="preserve"> l</w:t>
      </w:r>
      <w:r w:rsidR="00821C4E">
        <w:rPr>
          <w:i/>
          <w:iCs/>
          <w:lang w:val="fr-CH"/>
        </w:rPr>
        <w:t>'</w:t>
      </w:r>
      <w:r w:rsidRPr="00BA1B6C">
        <w:rPr>
          <w:i/>
          <w:iCs/>
          <w:lang w:val="fr-CH"/>
        </w:rPr>
        <w:t xml:space="preserve">allotissement </w:t>
      </w:r>
      <w:r w:rsidR="00BF2B14">
        <w:rPr>
          <w:i/>
          <w:iCs/>
          <w:lang w:val="fr-CH"/>
        </w:rPr>
        <w:t>visé par le</w:t>
      </w:r>
      <w:r w:rsidR="00125EA3" w:rsidRPr="00BA1B6C">
        <w:rPr>
          <w:i/>
          <w:iCs/>
          <w:lang w:val="fr-CH"/>
        </w:rPr>
        <w:t xml:space="preserve"> </w:t>
      </w:r>
      <w:r w:rsidR="00821C4E">
        <w:rPr>
          <w:i/>
          <w:iCs/>
          <w:lang w:val="fr-CH"/>
        </w:rPr>
        <w:t>«</w:t>
      </w:r>
      <w:r w:rsidR="00A7674F" w:rsidRPr="00BA1B6C">
        <w:rPr>
          <w:i/>
          <w:iCs/>
          <w:lang w:val="fr-CH"/>
        </w:rPr>
        <w:t>§</w:t>
      </w:r>
      <w:r w:rsidR="001B0084">
        <w:rPr>
          <w:i/>
          <w:iCs/>
          <w:lang w:val="fr-CH"/>
        </w:rPr>
        <w:t xml:space="preserve"> </w:t>
      </w:r>
      <w:r w:rsidR="00821C4E">
        <w:rPr>
          <w:i/>
          <w:iCs/>
          <w:lang w:val="fr-CH"/>
        </w:rPr>
        <w:t>6.15»</w:t>
      </w:r>
      <w:r w:rsidR="00A7674F" w:rsidRPr="00BA1B6C">
        <w:rPr>
          <w:i/>
          <w:iCs/>
          <w:lang w:val="fr-CH"/>
        </w:rPr>
        <w:t xml:space="preserve"> </w:t>
      </w:r>
      <w:r w:rsidR="00BF2B14">
        <w:rPr>
          <w:i/>
          <w:iCs/>
          <w:lang w:val="fr-CH"/>
        </w:rPr>
        <w:t>avant l</w:t>
      </w:r>
      <w:r w:rsidR="00821C4E">
        <w:rPr>
          <w:i/>
          <w:iCs/>
          <w:lang w:val="fr-CH"/>
        </w:rPr>
        <w:t>'</w:t>
      </w:r>
      <w:r w:rsidR="00BF2B14">
        <w:rPr>
          <w:i/>
          <w:iCs/>
          <w:lang w:val="fr-CH"/>
        </w:rPr>
        <w:t>inscription dans la L</w:t>
      </w:r>
      <w:r w:rsidR="00125EA3" w:rsidRPr="00BA1B6C">
        <w:rPr>
          <w:i/>
          <w:iCs/>
          <w:lang w:val="fr-CH"/>
        </w:rPr>
        <w:t>iste des réseaux béné</w:t>
      </w:r>
      <w:r w:rsidR="00BF2B14">
        <w:rPr>
          <w:i/>
          <w:iCs/>
          <w:lang w:val="fr-CH"/>
        </w:rPr>
        <w:t>ficiant des accords au titre du</w:t>
      </w:r>
      <w:r w:rsidR="00125EA3" w:rsidRPr="00BA1B6C">
        <w:rPr>
          <w:i/>
          <w:iCs/>
          <w:lang w:val="fr-CH"/>
        </w:rPr>
        <w:t xml:space="preserve"> </w:t>
      </w:r>
      <w:r w:rsidR="00821C4E">
        <w:rPr>
          <w:i/>
          <w:iCs/>
          <w:lang w:val="fr-CH"/>
        </w:rPr>
        <w:t>«</w:t>
      </w:r>
      <w:r w:rsidR="00A7674F" w:rsidRPr="00BA1B6C">
        <w:rPr>
          <w:i/>
          <w:iCs/>
          <w:lang w:val="fr-CH"/>
        </w:rPr>
        <w:t>§</w:t>
      </w:r>
      <w:r w:rsidR="001B0084">
        <w:rPr>
          <w:i/>
          <w:iCs/>
          <w:lang w:val="fr-CH"/>
        </w:rPr>
        <w:t xml:space="preserve"> </w:t>
      </w:r>
      <w:r w:rsidR="00821C4E">
        <w:rPr>
          <w:i/>
          <w:iCs/>
          <w:lang w:val="fr-CH"/>
        </w:rPr>
        <w:t>6.15»</w:t>
      </w:r>
      <w:r w:rsidR="00125EA3" w:rsidRPr="00BA1B6C">
        <w:rPr>
          <w:i/>
          <w:iCs/>
          <w:lang w:val="fr-CH"/>
        </w:rPr>
        <w:t xml:space="preserve">. En effet, certains de ces réseaux ultérieurs seront annulés </w:t>
      </w:r>
      <w:r w:rsidR="00BF2B14">
        <w:rPr>
          <w:i/>
          <w:iCs/>
          <w:lang w:val="fr-CH"/>
        </w:rPr>
        <w:t>avant leur inscription dans la L</w:t>
      </w:r>
      <w:r w:rsidR="00125EA3" w:rsidRPr="00BA1B6C">
        <w:rPr>
          <w:i/>
          <w:iCs/>
          <w:lang w:val="fr-CH"/>
        </w:rPr>
        <w:t>iste, ou présenteront peut-être des caractéristiques finale</w:t>
      </w:r>
      <w:r w:rsidR="00BF2B14">
        <w:rPr>
          <w:i/>
          <w:iCs/>
          <w:lang w:val="fr-CH"/>
        </w:rPr>
        <w:t>s différentes de celles indiquées</w:t>
      </w:r>
      <w:r w:rsidR="00125EA3" w:rsidRPr="00BA1B6C">
        <w:rPr>
          <w:i/>
          <w:iCs/>
          <w:lang w:val="fr-CH"/>
        </w:rPr>
        <w:t xml:space="preserve"> dans la Section spéciale</w:t>
      </w:r>
      <w:r w:rsidR="00A7674F" w:rsidRPr="00BA1B6C">
        <w:rPr>
          <w:i/>
          <w:iCs/>
          <w:lang w:val="fr-CH"/>
        </w:rPr>
        <w:t xml:space="preserve"> </w:t>
      </w:r>
      <w:r w:rsidR="00BF2B14">
        <w:rPr>
          <w:i/>
          <w:iCs/>
          <w:lang w:val="fr-CH"/>
        </w:rPr>
        <w:t>AP30B/A6A/</w:t>
      </w:r>
      <w:r w:rsidR="00A7674F" w:rsidRPr="00BA1B6C">
        <w:rPr>
          <w:i/>
          <w:iCs/>
          <w:lang w:val="fr-CH"/>
        </w:rPr>
        <w:t>,</w:t>
      </w:r>
      <w:r w:rsidR="00BF2B14">
        <w:rPr>
          <w:i/>
          <w:iCs/>
          <w:lang w:val="fr-CH"/>
        </w:rPr>
        <w:t xml:space="preserve"> du fait</w:t>
      </w:r>
      <w:r w:rsidR="00125EA3" w:rsidRPr="00BA1B6C">
        <w:rPr>
          <w:i/>
          <w:iCs/>
          <w:lang w:val="fr-CH"/>
        </w:rPr>
        <w:t xml:space="preserve"> de la réduction des brouillages, si bien que les allotissement</w:t>
      </w:r>
      <w:r w:rsidR="00BF2B14">
        <w:rPr>
          <w:i/>
          <w:iCs/>
          <w:lang w:val="fr-CH"/>
        </w:rPr>
        <w:t>s</w:t>
      </w:r>
      <w:r w:rsidR="00125EA3" w:rsidRPr="00BA1B6C">
        <w:rPr>
          <w:i/>
          <w:iCs/>
          <w:lang w:val="fr-CH"/>
        </w:rPr>
        <w:t xml:space="preserve"> des autres administrations ne s</w:t>
      </w:r>
      <w:r w:rsidR="00BF2B14">
        <w:rPr>
          <w:i/>
          <w:iCs/>
          <w:lang w:val="fr-CH"/>
        </w:rPr>
        <w:t xml:space="preserve">eront plus (ou seront moins) </w:t>
      </w:r>
      <w:r w:rsidR="00125EA3" w:rsidRPr="00BA1B6C">
        <w:rPr>
          <w:i/>
          <w:iCs/>
          <w:lang w:val="fr-CH"/>
        </w:rPr>
        <w:t>affec</w:t>
      </w:r>
      <w:r w:rsidR="00821C4E">
        <w:rPr>
          <w:i/>
          <w:iCs/>
          <w:lang w:val="fr-CH"/>
        </w:rPr>
        <w:t>tés.»</w:t>
      </w:r>
    </w:p>
    <w:p w:rsidR="00A7674F" w:rsidRPr="00BA1B6C" w:rsidRDefault="00550345" w:rsidP="00AA3F4E">
      <w:pPr>
        <w:rPr>
          <w:b/>
          <w:bCs/>
          <w:i/>
          <w:iCs/>
          <w:u w:val="single"/>
          <w:lang w:val="fr-CH"/>
        </w:rPr>
      </w:pPr>
      <w:r>
        <w:rPr>
          <w:b/>
          <w:bCs/>
          <w:i/>
          <w:iCs/>
          <w:u w:val="single"/>
          <w:lang w:val="fr-CH"/>
        </w:rPr>
        <w:t>Fin de citation</w:t>
      </w:r>
    </w:p>
    <w:p w:rsidR="00125EA3" w:rsidRPr="00BA1B6C" w:rsidRDefault="00125EA3" w:rsidP="00821C4E">
      <w:pPr>
        <w:rPr>
          <w:lang w:val="fr-CH"/>
        </w:rPr>
      </w:pPr>
      <w:r w:rsidRPr="00BA1B6C">
        <w:rPr>
          <w:lang w:val="fr-CH"/>
        </w:rPr>
        <w:t>Il res</w:t>
      </w:r>
      <w:r w:rsidR="006E6D99">
        <w:rPr>
          <w:lang w:val="fr-CH"/>
        </w:rPr>
        <w:t>s</w:t>
      </w:r>
      <w:r w:rsidRPr="00BA1B6C">
        <w:rPr>
          <w:lang w:val="fr-CH"/>
        </w:rPr>
        <w:t>ort de l</w:t>
      </w:r>
      <w:r w:rsidR="00821C4E">
        <w:rPr>
          <w:lang w:val="fr-CH"/>
        </w:rPr>
        <w:t>'</w:t>
      </w:r>
      <w:r w:rsidRPr="00BA1B6C">
        <w:rPr>
          <w:lang w:val="fr-CH"/>
        </w:rPr>
        <w:t>analyse des statistiques et des résultats de l</w:t>
      </w:r>
      <w:r w:rsidR="00821C4E">
        <w:rPr>
          <w:lang w:val="fr-CH"/>
        </w:rPr>
        <w:t>'</w:t>
      </w:r>
      <w:r w:rsidRPr="00BA1B6C">
        <w:rPr>
          <w:lang w:val="fr-CH"/>
        </w:rPr>
        <w:t xml:space="preserve">analyse </w:t>
      </w:r>
      <w:r w:rsidR="006E6D99">
        <w:rPr>
          <w:lang w:val="fr-CH"/>
        </w:rPr>
        <w:t>effectuée par le Bureau disponibles actuellement, que les valeurs/limites visées au § 2.3 de l</w:t>
      </w:r>
      <w:r w:rsidR="00821C4E">
        <w:rPr>
          <w:lang w:val="fr-CH"/>
        </w:rPr>
        <w:t>'</w:t>
      </w:r>
      <w:r w:rsidR="006E6D99">
        <w:rPr>
          <w:lang w:val="fr-CH"/>
        </w:rPr>
        <w:t>Annexe 4 de l</w:t>
      </w:r>
      <w:r w:rsidR="00821C4E">
        <w:rPr>
          <w:lang w:val="fr-CH"/>
        </w:rPr>
        <w:t>'</w:t>
      </w:r>
      <w:r w:rsidR="006E6D99">
        <w:rPr>
          <w:lang w:val="fr-CH"/>
        </w:rPr>
        <w:t>Appendice 30B pour certaines</w:t>
      </w:r>
      <w:r w:rsidRPr="00BA1B6C">
        <w:rPr>
          <w:lang w:val="fr-CH"/>
        </w:rPr>
        <w:t xml:space="preserve"> administrations ont subi une dégradation</w:t>
      </w:r>
      <w:r w:rsidR="00A7674F" w:rsidRPr="00BA1B6C">
        <w:rPr>
          <w:lang w:val="fr-CH"/>
        </w:rPr>
        <w:t xml:space="preserve"> (</w:t>
      </w:r>
      <w:r w:rsidRPr="00BA1B6C">
        <w:rPr>
          <w:lang w:val="fr-CH"/>
        </w:rPr>
        <w:t>valeurs in</w:t>
      </w:r>
      <w:r w:rsidR="006E6D99">
        <w:rPr>
          <w:lang w:val="fr-CH"/>
        </w:rPr>
        <w:t>férieures à ces niveaux/limites</w:t>
      </w:r>
      <w:r w:rsidR="00821C4E">
        <w:rPr>
          <w:lang w:val="fr-CH"/>
        </w:rPr>
        <w:t>)</w:t>
      </w:r>
      <w:r w:rsidR="006E6D99">
        <w:rPr>
          <w:lang w:val="fr-CH"/>
        </w:rPr>
        <w:t xml:space="preserve">, </w:t>
      </w:r>
      <w:r w:rsidRPr="00BA1B6C">
        <w:rPr>
          <w:lang w:val="fr-CH"/>
        </w:rPr>
        <w:t>en raison de l</w:t>
      </w:r>
      <w:r w:rsidR="00821C4E">
        <w:rPr>
          <w:lang w:val="fr-CH"/>
        </w:rPr>
        <w:t>'</w:t>
      </w:r>
      <w:r w:rsidRPr="00BA1B6C">
        <w:rPr>
          <w:lang w:val="fr-CH"/>
        </w:rPr>
        <w:t>absence de répons</w:t>
      </w:r>
      <w:r w:rsidR="00821C4E">
        <w:rPr>
          <w:lang w:val="fr-CH"/>
        </w:rPr>
        <w:t>e à la demande de coordination</w:t>
      </w:r>
      <w:r w:rsidR="006E6D99">
        <w:rPr>
          <w:lang w:val="fr-CH"/>
        </w:rPr>
        <w:t>. En conséquence, c</w:t>
      </w:r>
      <w:r w:rsidRPr="00BA1B6C">
        <w:rPr>
          <w:lang w:val="fr-CH"/>
        </w:rPr>
        <w:t>es administrations se retrouveront dans une situation dans laquelle l</w:t>
      </w:r>
      <w:r w:rsidR="00821C4E">
        <w:rPr>
          <w:lang w:val="fr-CH"/>
        </w:rPr>
        <w:t>'</w:t>
      </w:r>
      <w:r w:rsidRPr="00BA1B6C">
        <w:rPr>
          <w:lang w:val="fr-CH"/>
        </w:rPr>
        <w:t>exploitation de leurs réseaux à sat</w:t>
      </w:r>
      <w:r w:rsidR="006E6D99">
        <w:rPr>
          <w:lang w:val="fr-CH"/>
        </w:rPr>
        <w:t>ellite, si ceux-ci sont mis en oe</w:t>
      </w:r>
      <w:r w:rsidRPr="00BA1B6C">
        <w:rPr>
          <w:lang w:val="fr-CH"/>
        </w:rPr>
        <w:t>uvre/mis en service, ne bénéficieront pas d</w:t>
      </w:r>
      <w:r w:rsidR="00821C4E">
        <w:rPr>
          <w:lang w:val="fr-CH"/>
        </w:rPr>
        <w:t>'</w:t>
      </w:r>
      <w:r w:rsidRPr="00BA1B6C">
        <w:rPr>
          <w:lang w:val="fr-CH"/>
        </w:rPr>
        <w:t>une protection insuffisante/appropriée pour atteindre les objectifs prévus dans le Plan révisé des allotissement</w:t>
      </w:r>
      <w:r w:rsidR="001E406D">
        <w:rPr>
          <w:lang w:val="fr-CH"/>
        </w:rPr>
        <w:t>s</w:t>
      </w:r>
      <w:r w:rsidR="00550345">
        <w:rPr>
          <w:lang w:val="fr-CH"/>
        </w:rPr>
        <w:t xml:space="preserve"> de la CMR-</w:t>
      </w:r>
      <w:r w:rsidR="00821C4E">
        <w:rPr>
          <w:lang w:val="fr-CH"/>
        </w:rPr>
        <w:t>07.</w:t>
      </w:r>
    </w:p>
    <w:p w:rsidR="00A7674F" w:rsidRPr="00BA1B6C" w:rsidRDefault="00A7674F" w:rsidP="00AA3F4E">
      <w:pPr>
        <w:rPr>
          <w:lang w:val="fr-CH"/>
        </w:rPr>
      </w:pPr>
    </w:p>
    <w:p w:rsidR="00A7674F" w:rsidRPr="001E406D" w:rsidRDefault="001E406D" w:rsidP="00AA3F4E">
      <w:pPr>
        <w:tabs>
          <w:tab w:val="clear" w:pos="1134"/>
          <w:tab w:val="clear" w:pos="1871"/>
          <w:tab w:val="clear" w:pos="2268"/>
        </w:tabs>
        <w:overflowPunct/>
        <w:spacing w:before="0"/>
        <w:textAlignment w:val="auto"/>
        <w:rPr>
          <w:lang w:val="fr-CH"/>
        </w:rPr>
      </w:pPr>
      <w:r>
        <w:rPr>
          <w:lang w:val="fr-CH"/>
        </w:rPr>
        <w:t>C</w:t>
      </w:r>
      <w:r w:rsidR="00125EA3" w:rsidRPr="00BA1B6C">
        <w:rPr>
          <w:lang w:val="fr-CH"/>
        </w:rPr>
        <w:t>ompte tenu de ce qui précède, et afin de remédier à ces insuffisances, il est propo</w:t>
      </w:r>
      <w:r>
        <w:rPr>
          <w:lang w:val="fr-CH"/>
        </w:rPr>
        <w:t>sé de modifier/remanier le § 6.</w:t>
      </w:r>
      <w:r w:rsidR="00125EA3" w:rsidRPr="001E406D">
        <w:rPr>
          <w:lang w:val="fr-CH"/>
        </w:rPr>
        <w:t>14 de l</w:t>
      </w:r>
      <w:r w:rsidR="00821C4E">
        <w:rPr>
          <w:lang w:val="fr-CH"/>
        </w:rPr>
        <w:t>'</w:t>
      </w:r>
      <w:r>
        <w:rPr>
          <w:lang w:val="fr-CH"/>
        </w:rPr>
        <w:t>Article 6 de</w:t>
      </w:r>
      <w:r w:rsidR="00A7674F" w:rsidRPr="001E406D">
        <w:rPr>
          <w:lang w:val="fr-CH"/>
        </w:rPr>
        <w:t xml:space="preserve"> </w:t>
      </w:r>
      <w:r w:rsidR="00717A20" w:rsidRPr="001E406D">
        <w:rPr>
          <w:lang w:val="fr-CH"/>
        </w:rPr>
        <w:t>l</w:t>
      </w:r>
      <w:r w:rsidR="00821C4E">
        <w:rPr>
          <w:lang w:val="fr-CH"/>
        </w:rPr>
        <w:t>'</w:t>
      </w:r>
      <w:r w:rsidR="00717A20" w:rsidRPr="001E406D">
        <w:rPr>
          <w:lang w:val="fr-CH"/>
        </w:rPr>
        <w:t xml:space="preserve">Appendice </w:t>
      </w:r>
      <w:r w:rsidR="00A7674F" w:rsidRPr="001E406D">
        <w:rPr>
          <w:lang w:val="fr-CH"/>
        </w:rPr>
        <w:t>30B.</w:t>
      </w:r>
    </w:p>
    <w:p w:rsidR="00A7674F" w:rsidRPr="001E406D" w:rsidRDefault="00A7674F" w:rsidP="00AA3F4E">
      <w:pPr>
        <w:tabs>
          <w:tab w:val="clear" w:pos="1134"/>
          <w:tab w:val="clear" w:pos="1871"/>
          <w:tab w:val="clear" w:pos="2268"/>
        </w:tabs>
        <w:overflowPunct/>
        <w:spacing w:before="0"/>
        <w:textAlignment w:val="auto"/>
        <w:rPr>
          <w:lang w:val="fr-CH"/>
        </w:rPr>
      </w:pPr>
    </w:p>
    <w:p w:rsidR="00A7674F" w:rsidRPr="001E406D" w:rsidRDefault="00A7674F" w:rsidP="00AA3F4E">
      <w:pPr>
        <w:tabs>
          <w:tab w:val="clear" w:pos="1134"/>
          <w:tab w:val="clear" w:pos="1871"/>
          <w:tab w:val="clear" w:pos="2268"/>
        </w:tabs>
        <w:overflowPunct/>
        <w:spacing w:before="0"/>
        <w:textAlignment w:val="auto"/>
        <w:rPr>
          <w:lang w:val="fr-CH"/>
        </w:rPr>
      </w:pPr>
    </w:p>
    <w:p w:rsidR="00A7674F" w:rsidRPr="00550345" w:rsidRDefault="00A7674F" w:rsidP="00AA3F4E">
      <w:pPr>
        <w:pStyle w:val="Reasons"/>
        <w:rPr>
          <w:lang w:val="fr-CH"/>
        </w:rPr>
      </w:pPr>
    </w:p>
    <w:p w:rsidR="00A7674F" w:rsidRDefault="00A7674F" w:rsidP="00AA3F4E">
      <w:pPr>
        <w:jc w:val="center"/>
      </w:pPr>
      <w:r>
        <w:t>______________</w:t>
      </w:r>
    </w:p>
    <w:p w:rsidR="00A7674F" w:rsidRPr="001E406D" w:rsidRDefault="00A7674F" w:rsidP="00AA3F4E">
      <w:pPr>
        <w:tabs>
          <w:tab w:val="clear" w:pos="1134"/>
          <w:tab w:val="clear" w:pos="1871"/>
          <w:tab w:val="clear" w:pos="2268"/>
        </w:tabs>
        <w:overflowPunct/>
        <w:spacing w:before="0"/>
        <w:textAlignment w:val="auto"/>
        <w:rPr>
          <w:lang w:val="fr-CH"/>
        </w:rPr>
      </w:pPr>
    </w:p>
    <w:p w:rsidR="00A7674F" w:rsidRPr="001E406D" w:rsidRDefault="00A7674F" w:rsidP="00AA3F4E">
      <w:pPr>
        <w:tabs>
          <w:tab w:val="clear" w:pos="1134"/>
          <w:tab w:val="clear" w:pos="1871"/>
          <w:tab w:val="clear" w:pos="2268"/>
        </w:tabs>
        <w:overflowPunct/>
        <w:spacing w:before="0"/>
        <w:textAlignment w:val="auto"/>
        <w:rPr>
          <w:lang w:val="fr-CH"/>
        </w:rPr>
      </w:pPr>
    </w:p>
    <w:p w:rsidR="00A7674F" w:rsidRPr="001E406D" w:rsidRDefault="00A7674F" w:rsidP="00AA3F4E">
      <w:pPr>
        <w:tabs>
          <w:tab w:val="clear" w:pos="1134"/>
          <w:tab w:val="clear" w:pos="1871"/>
          <w:tab w:val="clear" w:pos="2268"/>
        </w:tabs>
        <w:overflowPunct/>
        <w:spacing w:before="0"/>
        <w:textAlignment w:val="auto"/>
        <w:rPr>
          <w:lang w:val="fr-CH"/>
        </w:rPr>
      </w:pPr>
    </w:p>
    <w:sectPr w:rsidR="00A7674F" w:rsidRPr="001E406D">
      <w:headerReference w:type="default" r:id="rId12"/>
      <w:footerReference w:type="even" r:id="rId13"/>
      <w:footerReference w:type="default" r:id="rId14"/>
      <w:footerReference w:type="first" r:id="rId15"/>
      <w:type w:val="oddPage"/>
      <w:pgSz w:w="11907" w:h="16840" w:code="9"/>
      <w:pgMar w:top="1418" w:right="1134" w:bottom="1134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17E8" w:rsidRDefault="001F17E8">
      <w:r>
        <w:separator/>
      </w:r>
    </w:p>
  </w:endnote>
  <w:endnote w:type="continuationSeparator" w:id="0">
    <w:p w:rsidR="001F17E8" w:rsidRDefault="001F1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D25" w:rsidRDefault="00936D25">
    <w:pPr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854423">
      <w:rPr>
        <w:noProof/>
        <w:lang w:val="en-US"/>
      </w:rPr>
      <w:t>P:\FRA\ITU-R\CONF-R\CMR15\000\061ADD21ADD13F.docx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854423">
      <w:rPr>
        <w:noProof/>
      </w:rPr>
      <w:t>26.10.15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854423">
      <w:rPr>
        <w:noProof/>
      </w:rPr>
      <w:t>26.10.15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1DF" w:rsidRDefault="00854423">
    <w:pPr>
      <w:pStyle w:val="Footer"/>
    </w:pPr>
    <w:r>
      <w:fldChar w:fldCharType="begin"/>
    </w:r>
    <w:r>
      <w:instrText xml:space="preserve"> FILENAME \p  \* MERGEFORMAT </w:instrText>
    </w:r>
    <w:r>
      <w:fldChar w:fldCharType="separate"/>
    </w:r>
    <w:r>
      <w:t>P:\FRA\ITU-R\CONF-R\CMR15\000\061ADD21ADD13F.docx</w:t>
    </w:r>
    <w:r>
      <w:fldChar w:fldCharType="end"/>
    </w:r>
    <w:r w:rsidR="008F61DF">
      <w:t>(388303)</w:t>
    </w:r>
    <w:r w:rsidR="008F61DF">
      <w:tab/>
    </w:r>
    <w:r w:rsidR="008F61DF">
      <w:fldChar w:fldCharType="begin"/>
    </w:r>
    <w:r w:rsidR="008F61DF">
      <w:instrText xml:space="preserve"> SAVEDATE \@ DD.MM.YY </w:instrText>
    </w:r>
    <w:r w:rsidR="008F61DF">
      <w:fldChar w:fldCharType="separate"/>
    </w:r>
    <w:r>
      <w:t>26.10.15</w:t>
    </w:r>
    <w:r w:rsidR="008F61DF">
      <w:fldChar w:fldCharType="end"/>
    </w:r>
    <w:r w:rsidR="008F61DF">
      <w:tab/>
    </w:r>
    <w:r w:rsidR="008F61DF">
      <w:fldChar w:fldCharType="begin"/>
    </w:r>
    <w:r w:rsidR="008F61DF">
      <w:instrText xml:space="preserve"> PRINTDATE \@ DD.MM.YY </w:instrText>
    </w:r>
    <w:r w:rsidR="008F61DF">
      <w:fldChar w:fldCharType="separate"/>
    </w:r>
    <w:r>
      <w:t>26.10.15</w:t>
    </w:r>
    <w:r w:rsidR="008F61DF"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1DF" w:rsidRDefault="00854423">
    <w:pPr>
      <w:pStyle w:val="Footer"/>
    </w:pPr>
    <w:r>
      <w:fldChar w:fldCharType="begin"/>
    </w:r>
    <w:r>
      <w:instrText xml:space="preserve"> FILENAME \p  \* MERGEFORMAT </w:instrText>
    </w:r>
    <w:r>
      <w:fldChar w:fldCharType="separate"/>
    </w:r>
    <w:r>
      <w:t>P:\FRA\ITU-R\CONF-R\CMR15\000\061ADD21ADD13F.docx</w:t>
    </w:r>
    <w:r>
      <w:fldChar w:fldCharType="end"/>
    </w:r>
    <w:r w:rsidR="008F61DF">
      <w:t xml:space="preserve"> (388303)</w:t>
    </w:r>
    <w:r w:rsidR="008F61DF">
      <w:tab/>
    </w:r>
    <w:r w:rsidR="008F61DF">
      <w:fldChar w:fldCharType="begin"/>
    </w:r>
    <w:r w:rsidR="008F61DF">
      <w:instrText xml:space="preserve"> SAVEDATE \@ DD.MM.YY </w:instrText>
    </w:r>
    <w:r w:rsidR="008F61DF">
      <w:fldChar w:fldCharType="separate"/>
    </w:r>
    <w:r>
      <w:t>26.10.15</w:t>
    </w:r>
    <w:r w:rsidR="008F61DF">
      <w:fldChar w:fldCharType="end"/>
    </w:r>
    <w:r w:rsidR="008F61DF">
      <w:tab/>
    </w:r>
    <w:r w:rsidR="008F61DF">
      <w:fldChar w:fldCharType="begin"/>
    </w:r>
    <w:r w:rsidR="008F61DF">
      <w:instrText xml:space="preserve"> PRINTDATE \@ DD.MM.YY </w:instrText>
    </w:r>
    <w:r w:rsidR="008F61DF">
      <w:fldChar w:fldCharType="separate"/>
    </w:r>
    <w:r>
      <w:t>26.10.15</w:t>
    </w:r>
    <w:r w:rsidR="008F61DF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17E8" w:rsidRDefault="001F17E8">
      <w:r>
        <w:rPr>
          <w:b/>
        </w:rPr>
        <w:t>_______________</w:t>
      </w:r>
    </w:p>
  </w:footnote>
  <w:footnote w:type="continuationSeparator" w:id="0">
    <w:p w:rsidR="001F17E8" w:rsidRDefault="001F17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1F8E" w:rsidRDefault="004F1F8E" w:rsidP="004F1F8E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854423">
      <w:rPr>
        <w:noProof/>
      </w:rPr>
      <w:t>4</w:t>
    </w:r>
    <w:r>
      <w:fldChar w:fldCharType="end"/>
    </w:r>
  </w:p>
  <w:p w:rsidR="004F1F8E" w:rsidRDefault="004F1F8E" w:rsidP="002C28A4">
    <w:pPr>
      <w:pStyle w:val="Header"/>
    </w:pPr>
    <w:r>
      <w:t>CMR1</w:t>
    </w:r>
    <w:r w:rsidR="002C28A4">
      <w:t>5</w:t>
    </w:r>
    <w:r>
      <w:t>/</w:t>
    </w:r>
    <w:r w:rsidR="006A4B45">
      <w:t>61(Add.21)(Add.13)-</w:t>
    </w:r>
    <w:r w:rsidR="00010B43" w:rsidRPr="00010B43">
      <w:t>F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eturche, Léa">
    <w15:presenceInfo w15:providerId="AD" w15:userId="S-1-5-21-8740799-900759487-1415713722-52220"/>
  </w15:person>
  <w15:person w15:author="Meda, Sylvie">
    <w15:presenceInfo w15:providerId="AD" w15:userId="S-1-5-21-8740799-900759487-1415713722-49398"/>
  </w15:person>
  <w15:person w15:author="Deturche-Nazer, Anne-Marie">
    <w15:presenceInfo w15:providerId="AD" w15:userId="S-1-5-21-8740799-900759487-1415713722-3144"/>
  </w15:person>
  <w15:person w15:author="Germain, Catherine">
    <w15:presenceInfo w15:providerId="AD" w15:userId="S-1-5-21-8740799-900759487-1415713722-414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63"/>
  <w:displayHorizontalDrawingGridEvery w:val="2"/>
  <w:displayVerticalDrawingGridEvery w:val="0"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FAA91627-DFA5-4714-A9E5-67A62E8B2391}"/>
    <w:docVar w:name="dgnword-eventsink" w:val="223173872"/>
  </w:docVars>
  <w:rsids>
    <w:rsidRoot w:val="00BB1D82"/>
    <w:rsid w:val="00007EC7"/>
    <w:rsid w:val="00010B43"/>
    <w:rsid w:val="00016648"/>
    <w:rsid w:val="0003522F"/>
    <w:rsid w:val="00080E2C"/>
    <w:rsid w:val="000A4755"/>
    <w:rsid w:val="000B2E0C"/>
    <w:rsid w:val="000B3D0C"/>
    <w:rsid w:val="001167B9"/>
    <w:rsid w:val="00125EA3"/>
    <w:rsid w:val="001267A0"/>
    <w:rsid w:val="0015203F"/>
    <w:rsid w:val="00160C64"/>
    <w:rsid w:val="0018169B"/>
    <w:rsid w:val="0019352B"/>
    <w:rsid w:val="001960D0"/>
    <w:rsid w:val="001B0084"/>
    <w:rsid w:val="001E406D"/>
    <w:rsid w:val="001F17E8"/>
    <w:rsid w:val="00204306"/>
    <w:rsid w:val="00232FD2"/>
    <w:rsid w:val="0026554E"/>
    <w:rsid w:val="002A4622"/>
    <w:rsid w:val="002A6F8F"/>
    <w:rsid w:val="002B17E5"/>
    <w:rsid w:val="002C0EBF"/>
    <w:rsid w:val="002C28A4"/>
    <w:rsid w:val="00315AFE"/>
    <w:rsid w:val="003357D0"/>
    <w:rsid w:val="003606A6"/>
    <w:rsid w:val="0036650C"/>
    <w:rsid w:val="00393ACD"/>
    <w:rsid w:val="003A583E"/>
    <w:rsid w:val="003E112B"/>
    <w:rsid w:val="003E1D1C"/>
    <w:rsid w:val="003E7B05"/>
    <w:rsid w:val="00466211"/>
    <w:rsid w:val="004834A9"/>
    <w:rsid w:val="004C5749"/>
    <w:rsid w:val="004D01FC"/>
    <w:rsid w:val="004E28C3"/>
    <w:rsid w:val="004F1F8E"/>
    <w:rsid w:val="00512A32"/>
    <w:rsid w:val="00550345"/>
    <w:rsid w:val="00556900"/>
    <w:rsid w:val="005813AD"/>
    <w:rsid w:val="00586CF2"/>
    <w:rsid w:val="005A3A4D"/>
    <w:rsid w:val="005C3768"/>
    <w:rsid w:val="005C630B"/>
    <w:rsid w:val="005C6C3F"/>
    <w:rsid w:val="00613635"/>
    <w:rsid w:val="0062093D"/>
    <w:rsid w:val="00637ECF"/>
    <w:rsid w:val="00647B59"/>
    <w:rsid w:val="00650010"/>
    <w:rsid w:val="0065326A"/>
    <w:rsid w:val="00690C7B"/>
    <w:rsid w:val="006A4B45"/>
    <w:rsid w:val="006C1D97"/>
    <w:rsid w:val="006D4724"/>
    <w:rsid w:val="006D6CB2"/>
    <w:rsid w:val="006D6DB5"/>
    <w:rsid w:val="006E6D99"/>
    <w:rsid w:val="006F0228"/>
    <w:rsid w:val="00701BAE"/>
    <w:rsid w:val="00717A20"/>
    <w:rsid w:val="00721F04"/>
    <w:rsid w:val="00730E95"/>
    <w:rsid w:val="007426B9"/>
    <w:rsid w:val="00763730"/>
    <w:rsid w:val="00764342"/>
    <w:rsid w:val="00774362"/>
    <w:rsid w:val="00786598"/>
    <w:rsid w:val="007A04E8"/>
    <w:rsid w:val="007B0E56"/>
    <w:rsid w:val="007E3DBD"/>
    <w:rsid w:val="00806723"/>
    <w:rsid w:val="00821C4E"/>
    <w:rsid w:val="00851625"/>
    <w:rsid w:val="00854423"/>
    <w:rsid w:val="00863C0A"/>
    <w:rsid w:val="00875526"/>
    <w:rsid w:val="008A3120"/>
    <w:rsid w:val="008D41BE"/>
    <w:rsid w:val="008D58D3"/>
    <w:rsid w:val="008F61DF"/>
    <w:rsid w:val="00904577"/>
    <w:rsid w:val="00906083"/>
    <w:rsid w:val="00923064"/>
    <w:rsid w:val="00925684"/>
    <w:rsid w:val="00930FFD"/>
    <w:rsid w:val="00936D25"/>
    <w:rsid w:val="00941EA5"/>
    <w:rsid w:val="00964700"/>
    <w:rsid w:val="00966C16"/>
    <w:rsid w:val="0098732F"/>
    <w:rsid w:val="009A045F"/>
    <w:rsid w:val="009C7E7C"/>
    <w:rsid w:val="00A00473"/>
    <w:rsid w:val="00A03C9B"/>
    <w:rsid w:val="00A37105"/>
    <w:rsid w:val="00A606C3"/>
    <w:rsid w:val="00A7674F"/>
    <w:rsid w:val="00A83B09"/>
    <w:rsid w:val="00A84541"/>
    <w:rsid w:val="00AA3F4E"/>
    <w:rsid w:val="00AB48F8"/>
    <w:rsid w:val="00AE36A0"/>
    <w:rsid w:val="00AF3127"/>
    <w:rsid w:val="00B00294"/>
    <w:rsid w:val="00B10567"/>
    <w:rsid w:val="00B64FD0"/>
    <w:rsid w:val="00BA1B6C"/>
    <w:rsid w:val="00BA5BD0"/>
    <w:rsid w:val="00BB1D82"/>
    <w:rsid w:val="00BF26E7"/>
    <w:rsid w:val="00BF2B14"/>
    <w:rsid w:val="00C46D93"/>
    <w:rsid w:val="00C53FCA"/>
    <w:rsid w:val="00C76BAF"/>
    <w:rsid w:val="00C814B9"/>
    <w:rsid w:val="00CA670E"/>
    <w:rsid w:val="00CD516F"/>
    <w:rsid w:val="00CD714B"/>
    <w:rsid w:val="00D01C64"/>
    <w:rsid w:val="00D0584B"/>
    <w:rsid w:val="00D119A7"/>
    <w:rsid w:val="00D12B8F"/>
    <w:rsid w:val="00D25FBA"/>
    <w:rsid w:val="00D32B28"/>
    <w:rsid w:val="00D42954"/>
    <w:rsid w:val="00D66EAC"/>
    <w:rsid w:val="00D730DF"/>
    <w:rsid w:val="00D772F0"/>
    <w:rsid w:val="00D77BDC"/>
    <w:rsid w:val="00DC402B"/>
    <w:rsid w:val="00DE0932"/>
    <w:rsid w:val="00E01B44"/>
    <w:rsid w:val="00E03A27"/>
    <w:rsid w:val="00E049F1"/>
    <w:rsid w:val="00E37A25"/>
    <w:rsid w:val="00E43590"/>
    <w:rsid w:val="00E537FF"/>
    <w:rsid w:val="00E6539B"/>
    <w:rsid w:val="00E70A31"/>
    <w:rsid w:val="00EA3F38"/>
    <w:rsid w:val="00EA5AB6"/>
    <w:rsid w:val="00EB1B1E"/>
    <w:rsid w:val="00EC7615"/>
    <w:rsid w:val="00ED16AA"/>
    <w:rsid w:val="00EF662E"/>
    <w:rsid w:val="00F148F1"/>
    <w:rsid w:val="00FA3BBF"/>
    <w:rsid w:val="00FA7C9E"/>
    <w:rsid w:val="00FC41F8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;"/>
  <w15:docId w15:val="{CC4FF000-4234-46C3-98EA-3ECE1FEFB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FFD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C814B9"/>
    <w:pPr>
      <w:keepNext/>
      <w:keepLines/>
      <w:spacing w:before="0" w:after="4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link w:val="HeaderChar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rsid w:val="000B2E0C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character" w:customStyle="1" w:styleId="Appdef">
    <w:name w:val="App_def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paragraph" w:customStyle="1" w:styleId="Border">
    <w:name w:val="Border"/>
    <w:basedOn w:val="Normal"/>
    <w:rsid w:val="004E28C3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4E28C3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fr-CH"/>
    </w:rPr>
  </w:style>
  <w:style w:type="paragraph" w:customStyle="1" w:styleId="Normalend">
    <w:name w:val="Normal_end"/>
    <w:basedOn w:val="Normal"/>
    <w:qFormat/>
    <w:rsid w:val="00B00294"/>
  </w:style>
  <w:style w:type="paragraph" w:customStyle="1" w:styleId="ApptoAnnex">
    <w:name w:val="App_to_Annex"/>
    <w:basedOn w:val="AppendixNo"/>
    <w:qFormat/>
    <w:rsid w:val="00B00294"/>
  </w:style>
  <w:style w:type="paragraph" w:customStyle="1" w:styleId="Note">
    <w:name w:val="Note"/>
    <w:basedOn w:val="Normal"/>
    <w:rsid w:val="00E37A25"/>
    <w:pPr>
      <w:tabs>
        <w:tab w:val="left" w:pos="284"/>
      </w:tabs>
      <w:spacing w:before="80"/>
    </w:pPr>
  </w:style>
  <w:style w:type="character" w:styleId="PageNumber">
    <w:name w:val="page number"/>
    <w:basedOn w:val="DefaultParagraphFont"/>
    <w:rsid w:val="00E37A25"/>
  </w:style>
  <w:style w:type="paragraph" w:customStyle="1" w:styleId="Proposal">
    <w:name w:val="Proposal"/>
    <w:basedOn w:val="Normal"/>
    <w:next w:val="Normal"/>
    <w:rsid w:val="007426B9"/>
    <w:pPr>
      <w:keepNext/>
      <w:spacing w:before="240"/>
    </w:pPr>
    <w:rPr>
      <w:rFonts w:hAnsi="Times New Roman Bold"/>
      <w:b/>
    </w:rPr>
  </w:style>
  <w:style w:type="paragraph" w:customStyle="1" w:styleId="Part1">
    <w:name w:val="Part_1"/>
    <w:basedOn w:val="Normal"/>
    <w:next w:val="Normal"/>
    <w:qFormat/>
    <w:rsid w:val="00466211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PartNo">
    <w:name w:val="Part_No"/>
    <w:basedOn w:val="AnnexNo"/>
    <w:next w:val="Normal"/>
    <w:rsid w:val="00466211"/>
  </w:style>
  <w:style w:type="paragraph" w:customStyle="1" w:styleId="Parttitle">
    <w:name w:val="Part_title"/>
    <w:basedOn w:val="Annextitle"/>
    <w:next w:val="Normalaftertitle"/>
    <w:rsid w:val="00466211"/>
  </w:style>
  <w:style w:type="paragraph" w:styleId="TOC1">
    <w:name w:val="toc 1"/>
    <w:basedOn w:val="Normal"/>
    <w:rsid w:val="00D25FBA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D25FBA"/>
    <w:pPr>
      <w:spacing w:before="120"/>
    </w:pPr>
  </w:style>
  <w:style w:type="paragraph" w:styleId="TOC3">
    <w:name w:val="toc 3"/>
    <w:basedOn w:val="TOC2"/>
    <w:rsid w:val="00D25FBA"/>
  </w:style>
  <w:style w:type="paragraph" w:styleId="TOC4">
    <w:name w:val="toc 4"/>
    <w:basedOn w:val="TOC3"/>
    <w:rsid w:val="00D25FBA"/>
  </w:style>
  <w:style w:type="paragraph" w:styleId="TOC5">
    <w:name w:val="toc 5"/>
    <w:basedOn w:val="TOC4"/>
    <w:rsid w:val="00D25FBA"/>
  </w:style>
  <w:style w:type="paragraph" w:styleId="TOC6">
    <w:name w:val="toc 6"/>
    <w:basedOn w:val="TOC4"/>
    <w:rsid w:val="00D25FBA"/>
  </w:style>
  <w:style w:type="paragraph" w:styleId="TOC7">
    <w:name w:val="toc 7"/>
    <w:basedOn w:val="TOC4"/>
    <w:rsid w:val="00D25FBA"/>
  </w:style>
  <w:style w:type="paragraph" w:styleId="TOC8">
    <w:name w:val="toc 8"/>
    <w:basedOn w:val="TOC4"/>
    <w:rsid w:val="00D25FBA"/>
  </w:style>
  <w:style w:type="paragraph" w:customStyle="1" w:styleId="Title1">
    <w:name w:val="Title 1"/>
    <w:basedOn w:val="Normal"/>
    <w:next w:val="Normal"/>
    <w:rsid w:val="00D25FBA"/>
    <w:pPr>
      <w:tabs>
        <w:tab w:val="left" w:pos="567"/>
        <w:tab w:val="left" w:pos="1701"/>
        <w:tab w:val="left" w:pos="2835"/>
      </w:tabs>
      <w:spacing w:before="240"/>
      <w:jc w:val="center"/>
    </w:pPr>
    <w:rPr>
      <w:caps/>
      <w:sz w:val="28"/>
    </w:rPr>
  </w:style>
  <w:style w:type="paragraph" w:customStyle="1" w:styleId="Title2">
    <w:name w:val="Title 2"/>
    <w:basedOn w:val="Normal"/>
    <w:next w:val="Normal"/>
    <w:rsid w:val="00D25FBA"/>
    <w:pPr>
      <w:overflowPunct/>
      <w:autoSpaceDE/>
      <w:autoSpaceDN/>
      <w:adjustRightInd/>
      <w:spacing w:before="480"/>
      <w:jc w:val="center"/>
      <w:textAlignment w:val="auto"/>
    </w:pPr>
    <w:rPr>
      <w:caps/>
      <w:sz w:val="28"/>
    </w:rPr>
  </w:style>
  <w:style w:type="paragraph" w:customStyle="1" w:styleId="Title3">
    <w:name w:val="Title 3"/>
    <w:basedOn w:val="Title2"/>
    <w:next w:val="Normal"/>
    <w:rsid w:val="00D25FBA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D25FBA"/>
    <w:rPr>
      <w:b/>
    </w:rPr>
  </w:style>
  <w:style w:type="paragraph" w:customStyle="1" w:styleId="toc0">
    <w:name w:val="toc 0"/>
    <w:basedOn w:val="Normal"/>
    <w:next w:val="TOC1"/>
    <w:rsid w:val="00D25FBA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customStyle="1" w:styleId="RecNo">
    <w:name w:val="Rec_No"/>
    <w:basedOn w:val="Normal"/>
    <w:next w:val="Normal"/>
    <w:rsid w:val="00D25FBA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25FBA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date">
    <w:name w:val="Rec_date"/>
    <w:basedOn w:val="Normal"/>
    <w:next w:val="Normalaftertitle"/>
    <w:rsid w:val="0098732F"/>
    <w:pPr>
      <w:keepNext/>
      <w:keepLines/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D25FBA"/>
  </w:style>
  <w:style w:type="paragraph" w:customStyle="1" w:styleId="QuestionNo">
    <w:name w:val="Question_No"/>
    <w:basedOn w:val="RecNo"/>
    <w:next w:val="Normal"/>
    <w:rsid w:val="00D25FBA"/>
  </w:style>
  <w:style w:type="paragraph" w:customStyle="1" w:styleId="Questiontitle">
    <w:name w:val="Question_title"/>
    <w:basedOn w:val="Rectitle"/>
    <w:next w:val="Normal"/>
    <w:rsid w:val="00D25FBA"/>
  </w:style>
  <w:style w:type="paragraph" w:customStyle="1" w:styleId="Reasons">
    <w:name w:val="Reasons"/>
    <w:basedOn w:val="Normal"/>
    <w:qFormat/>
    <w:rsid w:val="00D25FBA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cdef">
    <w:name w:val="Rec_def"/>
    <w:rsid w:val="00D25FBA"/>
    <w:rPr>
      <w:b/>
    </w:rPr>
  </w:style>
  <w:style w:type="paragraph" w:customStyle="1" w:styleId="Reftext">
    <w:name w:val="Ref_text"/>
    <w:basedOn w:val="Normal"/>
    <w:rsid w:val="00D25FBA"/>
    <w:pPr>
      <w:ind w:left="1134" w:hanging="1134"/>
    </w:pPr>
  </w:style>
  <w:style w:type="paragraph" w:customStyle="1" w:styleId="Reftitle">
    <w:name w:val="Ref_title"/>
    <w:basedOn w:val="Normal"/>
    <w:next w:val="Reftext"/>
    <w:rsid w:val="00D25FBA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D25FBA"/>
  </w:style>
  <w:style w:type="paragraph" w:customStyle="1" w:styleId="RepNo">
    <w:name w:val="Rep_No"/>
    <w:basedOn w:val="RecNo"/>
    <w:next w:val="Normal"/>
    <w:rsid w:val="00D25FBA"/>
  </w:style>
  <w:style w:type="paragraph" w:customStyle="1" w:styleId="Repref">
    <w:name w:val="Rep_ref"/>
    <w:basedOn w:val="Normal"/>
    <w:next w:val="Repdate"/>
    <w:rsid w:val="0098732F"/>
    <w:pPr>
      <w:keepNext/>
      <w:keepLines/>
      <w:jc w:val="center"/>
    </w:pPr>
  </w:style>
  <w:style w:type="paragraph" w:customStyle="1" w:styleId="Reptitle">
    <w:name w:val="Rep_title"/>
    <w:basedOn w:val="Rectitle"/>
    <w:next w:val="Repref"/>
    <w:rsid w:val="00D25FBA"/>
  </w:style>
  <w:style w:type="paragraph" w:customStyle="1" w:styleId="Resdate">
    <w:name w:val="Res_date"/>
    <w:basedOn w:val="Recdate"/>
    <w:next w:val="Normalaftertitle"/>
    <w:rsid w:val="00D25FBA"/>
  </w:style>
  <w:style w:type="character" w:customStyle="1" w:styleId="Resdef">
    <w:name w:val="Res_def"/>
    <w:rsid w:val="00D25FBA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  <w:rsid w:val="00D25FBA"/>
  </w:style>
  <w:style w:type="paragraph" w:customStyle="1" w:styleId="Restitle">
    <w:name w:val="Res_title"/>
    <w:basedOn w:val="Rectitle"/>
    <w:next w:val="Normal"/>
    <w:rsid w:val="00D25FBA"/>
  </w:style>
  <w:style w:type="paragraph" w:customStyle="1" w:styleId="Section1">
    <w:name w:val="Section_1"/>
    <w:basedOn w:val="Normal"/>
    <w:rsid w:val="00D25FB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D25FBA"/>
    <w:rPr>
      <w:b w:val="0"/>
      <w:i/>
    </w:rPr>
  </w:style>
  <w:style w:type="paragraph" w:customStyle="1" w:styleId="Section3">
    <w:name w:val="Section_3"/>
    <w:basedOn w:val="Section1"/>
    <w:rsid w:val="00D25FBA"/>
    <w:rPr>
      <w:b w:val="0"/>
    </w:rPr>
  </w:style>
  <w:style w:type="paragraph" w:customStyle="1" w:styleId="SectionNo">
    <w:name w:val="Section_No"/>
    <w:basedOn w:val="AnnexNo"/>
    <w:next w:val="Normal"/>
    <w:rsid w:val="00D25FBA"/>
  </w:style>
  <w:style w:type="paragraph" w:customStyle="1" w:styleId="Sectiontitle">
    <w:name w:val="Section_title"/>
    <w:basedOn w:val="Annextitle"/>
    <w:next w:val="Normalaftertitle"/>
    <w:rsid w:val="00D25FBA"/>
  </w:style>
  <w:style w:type="paragraph" w:customStyle="1" w:styleId="Source">
    <w:name w:val="Source"/>
    <w:basedOn w:val="Normal"/>
    <w:next w:val="Normal"/>
    <w:rsid w:val="00D25FBA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D25FBA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D25FBA"/>
  </w:style>
  <w:style w:type="character" w:customStyle="1" w:styleId="Tablefreq">
    <w:name w:val="Table_freq"/>
    <w:rsid w:val="00D25FBA"/>
    <w:rPr>
      <w:b/>
      <w:color w:val="auto"/>
      <w:sz w:val="20"/>
    </w:rPr>
  </w:style>
  <w:style w:type="paragraph" w:customStyle="1" w:styleId="Tabletext">
    <w:name w:val="Table_text"/>
    <w:basedOn w:val="Normal"/>
    <w:rsid w:val="00D25FBA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D25FBA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D25FBA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D25FBA"/>
    <w:pPr>
      <w:keepNext/>
      <w:spacing w:before="560" w:after="120"/>
      <w:jc w:val="center"/>
    </w:pPr>
    <w:rPr>
      <w:caps/>
      <w:sz w:val="20"/>
    </w:rPr>
  </w:style>
  <w:style w:type="paragraph" w:customStyle="1" w:styleId="TableTextS5">
    <w:name w:val="Table_TextS5"/>
    <w:basedOn w:val="Normal"/>
    <w:rsid w:val="00D25FBA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D25FBA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table" w:styleId="TableGrid">
    <w:name w:val="Table Grid"/>
    <w:basedOn w:val="TableNormal"/>
    <w:rsid w:val="00315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4F1F8E"/>
    <w:rPr>
      <w:rFonts w:ascii="Times New Roman" w:hAnsi="Times New Roman"/>
      <w:sz w:val="18"/>
      <w:lang w:val="fr-FR" w:eastAsia="en-US"/>
    </w:rPr>
  </w:style>
  <w:style w:type="paragraph" w:customStyle="1" w:styleId="AppArttitle">
    <w:name w:val="App_Art_title"/>
    <w:basedOn w:val="Arttitle"/>
    <w:next w:val="Normalaftertitle"/>
    <w:qFormat/>
    <w:rsid w:val="00CD516F"/>
    <w:rPr>
      <w:lang w:val="fr-CH"/>
    </w:rPr>
  </w:style>
  <w:style w:type="paragraph" w:customStyle="1" w:styleId="AppArtNo">
    <w:name w:val="App_Art_No"/>
    <w:basedOn w:val="ArtNo"/>
    <w:next w:val="AppArttitle"/>
    <w:qFormat/>
    <w:rsid w:val="00CD516F"/>
  </w:style>
  <w:style w:type="paragraph" w:customStyle="1" w:styleId="Volumetitle">
    <w:name w:val="Volume_title"/>
    <w:basedOn w:val="ArtNo"/>
    <w:qFormat/>
    <w:rsid w:val="00786598"/>
    <w:rPr>
      <w:lang w:val="fr-CH"/>
    </w:rPr>
  </w:style>
  <w:style w:type="paragraph" w:customStyle="1" w:styleId="Committee">
    <w:name w:val="Committee"/>
    <w:basedOn w:val="Normal"/>
    <w:qFormat/>
    <w:rsid w:val="00721F04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  <w:lang w:val="en-GB"/>
    </w:rPr>
  </w:style>
  <w:style w:type="character" w:customStyle="1" w:styleId="href">
    <w:name w:val="href"/>
    <w:basedOn w:val="DefaultParagraphFont"/>
    <w:rsid w:val="0003177F"/>
  </w:style>
  <w:style w:type="paragraph" w:styleId="EndnoteText">
    <w:name w:val="endnote text"/>
    <w:basedOn w:val="Normal"/>
    <w:link w:val="EndnoteTextChar"/>
    <w:semiHidden/>
    <w:unhideWhenUsed/>
    <w:rsid w:val="005A3A4D"/>
    <w:pPr>
      <w:spacing w:before="0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5A3A4D"/>
    <w:rPr>
      <w:rFonts w:ascii="Times New Roman" w:hAnsi="Times New Roman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R15-WRC15-C-0061!A21-A13!MSW-F</DPM_x0020_File_x0020_name>
    <DPM_x0020_Author xmlns="32a1a8c5-2265-4ebc-b7a0-2071e2c5c9bb" xsi:nil="false">Documents Proposals Manager (DPM)</DPM_x0020_Author>
    <DPM_x0020_Version xmlns="32a1a8c5-2265-4ebc-b7a0-2071e2c5c9bb" xsi:nil="false">DPM_v5.2015.10.8_prod</DPM_x0020_Version>
    <_dlc_DocId xmlns="996b2e75-67fd-4955-a3b0-5ab9934cb50b">CJDSJNEQ73FR-44-24</_dlc_DocId>
    <_dlc_DocIdUrl xmlns="996b2e75-67fd-4955-a3b0-5ab9934cb50b">
      <Url>http://spdev11/en/gmpcs/_layouts/DocIdRedir.aspx?ID=CJDSJNEQ73FR-44-24</Url>
      <Description>CJDSJNEQ73FR-44-24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B4C535F-F1B7-48D8-AAF2-555064BC58C7}">
  <ds:schemaRefs>
    <ds:schemaRef ds:uri="http://purl.org/dc/elements/1.1/"/>
    <ds:schemaRef ds:uri="http://purl.org/dc/dcmitype/"/>
    <ds:schemaRef ds:uri="996b2e75-67fd-4955-a3b0-5ab9934cb50b"/>
    <ds:schemaRef ds:uri="http://schemas.microsoft.com/office/2006/documentManagement/types"/>
    <ds:schemaRef ds:uri="32a1a8c5-2265-4ebc-b7a0-2071e2c5c9bb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FB65110-A6C8-4D90-87A5-46A4C8ABB8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010F7A-8D0F-4C8A-BF58-A55355BC89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6B15F63-C17A-4B3A-8BA8-7EA960B4DE6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4</Pages>
  <Words>1275</Words>
  <Characters>7082</Characters>
  <Application>Microsoft Office Word</Application>
  <DocSecurity>0</DocSecurity>
  <Lines>128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R15-WRC15-C-0061!A21-A13!MSW-F</vt:lpstr>
    </vt:vector>
  </TitlesOfParts>
  <Manager>Secrétariat général - Pool</Manager>
  <Company>Union internationale des télécommunications (UIT)</Company>
  <LinksUpToDate>false</LinksUpToDate>
  <CharactersWithSpaces>8310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R15-WRC15-C-0061!A21-A13!MSW-F</dc:title>
  <dc:subject>Conférence mondiale des radiocommunications - 2015</dc:subject>
  <dc:creator>Documents Proposals Manager (DPM)</dc:creator>
  <cp:keywords>DPM_v5.2015.10.8_prod</cp:keywords>
  <dc:description/>
  <cp:lastModifiedBy>Germain, Catherine</cp:lastModifiedBy>
  <cp:revision>10</cp:revision>
  <cp:lastPrinted>2015-10-26T18:01:00Z</cp:lastPrinted>
  <dcterms:created xsi:type="dcterms:W3CDTF">2015-10-22T07:24:00Z</dcterms:created>
  <dcterms:modified xsi:type="dcterms:W3CDTF">2015-10-26T18:08:00Z</dcterms:modified>
  <cp:category>Document de conférence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PF_WRC12.dotm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889c9587-f7fc-4c6b-a752-d9054d3c46eb</vt:lpwstr>
  </property>
</Properties>
</file>