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3A3D08" w14:paraId="4E0881AC" w14:textId="77777777" w:rsidTr="0050008E">
        <w:trPr>
          <w:cantSplit/>
        </w:trPr>
        <w:tc>
          <w:tcPr>
            <w:tcW w:w="6911" w:type="dxa"/>
          </w:tcPr>
          <w:p w14:paraId="3B475595" w14:textId="77777777" w:rsidR="00BB1D82" w:rsidRPr="003A3D08" w:rsidRDefault="00851625" w:rsidP="003A3D08">
            <w:pPr>
              <w:spacing w:before="400" w:after="48"/>
              <w:rPr>
                <w:rFonts w:ascii="Verdana" w:hAnsi="Verdana"/>
                <w:b/>
                <w:bCs/>
                <w:sz w:val="20"/>
                <w:lang w:val="fr-CH"/>
              </w:rPr>
            </w:pPr>
            <w:r w:rsidRPr="003A3D08">
              <w:rPr>
                <w:rFonts w:ascii="Verdana" w:hAnsi="Verdana"/>
                <w:b/>
                <w:bCs/>
                <w:sz w:val="20"/>
                <w:lang w:val="fr-CH"/>
              </w:rPr>
              <w:t>Conférence mondiale des radiocommunications (CMR-15)</w:t>
            </w:r>
            <w:r w:rsidRPr="003A3D08">
              <w:rPr>
                <w:rFonts w:ascii="Verdana" w:hAnsi="Verdana"/>
                <w:b/>
                <w:bCs/>
                <w:sz w:val="20"/>
                <w:lang w:val="fr-CH"/>
              </w:rPr>
              <w:br/>
            </w:r>
            <w:r w:rsidRPr="003A3D08">
              <w:rPr>
                <w:rFonts w:ascii="Verdana" w:hAnsi="Verdana"/>
                <w:b/>
                <w:bCs/>
                <w:sz w:val="18"/>
                <w:szCs w:val="18"/>
                <w:lang w:val="fr-CH"/>
              </w:rPr>
              <w:t>Genève,</w:t>
            </w:r>
            <w:r w:rsidR="00E537FF" w:rsidRPr="003A3D08">
              <w:rPr>
                <w:rFonts w:ascii="Verdana" w:hAnsi="Verdana"/>
                <w:b/>
                <w:bCs/>
                <w:sz w:val="18"/>
                <w:szCs w:val="18"/>
                <w:lang w:val="fr-CH"/>
              </w:rPr>
              <w:t xml:space="preserve"> </w:t>
            </w:r>
            <w:r w:rsidRPr="003A3D08">
              <w:rPr>
                <w:rFonts w:ascii="Verdana" w:hAnsi="Verdana"/>
                <w:b/>
                <w:bCs/>
                <w:sz w:val="18"/>
                <w:szCs w:val="18"/>
                <w:lang w:val="fr-CH"/>
              </w:rPr>
              <w:t>2-27 novembre 2015</w:t>
            </w:r>
          </w:p>
        </w:tc>
        <w:tc>
          <w:tcPr>
            <w:tcW w:w="3120" w:type="dxa"/>
          </w:tcPr>
          <w:p w14:paraId="3AAB05C1" w14:textId="77777777" w:rsidR="00BB1D82" w:rsidRPr="003A3D08" w:rsidRDefault="002C28A4" w:rsidP="003A3D08">
            <w:pPr>
              <w:spacing w:before="0"/>
              <w:jc w:val="right"/>
              <w:rPr>
                <w:lang w:val="en-US"/>
              </w:rPr>
            </w:pPr>
            <w:bookmarkStart w:id="0" w:name="ditulogo"/>
            <w:bookmarkEnd w:id="0"/>
            <w:r w:rsidRPr="003A3D08">
              <w:rPr>
                <w:noProof/>
                <w:lang w:val="en-GB" w:eastAsia="zh-CN"/>
              </w:rPr>
              <w:drawing>
                <wp:inline distT="0" distB="0" distL="0" distR="0" wp14:anchorId="5C8FEAED" wp14:editId="18346CD4">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3A3D08" w14:paraId="44B9D4C8" w14:textId="77777777" w:rsidTr="0050008E">
        <w:trPr>
          <w:cantSplit/>
        </w:trPr>
        <w:tc>
          <w:tcPr>
            <w:tcW w:w="6911" w:type="dxa"/>
            <w:tcBorders>
              <w:bottom w:val="single" w:sz="12" w:space="0" w:color="auto"/>
            </w:tcBorders>
          </w:tcPr>
          <w:p w14:paraId="3763850B" w14:textId="77777777" w:rsidR="00BB1D82" w:rsidRPr="003A3D08" w:rsidRDefault="002C28A4" w:rsidP="003A3D08">
            <w:pPr>
              <w:spacing w:before="0" w:after="48"/>
              <w:rPr>
                <w:b/>
                <w:smallCaps/>
                <w:szCs w:val="24"/>
                <w:lang w:val="en-US"/>
              </w:rPr>
            </w:pPr>
            <w:bookmarkStart w:id="1" w:name="dhead"/>
            <w:r w:rsidRPr="003A3D08">
              <w:rPr>
                <w:rFonts w:ascii="Verdana" w:hAnsi="Verdana"/>
                <w:b/>
                <w:bCs/>
                <w:sz w:val="20"/>
              </w:rPr>
              <w:t>UNION INTERNATIONALE DES TÉLÉCOMMUNICATIONS</w:t>
            </w:r>
          </w:p>
        </w:tc>
        <w:tc>
          <w:tcPr>
            <w:tcW w:w="3120" w:type="dxa"/>
            <w:tcBorders>
              <w:bottom w:val="single" w:sz="12" w:space="0" w:color="auto"/>
            </w:tcBorders>
          </w:tcPr>
          <w:p w14:paraId="7FF3BD80" w14:textId="77777777" w:rsidR="00BB1D82" w:rsidRPr="003A3D08" w:rsidRDefault="00BB1D82" w:rsidP="003A3D08">
            <w:pPr>
              <w:spacing w:before="0"/>
              <w:rPr>
                <w:rFonts w:ascii="Verdana" w:hAnsi="Verdana"/>
                <w:szCs w:val="24"/>
                <w:lang w:val="en-US"/>
              </w:rPr>
            </w:pPr>
          </w:p>
        </w:tc>
      </w:tr>
      <w:tr w:rsidR="00BB1D82" w:rsidRPr="003A3D08" w14:paraId="170EDA36" w14:textId="77777777" w:rsidTr="00BB1D82">
        <w:trPr>
          <w:cantSplit/>
        </w:trPr>
        <w:tc>
          <w:tcPr>
            <w:tcW w:w="6911" w:type="dxa"/>
            <w:tcBorders>
              <w:top w:val="single" w:sz="12" w:space="0" w:color="auto"/>
            </w:tcBorders>
          </w:tcPr>
          <w:p w14:paraId="2824CB1C" w14:textId="77777777" w:rsidR="00BB1D82" w:rsidRPr="003A3D08" w:rsidRDefault="00BB1D82" w:rsidP="003A3D08">
            <w:pPr>
              <w:spacing w:before="0" w:after="48"/>
              <w:rPr>
                <w:rFonts w:ascii="Verdana" w:hAnsi="Verdana"/>
                <w:b/>
                <w:smallCaps/>
                <w:sz w:val="20"/>
                <w:lang w:val="en-US"/>
              </w:rPr>
            </w:pPr>
          </w:p>
        </w:tc>
        <w:tc>
          <w:tcPr>
            <w:tcW w:w="3120" w:type="dxa"/>
            <w:tcBorders>
              <w:top w:val="single" w:sz="12" w:space="0" w:color="auto"/>
            </w:tcBorders>
          </w:tcPr>
          <w:p w14:paraId="2690AB78" w14:textId="77777777" w:rsidR="00BB1D82" w:rsidRPr="003A3D08" w:rsidRDefault="00BB1D82" w:rsidP="003A3D08">
            <w:pPr>
              <w:spacing w:before="0"/>
              <w:rPr>
                <w:rFonts w:ascii="Verdana" w:hAnsi="Verdana"/>
                <w:sz w:val="20"/>
                <w:lang w:val="en-US"/>
              </w:rPr>
            </w:pPr>
          </w:p>
        </w:tc>
      </w:tr>
      <w:tr w:rsidR="00BB1D82" w:rsidRPr="003A3D08" w14:paraId="219612CD" w14:textId="77777777" w:rsidTr="00BB1D82">
        <w:trPr>
          <w:cantSplit/>
        </w:trPr>
        <w:tc>
          <w:tcPr>
            <w:tcW w:w="6911" w:type="dxa"/>
            <w:shd w:val="clear" w:color="auto" w:fill="auto"/>
          </w:tcPr>
          <w:p w14:paraId="2FD60543" w14:textId="77777777" w:rsidR="00BB1D82" w:rsidRPr="003A3D08" w:rsidRDefault="006D4724" w:rsidP="003A3D08">
            <w:pPr>
              <w:spacing w:before="0"/>
              <w:rPr>
                <w:rFonts w:ascii="Verdana" w:hAnsi="Verdana"/>
                <w:b/>
                <w:sz w:val="20"/>
                <w:lang w:val="en-US"/>
              </w:rPr>
            </w:pPr>
            <w:r w:rsidRPr="003A3D08">
              <w:rPr>
                <w:rFonts w:ascii="Verdana" w:hAnsi="Verdana"/>
                <w:b/>
                <w:sz w:val="20"/>
                <w:lang w:val="en-US"/>
              </w:rPr>
              <w:t>SÉANCE PLÉNIÈRE</w:t>
            </w:r>
          </w:p>
        </w:tc>
        <w:tc>
          <w:tcPr>
            <w:tcW w:w="3120" w:type="dxa"/>
            <w:shd w:val="clear" w:color="auto" w:fill="auto"/>
          </w:tcPr>
          <w:p w14:paraId="4094A54B" w14:textId="77777777" w:rsidR="00BB1D82" w:rsidRPr="003A3D08" w:rsidRDefault="006D4724" w:rsidP="003A3D08">
            <w:pPr>
              <w:spacing w:before="0"/>
              <w:rPr>
                <w:rFonts w:ascii="Verdana" w:hAnsi="Verdana"/>
                <w:sz w:val="20"/>
                <w:lang w:val="fr-CH"/>
              </w:rPr>
            </w:pPr>
            <w:r w:rsidRPr="003A3D08">
              <w:rPr>
                <w:rFonts w:ascii="Verdana" w:eastAsia="SimSun" w:hAnsi="Verdana" w:cs="Traditional Arabic"/>
                <w:b/>
                <w:sz w:val="20"/>
                <w:lang w:val="fr-CH"/>
              </w:rPr>
              <w:t>Addendum 12 au</w:t>
            </w:r>
            <w:r w:rsidRPr="003A3D08">
              <w:rPr>
                <w:rFonts w:ascii="Verdana" w:eastAsia="SimSun" w:hAnsi="Verdana" w:cs="Traditional Arabic"/>
                <w:b/>
                <w:sz w:val="20"/>
                <w:lang w:val="fr-CH"/>
              </w:rPr>
              <w:br/>
              <w:t>Document 61(Add.21)</w:t>
            </w:r>
            <w:r w:rsidR="00BB1D82" w:rsidRPr="003A3D08">
              <w:rPr>
                <w:rFonts w:ascii="Verdana" w:hAnsi="Verdana"/>
                <w:b/>
                <w:sz w:val="20"/>
                <w:lang w:val="fr-CH"/>
              </w:rPr>
              <w:t>-</w:t>
            </w:r>
            <w:r w:rsidRPr="003A3D08">
              <w:rPr>
                <w:rFonts w:ascii="Verdana" w:hAnsi="Verdana"/>
                <w:b/>
                <w:sz w:val="20"/>
                <w:lang w:val="fr-CH"/>
              </w:rPr>
              <w:t>F</w:t>
            </w:r>
          </w:p>
        </w:tc>
      </w:tr>
      <w:bookmarkEnd w:id="1"/>
      <w:tr w:rsidR="00690C7B" w:rsidRPr="003A3D08" w14:paraId="3E2F6107" w14:textId="77777777" w:rsidTr="00BB1D82">
        <w:trPr>
          <w:cantSplit/>
        </w:trPr>
        <w:tc>
          <w:tcPr>
            <w:tcW w:w="6911" w:type="dxa"/>
            <w:shd w:val="clear" w:color="auto" w:fill="auto"/>
          </w:tcPr>
          <w:p w14:paraId="155C132C" w14:textId="77777777" w:rsidR="00690C7B" w:rsidRPr="003A3D08" w:rsidRDefault="00690C7B" w:rsidP="003A3D08">
            <w:pPr>
              <w:spacing w:before="0"/>
              <w:rPr>
                <w:rFonts w:ascii="Verdana" w:hAnsi="Verdana"/>
                <w:b/>
                <w:sz w:val="20"/>
                <w:lang w:val="fr-CH"/>
              </w:rPr>
            </w:pPr>
          </w:p>
        </w:tc>
        <w:tc>
          <w:tcPr>
            <w:tcW w:w="3120" w:type="dxa"/>
            <w:shd w:val="clear" w:color="auto" w:fill="auto"/>
          </w:tcPr>
          <w:p w14:paraId="08584A84" w14:textId="77777777" w:rsidR="00690C7B" w:rsidRPr="003A3D08" w:rsidRDefault="00690C7B" w:rsidP="003A3D08">
            <w:pPr>
              <w:spacing w:before="0"/>
              <w:rPr>
                <w:rFonts w:ascii="Verdana" w:hAnsi="Verdana"/>
                <w:b/>
                <w:sz w:val="20"/>
                <w:lang w:val="en-US"/>
              </w:rPr>
            </w:pPr>
            <w:r w:rsidRPr="003A3D08">
              <w:rPr>
                <w:rFonts w:ascii="Verdana" w:hAnsi="Verdana"/>
                <w:b/>
                <w:sz w:val="20"/>
                <w:lang w:val="en-US"/>
              </w:rPr>
              <w:t>14 octobre 2015</w:t>
            </w:r>
          </w:p>
        </w:tc>
      </w:tr>
      <w:tr w:rsidR="00690C7B" w:rsidRPr="003A3D08" w14:paraId="5611087B" w14:textId="77777777" w:rsidTr="00BB1D82">
        <w:trPr>
          <w:cantSplit/>
        </w:trPr>
        <w:tc>
          <w:tcPr>
            <w:tcW w:w="6911" w:type="dxa"/>
          </w:tcPr>
          <w:p w14:paraId="3AAA106D" w14:textId="77777777" w:rsidR="00690C7B" w:rsidRPr="003A3D08" w:rsidRDefault="00690C7B" w:rsidP="003A3D08">
            <w:pPr>
              <w:spacing w:before="0" w:after="48"/>
              <w:rPr>
                <w:rFonts w:ascii="Verdana" w:hAnsi="Verdana"/>
                <w:b/>
                <w:smallCaps/>
                <w:sz w:val="20"/>
                <w:lang w:val="en-US"/>
              </w:rPr>
            </w:pPr>
          </w:p>
        </w:tc>
        <w:tc>
          <w:tcPr>
            <w:tcW w:w="3120" w:type="dxa"/>
          </w:tcPr>
          <w:p w14:paraId="2944F8FF" w14:textId="77777777" w:rsidR="00690C7B" w:rsidRPr="003A3D08" w:rsidRDefault="00690C7B" w:rsidP="003A3D08">
            <w:pPr>
              <w:spacing w:before="0"/>
              <w:rPr>
                <w:rFonts w:ascii="Verdana" w:hAnsi="Verdana"/>
                <w:b/>
                <w:sz w:val="20"/>
                <w:lang w:val="en-US"/>
              </w:rPr>
            </w:pPr>
            <w:r w:rsidRPr="003A3D08">
              <w:rPr>
                <w:rFonts w:ascii="Verdana" w:hAnsi="Verdana"/>
                <w:b/>
                <w:sz w:val="20"/>
                <w:lang w:val="en-US"/>
              </w:rPr>
              <w:t>Original: anglais</w:t>
            </w:r>
          </w:p>
        </w:tc>
      </w:tr>
      <w:tr w:rsidR="00690C7B" w:rsidRPr="003A3D08" w14:paraId="39C2C75A" w14:textId="77777777" w:rsidTr="00C11970">
        <w:trPr>
          <w:cantSplit/>
        </w:trPr>
        <w:tc>
          <w:tcPr>
            <w:tcW w:w="10031" w:type="dxa"/>
            <w:gridSpan w:val="2"/>
          </w:tcPr>
          <w:p w14:paraId="667F3936" w14:textId="77777777" w:rsidR="00690C7B" w:rsidRPr="003A3D08" w:rsidRDefault="00690C7B" w:rsidP="003A3D08">
            <w:pPr>
              <w:spacing w:before="0"/>
              <w:rPr>
                <w:rFonts w:ascii="Verdana" w:hAnsi="Verdana"/>
                <w:b/>
                <w:sz w:val="20"/>
                <w:lang w:val="en-US"/>
              </w:rPr>
            </w:pPr>
          </w:p>
        </w:tc>
      </w:tr>
      <w:tr w:rsidR="00690C7B" w:rsidRPr="003A3D08" w14:paraId="799835BC" w14:textId="77777777" w:rsidTr="0050008E">
        <w:trPr>
          <w:cantSplit/>
        </w:trPr>
        <w:tc>
          <w:tcPr>
            <w:tcW w:w="10031" w:type="dxa"/>
            <w:gridSpan w:val="2"/>
          </w:tcPr>
          <w:p w14:paraId="00668F68" w14:textId="77777777" w:rsidR="00690C7B" w:rsidRPr="003A3D08" w:rsidRDefault="00690C7B" w:rsidP="003A3D08">
            <w:pPr>
              <w:pStyle w:val="Source"/>
              <w:rPr>
                <w:lang w:val="en-US"/>
              </w:rPr>
            </w:pPr>
            <w:bookmarkStart w:id="2" w:name="dsource" w:colFirst="0" w:colLast="0"/>
            <w:r w:rsidRPr="003A3D08">
              <w:rPr>
                <w:lang w:val="en-US"/>
              </w:rPr>
              <w:t xml:space="preserve">Iran </w:t>
            </w:r>
            <w:r w:rsidRPr="003A3D08">
              <w:rPr>
                <w:lang w:val="fr-CH"/>
              </w:rPr>
              <w:t>(République islamique</w:t>
            </w:r>
            <w:r w:rsidRPr="003A3D08">
              <w:rPr>
                <w:lang w:val="en-US"/>
              </w:rPr>
              <w:t xml:space="preserve"> d')</w:t>
            </w:r>
          </w:p>
        </w:tc>
      </w:tr>
      <w:tr w:rsidR="00690C7B" w:rsidRPr="003A3D08" w14:paraId="7828A8AA" w14:textId="77777777" w:rsidTr="0050008E">
        <w:trPr>
          <w:cantSplit/>
        </w:trPr>
        <w:tc>
          <w:tcPr>
            <w:tcW w:w="10031" w:type="dxa"/>
            <w:gridSpan w:val="2"/>
          </w:tcPr>
          <w:p w14:paraId="5F526CE6" w14:textId="77777777" w:rsidR="00690C7B" w:rsidRPr="003A3D08" w:rsidRDefault="00690C7B" w:rsidP="003A3D08">
            <w:pPr>
              <w:pStyle w:val="Title1"/>
              <w:rPr>
                <w:lang w:val="fr-CH"/>
              </w:rPr>
            </w:pPr>
            <w:bookmarkStart w:id="3" w:name="dtitle1" w:colFirst="0" w:colLast="0"/>
            <w:bookmarkEnd w:id="2"/>
            <w:r w:rsidRPr="003A3D08">
              <w:rPr>
                <w:lang w:val="fr-CH"/>
              </w:rPr>
              <w:t>Propos</w:t>
            </w:r>
            <w:r w:rsidR="00665B9E" w:rsidRPr="003A3D08">
              <w:rPr>
                <w:lang w:val="fr-CH"/>
              </w:rPr>
              <w:t>itions pour les travaux de la conférence</w:t>
            </w:r>
          </w:p>
        </w:tc>
      </w:tr>
      <w:tr w:rsidR="00690C7B" w:rsidRPr="003A3D08" w14:paraId="6188B286" w14:textId="77777777" w:rsidTr="0050008E">
        <w:trPr>
          <w:cantSplit/>
        </w:trPr>
        <w:tc>
          <w:tcPr>
            <w:tcW w:w="10031" w:type="dxa"/>
            <w:gridSpan w:val="2"/>
          </w:tcPr>
          <w:p w14:paraId="4ADB7E4A" w14:textId="77777777" w:rsidR="00690C7B" w:rsidRPr="003A3D08" w:rsidRDefault="00690C7B" w:rsidP="003A3D08">
            <w:pPr>
              <w:pStyle w:val="Title2"/>
              <w:rPr>
                <w:lang w:val="fr-CH"/>
              </w:rPr>
            </w:pPr>
            <w:bookmarkStart w:id="4" w:name="dtitle2" w:colFirst="0" w:colLast="0"/>
            <w:bookmarkEnd w:id="3"/>
          </w:p>
        </w:tc>
      </w:tr>
      <w:tr w:rsidR="00690C7B" w:rsidRPr="003A3D08" w14:paraId="2AB26F41" w14:textId="77777777" w:rsidTr="0050008E">
        <w:trPr>
          <w:cantSplit/>
        </w:trPr>
        <w:tc>
          <w:tcPr>
            <w:tcW w:w="10031" w:type="dxa"/>
            <w:gridSpan w:val="2"/>
          </w:tcPr>
          <w:p w14:paraId="5435B01F" w14:textId="77777777" w:rsidR="00690C7B" w:rsidRPr="003A3D08" w:rsidRDefault="00690C7B" w:rsidP="003A3D08">
            <w:pPr>
              <w:pStyle w:val="Agendaitem"/>
            </w:pPr>
            <w:bookmarkStart w:id="5" w:name="dtitle3" w:colFirst="0" w:colLast="0"/>
            <w:bookmarkEnd w:id="4"/>
            <w:r w:rsidRPr="003A3D08">
              <w:t>Point 7(L) de l'ordre du</w:t>
            </w:r>
            <w:bookmarkStart w:id="6" w:name="_GoBack"/>
            <w:bookmarkEnd w:id="6"/>
            <w:r w:rsidRPr="003A3D08">
              <w:t xml:space="preserve"> jour</w:t>
            </w:r>
          </w:p>
        </w:tc>
      </w:tr>
    </w:tbl>
    <w:bookmarkEnd w:id="5"/>
    <w:p w14:paraId="1A62C9DC" w14:textId="77777777" w:rsidR="001C0E40" w:rsidRPr="003A3D08" w:rsidRDefault="00AF5F94" w:rsidP="003A3D08">
      <w:pPr>
        <w:rPr>
          <w:lang w:val="fr-CA"/>
        </w:rPr>
      </w:pPr>
      <w:r w:rsidRPr="003A3D08">
        <w:rPr>
          <w:lang w:val="fr-CA"/>
        </w:rPr>
        <w:t>7</w:t>
      </w:r>
      <w:r w:rsidRPr="003A3D08">
        <w:rPr>
          <w:lang w:val="fr-CA"/>
        </w:rPr>
        <w:tab/>
        <w:t>examiner d'éventuels changements à apporter, et d'autres options à mettre en œuvre, en application de la Résolution 86 (Rév. Marrakech, 2002) de la Conférence de plénipotentiaires, intitulée «Procédures de publication anticipée, de coordination, de notification et d'inscription des assignations de fréquence relatives aux réseaux à satellite», conformément à la Résolution </w:t>
      </w:r>
      <w:r w:rsidRPr="003A3D08">
        <w:rPr>
          <w:b/>
          <w:bCs/>
          <w:lang w:val="fr-CA"/>
        </w:rPr>
        <w:t>86 (Rév.CMR-07)</w:t>
      </w:r>
      <w:r w:rsidRPr="003A3D08">
        <w:rPr>
          <w:lang w:val="fr-CA"/>
        </w:rPr>
        <w:t>, afin de faciliter l'utilisation rationnelle, efficace et économique des fréquences radioélectriques et des orbites associées, y compris de l'orbite des satellites géostationnaires;</w:t>
      </w:r>
    </w:p>
    <w:p w14:paraId="5AE6CE11" w14:textId="77777777" w:rsidR="001053EB" w:rsidRPr="003A3D08" w:rsidRDefault="00AF5F94" w:rsidP="003A3D08">
      <w:pPr>
        <w:rPr>
          <w:lang w:val="fr-CH"/>
        </w:rPr>
      </w:pPr>
      <w:r w:rsidRPr="003A3D08">
        <w:rPr>
          <w:lang w:val="fr-CH"/>
        </w:rPr>
        <w:t xml:space="preserve">F(L) </w:t>
      </w:r>
      <w:r w:rsidRPr="003A3D08">
        <w:rPr>
          <w:lang w:val="fr-CH"/>
        </w:rPr>
        <w:tab/>
        <w:t xml:space="preserve">Question L – Modification de certaines dispositions de l'Article 4 des Appendices </w:t>
      </w:r>
      <w:r w:rsidRPr="003A3D08">
        <w:rPr>
          <w:b/>
          <w:bCs/>
          <w:lang w:val="fr-CH"/>
        </w:rPr>
        <w:t>30</w:t>
      </w:r>
      <w:r w:rsidRPr="003A3D08">
        <w:rPr>
          <w:lang w:val="fr-CH"/>
        </w:rPr>
        <w:t xml:space="preserve"> et </w:t>
      </w:r>
      <w:r w:rsidRPr="003A3D08">
        <w:rPr>
          <w:b/>
          <w:bCs/>
          <w:lang w:val="fr-CH"/>
        </w:rPr>
        <w:t>30A</w:t>
      </w:r>
      <w:r w:rsidRPr="003A3D08">
        <w:rPr>
          <w:lang w:val="fr-CH"/>
        </w:rPr>
        <w:t xml:space="preserve"> du RR relatives aux Régions 1 et 3, à savoir le remplacement de l'accord tacite par l'accord exprès, ou alignement desdites dispositions des Appendices </w:t>
      </w:r>
      <w:r w:rsidRPr="003A3D08">
        <w:rPr>
          <w:b/>
          <w:bCs/>
          <w:lang w:val="fr-CH"/>
        </w:rPr>
        <w:t>30</w:t>
      </w:r>
      <w:r w:rsidRPr="003A3D08">
        <w:rPr>
          <w:lang w:val="fr-CH"/>
        </w:rPr>
        <w:t xml:space="preserve"> et </w:t>
      </w:r>
      <w:r w:rsidRPr="003A3D08">
        <w:rPr>
          <w:b/>
          <w:bCs/>
          <w:lang w:val="fr-CH"/>
        </w:rPr>
        <w:t>30A</w:t>
      </w:r>
      <w:r w:rsidRPr="003A3D08">
        <w:rPr>
          <w:lang w:val="fr-CH"/>
        </w:rPr>
        <w:t xml:space="preserve"> du RR relatives aux Régions 1 et 3 avec celles de l'Appendice </w:t>
      </w:r>
      <w:r w:rsidRPr="003A3D08">
        <w:rPr>
          <w:b/>
          <w:bCs/>
          <w:lang w:val="fr-CH"/>
        </w:rPr>
        <w:t>30B</w:t>
      </w:r>
      <w:r w:rsidRPr="003A3D08">
        <w:rPr>
          <w:lang w:val="fr-CH"/>
        </w:rPr>
        <w:t>.</w:t>
      </w:r>
    </w:p>
    <w:p w14:paraId="637C5783" w14:textId="77777777" w:rsidR="00FB595B" w:rsidRPr="003A3D08" w:rsidRDefault="00FB595B" w:rsidP="003A3D08">
      <w:pPr>
        <w:pStyle w:val="Headingb"/>
        <w:rPr>
          <w:lang w:val="fr-CH"/>
        </w:rPr>
      </w:pPr>
      <w:r w:rsidRPr="003A3D08">
        <w:rPr>
          <w:lang w:val="fr-CH"/>
        </w:rPr>
        <w:t>Introduction</w:t>
      </w:r>
    </w:p>
    <w:p w14:paraId="343627AA" w14:textId="77777777" w:rsidR="00FB595B" w:rsidRPr="003A3D08" w:rsidRDefault="00FB595B" w:rsidP="003A3D08">
      <w:pPr>
        <w:rPr>
          <w:lang w:val="fr-CH"/>
        </w:rPr>
      </w:pPr>
      <w:r w:rsidRPr="003A3D08">
        <w:rPr>
          <w:lang w:val="fr-CH"/>
        </w:rPr>
        <w:t>L'accord tacite, qui part du principe que l'absence de réponse équivaut à l'agrément, a toujours servi de base aux Appendices 30 et 30A du RR depuis leur création par la CAMR-77 et la CAMR</w:t>
      </w:r>
      <w:r w:rsidRPr="003A3D08">
        <w:rPr>
          <w:lang w:val="fr-CH"/>
        </w:rPr>
        <w:noBreakHyphen/>
        <w:t>83. La question de l'accord tacite ou exprès et les conséquences qui en découlent ont été examinées par plusieurs CMR, y compris la CMR</w:t>
      </w:r>
      <w:r w:rsidRPr="003A3D08">
        <w:rPr>
          <w:lang w:val="fr-CH"/>
        </w:rPr>
        <w:noBreakHyphen/>
        <w:t>97 et la CMR</w:t>
      </w:r>
      <w:r w:rsidRPr="003A3D08">
        <w:rPr>
          <w:lang w:val="fr-CH"/>
        </w:rPr>
        <w:noBreakHyphen/>
        <w:t>2000, qui ont révisé et réaménagé les plans des Appendices 30 et 30A pour les Régions 1 et 3. Ces examens ont abouti à l'inclusion, dans les procédures des Appendices 30 et 30A du RR, de dispositions en vertu desquelles le Bureau informe expressément les administrations identifiées et leur envoie des rappels en cas d'absence de réponse. Il convient en outre de noter que dans le cas de la coordination du SFS non planifié au titre de l'Article 9 du Règlement des radiocommunications, des procédures sont là aussi prévues pour traiter les cas de non réponse. Toutefois, les dispositions pertinentes de l'Article 4 des Appendices 30 et 30A du Règlement des radiocommunications adoptées à ce jour n'ont pas permis de résoudre le problème de la réduction de la marge de protection équivalente. Par conséquent, de nombreuses assignations présentent des marges de protection équivalente largement négatives en raison de l'absence de réponse à la demande de coordination au titre des Plans des Appendices 30 et 30A pour les Régions 1 et 3.</w:t>
      </w:r>
    </w:p>
    <w:p w14:paraId="1C9C6DE4" w14:textId="77777777" w:rsidR="00FB595B" w:rsidRPr="003A3D08" w:rsidRDefault="00FB595B" w:rsidP="003A3D08">
      <w:pPr>
        <w:pStyle w:val="Headingb"/>
        <w:rPr>
          <w:lang w:val="fr-CH"/>
        </w:rPr>
      </w:pPr>
      <w:r w:rsidRPr="003A3D08">
        <w:rPr>
          <w:lang w:val="fr-CH"/>
        </w:rPr>
        <w:lastRenderedPageBreak/>
        <w:t>Propositions</w:t>
      </w:r>
    </w:p>
    <w:p w14:paraId="38308218" w14:textId="77777777" w:rsidR="002040F1" w:rsidRPr="003A3D08" w:rsidRDefault="00675367" w:rsidP="003A3D08">
      <w:pPr>
        <w:rPr>
          <w:lang w:val="fr-CH"/>
        </w:rPr>
      </w:pPr>
      <w:r w:rsidRPr="003A3D08">
        <w:rPr>
          <w:lang w:val="fr-CH"/>
        </w:rPr>
        <w:t xml:space="preserve">La République islamique d’Iran appuie la méthode L1. </w:t>
      </w:r>
    </w:p>
    <w:p w14:paraId="4CC45F5F" w14:textId="77777777" w:rsidR="00AC28E0" w:rsidRPr="003A3D08" w:rsidRDefault="00AF5F94" w:rsidP="003A3D08">
      <w:pPr>
        <w:pStyle w:val="AppendixNo"/>
      </w:pPr>
      <w:r w:rsidRPr="003A3D08">
        <w:t xml:space="preserve">APPENDICE </w:t>
      </w:r>
      <w:r w:rsidRPr="003A3D08">
        <w:rPr>
          <w:rStyle w:val="href"/>
        </w:rPr>
        <w:t>30</w:t>
      </w:r>
      <w:r w:rsidRPr="003A3D08">
        <w:t xml:space="preserve"> (R</w:t>
      </w:r>
      <w:r w:rsidRPr="003A3D08">
        <w:rPr>
          <w:caps w:val="0"/>
          <w:lang w:val="fr-CH"/>
        </w:rPr>
        <w:t>ÉV</w:t>
      </w:r>
      <w:r w:rsidRPr="003A3D08">
        <w:t>.CMR</w:t>
      </w:r>
      <w:r w:rsidRPr="003A3D08">
        <w:noBreakHyphen/>
        <w:t>12)</w:t>
      </w:r>
      <w:r w:rsidR="00665B9E" w:rsidRPr="003A3D08">
        <w:rPr>
          <w:vertAlign w:val="superscript"/>
        </w:rPr>
        <w:t>*</w:t>
      </w:r>
    </w:p>
    <w:p w14:paraId="248B9D53" w14:textId="32545FA3" w:rsidR="00AC28E0" w:rsidRPr="003A3D08" w:rsidRDefault="00AF5F94" w:rsidP="003A3D08">
      <w:pPr>
        <w:pStyle w:val="Appendixtitle"/>
        <w:rPr>
          <w:rFonts w:asciiTheme="majorBidi" w:hAnsiTheme="majorBidi" w:cstheme="majorBidi"/>
        </w:rPr>
      </w:pPr>
      <w:r w:rsidRPr="003A3D08">
        <w:rPr>
          <w:lang w:val="fr-CH"/>
        </w:rPr>
        <w:t xml:space="preserve">Dispositions applicables à tous les </w:t>
      </w:r>
      <w:r w:rsidRPr="003A3D08">
        <w:t>services</w:t>
      </w:r>
      <w:r w:rsidRPr="003A3D08">
        <w:rPr>
          <w:lang w:val="fr-CH"/>
        </w:rPr>
        <w:t xml:space="preserve"> et Plans et Liste</w:t>
      </w:r>
      <w:r w:rsidR="00665B9E" w:rsidRPr="003A3D08">
        <w:rPr>
          <w:vertAlign w:val="superscript"/>
          <w:lang w:val="fr-CH"/>
        </w:rPr>
        <w:t>1</w:t>
      </w:r>
      <w:r w:rsidRPr="003A3D08">
        <w:rPr>
          <w:lang w:val="fr-CH"/>
        </w:rPr>
        <w:t xml:space="preserve"> associés</w:t>
      </w:r>
      <w:r w:rsidRPr="003A3D08">
        <w:rPr>
          <w:lang w:val="fr-CH"/>
        </w:rPr>
        <w:br/>
        <w:t>concernant le service de radiodiffusion par satellite dans les</w:t>
      </w:r>
      <w:r w:rsidRPr="003A3D08">
        <w:rPr>
          <w:lang w:val="fr-CH"/>
        </w:rPr>
        <w:br/>
        <w:t>bandes 11,7-12,2 GHz (dans la Région 3), 11,7-12,5 GHz</w:t>
      </w:r>
      <w:r w:rsidRPr="003A3D08">
        <w:rPr>
          <w:lang w:val="fr-CH"/>
        </w:rPr>
        <w:br/>
        <w:t>(dans la Région 1) et 12,2-12,7 GHz (dans la Région 2)</w:t>
      </w:r>
      <w:r w:rsidR="002E18FA" w:rsidRPr="003A3D08">
        <w:rPr>
          <w:b w:val="0"/>
          <w:sz w:val="16"/>
          <w:lang w:val="fr-CH"/>
        </w:rPr>
        <w:t xml:space="preserve">    </w:t>
      </w:r>
      <w:r w:rsidRPr="003A3D08">
        <w:rPr>
          <w:b w:val="0"/>
          <w:sz w:val="16"/>
          <w:lang w:val="fr-CH"/>
        </w:rPr>
        <w:t> </w:t>
      </w:r>
      <w:r w:rsidRPr="003A3D08">
        <w:rPr>
          <w:rFonts w:asciiTheme="majorBidi" w:hAnsiTheme="majorBidi" w:cstheme="majorBidi"/>
          <w:b w:val="0"/>
          <w:sz w:val="16"/>
          <w:lang w:val="fr-CH"/>
        </w:rPr>
        <w:t>(CMR</w:t>
      </w:r>
      <w:r w:rsidRPr="003A3D08">
        <w:rPr>
          <w:rFonts w:asciiTheme="majorBidi" w:hAnsiTheme="majorBidi" w:cstheme="majorBidi"/>
          <w:b w:val="0"/>
          <w:sz w:val="16"/>
          <w:lang w:val="fr-CH"/>
        </w:rPr>
        <w:noBreakHyphen/>
        <w:t>03)</w:t>
      </w:r>
    </w:p>
    <w:p w14:paraId="1B1F3C84" w14:textId="035E835A" w:rsidR="00AC28E0" w:rsidRPr="003A3D08" w:rsidRDefault="002E18FA" w:rsidP="003A3D08">
      <w:pPr>
        <w:pStyle w:val="AppArtNo"/>
      </w:pPr>
      <w:r w:rsidRPr="003A3D08">
        <w:rPr>
          <w:lang w:val="fr-CH"/>
        </w:rPr>
        <w:t xml:space="preserve">              </w:t>
      </w:r>
      <w:r w:rsidR="00AF5F94" w:rsidRPr="003A3D08">
        <w:rPr>
          <w:lang w:val="fr-CH"/>
        </w:rPr>
        <w:t>ARTICLE 4</w:t>
      </w:r>
      <w:r w:rsidRPr="003A3D08">
        <w:rPr>
          <w:sz w:val="16"/>
          <w:lang w:val="fr-CH"/>
        </w:rPr>
        <w:t xml:space="preserve">    </w:t>
      </w:r>
      <w:r w:rsidR="00AF5F94" w:rsidRPr="003A3D08">
        <w:rPr>
          <w:sz w:val="16"/>
          <w:lang w:val="fr-CH"/>
        </w:rPr>
        <w:t> (Rév.CMR</w:t>
      </w:r>
      <w:r w:rsidR="00AF5F94" w:rsidRPr="003A3D08">
        <w:rPr>
          <w:sz w:val="16"/>
          <w:lang w:val="fr-CH"/>
        </w:rPr>
        <w:noBreakHyphen/>
        <w:t>03)</w:t>
      </w:r>
    </w:p>
    <w:p w14:paraId="186152BF" w14:textId="77777777" w:rsidR="00AC28E0" w:rsidRPr="003A3D08" w:rsidRDefault="00AF5F94" w:rsidP="003A3D08">
      <w:pPr>
        <w:pStyle w:val="AppArttitle"/>
      </w:pPr>
      <w:r w:rsidRPr="003A3D08">
        <w:t>Procédures relatives aux modifications apportées au Plan de la Région 2 et aux utilisations additionnelles dans les Régions 1 et 3</w:t>
      </w:r>
      <w:r w:rsidR="00665B9E" w:rsidRPr="003A3D08">
        <w:rPr>
          <w:vertAlign w:val="superscript"/>
        </w:rPr>
        <w:t>3</w:t>
      </w:r>
    </w:p>
    <w:p w14:paraId="68B0251A" w14:textId="77777777" w:rsidR="009C1FB5" w:rsidRPr="003A3D08" w:rsidRDefault="00AF5F94" w:rsidP="003A3D08">
      <w:pPr>
        <w:pStyle w:val="Proposal"/>
      </w:pPr>
      <w:r w:rsidRPr="003A3D08">
        <w:t>MOD</w:t>
      </w:r>
      <w:r w:rsidRPr="003A3D08">
        <w:tab/>
        <w:t>IRN/61A21A12/1</w:t>
      </w:r>
    </w:p>
    <w:p w14:paraId="488C4DBB" w14:textId="77777777" w:rsidR="00AC28E0" w:rsidRPr="003A3D08" w:rsidRDefault="00AF5F94" w:rsidP="003A3D08">
      <w:pPr>
        <w:pStyle w:val="Heading2"/>
        <w:rPr>
          <w:lang w:val="fr-CH"/>
        </w:rPr>
      </w:pPr>
      <w:r w:rsidRPr="003A3D08">
        <w:rPr>
          <w:lang w:val="fr-CH"/>
        </w:rPr>
        <w:t>4.1</w:t>
      </w:r>
      <w:r w:rsidRPr="003A3D08">
        <w:rPr>
          <w:lang w:val="fr-CH"/>
        </w:rPr>
        <w:tab/>
        <w:t>Dispositions applicables aux Régions 1 et 3</w:t>
      </w:r>
    </w:p>
    <w:p w14:paraId="498EDF5E" w14:textId="77777777" w:rsidR="00FB595B" w:rsidRPr="003A3D08" w:rsidRDefault="00FB595B" w:rsidP="003A3D08">
      <w:r w:rsidRPr="003A3D08">
        <w:t>...</w:t>
      </w:r>
    </w:p>
    <w:p w14:paraId="091BEA39" w14:textId="77777777" w:rsidR="00AC28E0" w:rsidRPr="003A3D08" w:rsidRDefault="00AF5F94" w:rsidP="003A3D08">
      <w:pPr>
        <w:rPr>
          <w:lang w:val="fr-CH"/>
        </w:rPr>
      </w:pPr>
      <w:r w:rsidRPr="003A3D08">
        <w:rPr>
          <w:lang w:val="fr-CH"/>
        </w:rPr>
        <w:t>4.1.10</w:t>
      </w:r>
      <w:r w:rsidRPr="003A3D08">
        <w:rPr>
          <w:lang w:val="fr-CH"/>
        </w:rPr>
        <w:tab/>
        <w:t xml:space="preserve">Toute administration qui, soit directement, soit par l'intermédiaire du Bureau, n'a pas adressé ses observations à l'administration qui recherche un accord, dans un délai de quatre mois après la date de la Circulaire BR IFIC mentionnée au § 4.1.5, est réputée </w:t>
      </w:r>
      <w:ins w:id="7" w:author="Manouvrier, Yves" w:date="2015-04-01T02:03:00Z">
        <w:r w:rsidR="00650ED3" w:rsidRPr="003A3D08">
          <w:rPr>
            <w:lang w:val="fr-CH"/>
          </w:rPr>
          <w:t>ne pas</w:t>
        </w:r>
      </w:ins>
      <w:r w:rsidR="00650ED3" w:rsidRPr="003A3D08">
        <w:rPr>
          <w:lang w:val="fr-CH"/>
        </w:rPr>
        <w:t xml:space="preserve"> </w:t>
      </w:r>
      <w:r w:rsidRPr="003A3D08">
        <w:rPr>
          <w:lang w:val="fr-CH"/>
        </w:rPr>
        <w:t>avoir donné son accord à l'assignation proposée. Ce délai peut être prorogé:</w:t>
      </w:r>
    </w:p>
    <w:p w14:paraId="0EF554B7" w14:textId="77777777" w:rsidR="00AC28E0" w:rsidRPr="003A3D08" w:rsidRDefault="00AF5F94" w:rsidP="003A3D08">
      <w:pPr>
        <w:pStyle w:val="enumlev1"/>
        <w:rPr>
          <w:lang w:val="fr-CH"/>
        </w:rPr>
      </w:pPr>
      <w:r w:rsidRPr="003A3D08">
        <w:rPr>
          <w:lang w:val="fr-CH"/>
        </w:rPr>
        <w:t>–</w:t>
      </w:r>
      <w:r w:rsidRPr="003A3D08">
        <w:rPr>
          <w:lang w:val="fr-CH"/>
        </w:rPr>
        <w:tab/>
        <w:t xml:space="preserve">pour une administration qui a demandé des renseignements supplémentaires conformément au § 4.1.8, d'un maximum de trois mois; </w:t>
      </w:r>
      <w:r w:rsidRPr="003A3D08">
        <w:rPr>
          <w:i/>
          <w:iCs/>
          <w:lang w:val="fr-CH"/>
        </w:rPr>
        <w:t>ou</w:t>
      </w:r>
    </w:p>
    <w:p w14:paraId="74BFB94F" w14:textId="77777777" w:rsidR="00AC28E0" w:rsidRPr="003A3D08" w:rsidRDefault="00AF5F94" w:rsidP="003A3D08">
      <w:pPr>
        <w:pStyle w:val="enumlev1"/>
        <w:rPr>
          <w:lang w:val="fr-CH"/>
        </w:rPr>
      </w:pPr>
      <w:r w:rsidRPr="003A3D08">
        <w:rPr>
          <w:lang w:val="fr-CH"/>
        </w:rPr>
        <w:t>–</w:t>
      </w:r>
      <w:r w:rsidRPr="003A3D08">
        <w:rPr>
          <w:lang w:val="fr-CH"/>
        </w:rPr>
        <w:tab/>
        <w:t>pour une administration qui a demandé l'assistance du Bureau conformément au § 4.1.21, d'un maximum de trois mois après la date à laquelle le Bureau a communiqué la suite qu'il a donnée à cette demande.</w:t>
      </w:r>
    </w:p>
    <w:p w14:paraId="7A34FAD1" w14:textId="77777777" w:rsidR="00665B9E" w:rsidRPr="003A3D08" w:rsidRDefault="00665B9E" w:rsidP="003A3D08">
      <w:pPr>
        <w:pStyle w:val="enumlev1"/>
      </w:pPr>
      <w:r w:rsidRPr="003A3D08">
        <w:t>...</w:t>
      </w:r>
    </w:p>
    <w:p w14:paraId="5D870C26" w14:textId="77777777" w:rsidR="009C1FB5" w:rsidRPr="003A3D08" w:rsidRDefault="00AF5F94" w:rsidP="003A3D08">
      <w:pPr>
        <w:pStyle w:val="Reasons"/>
        <w:rPr>
          <w:lang w:val="fr-CH"/>
        </w:rPr>
      </w:pPr>
      <w:r w:rsidRPr="003A3D08">
        <w:rPr>
          <w:b/>
        </w:rPr>
        <w:t>Motifs:</w:t>
      </w:r>
      <w:r w:rsidRPr="003A3D08">
        <w:tab/>
      </w:r>
      <w:r w:rsidR="00FB595B" w:rsidRPr="003A3D08">
        <w:rPr>
          <w:lang w:val="fr-CH"/>
        </w:rPr>
        <w:t>L'Addendum 1 au Rapport du Directeur du Bureau des radiocommunications à la RPC15-2 (Document CPM15-2/41) présente des informations concernant la réduction de la marge de protection équivalente de nombreuses assignations relevant des Appendices 30 et 30A du RR en conséquence de l'absence de réponse à la demande de coordination.</w:t>
      </w:r>
    </w:p>
    <w:p w14:paraId="20EA011F" w14:textId="2ADC4DEA" w:rsidR="00FB595B" w:rsidRPr="003A3D08" w:rsidRDefault="00FB595B" w:rsidP="003A3D08">
      <w:pPr>
        <w:pStyle w:val="Reasons"/>
        <w:rPr>
          <w:lang w:val="fr-CH" w:eastAsia="ja-JP" w:bidi="fa-IR"/>
        </w:rPr>
      </w:pPr>
      <w:r w:rsidRPr="003A3D08">
        <w:rPr>
          <w:lang w:val="fr-CH" w:eastAsia="ja-JP" w:bidi="fa-IR"/>
        </w:rPr>
        <w:t xml:space="preserve">Ces accords tacites </w:t>
      </w:r>
      <w:r w:rsidR="00E9583F" w:rsidRPr="003A3D08">
        <w:rPr>
          <w:lang w:val="fr-CH" w:eastAsia="ja-JP" w:bidi="fa-IR"/>
        </w:rPr>
        <w:t xml:space="preserve">concernant les Appendices 30 et 30A </w:t>
      </w:r>
      <w:r w:rsidRPr="003A3D08">
        <w:rPr>
          <w:lang w:val="fr-CH" w:eastAsia="ja-JP" w:bidi="fa-IR"/>
        </w:rPr>
        <w:t>ont eu pour conséquence une réduction considérable du nombre de situations de référence mises à jour, au point que, dans certains cas, les assignations concernées n'étaient plus identifiées comme étant défavorablement influencées par des modifications ultérieures apportées aux Plans des Appendices 30 et 30A.</w:t>
      </w:r>
    </w:p>
    <w:p w14:paraId="4C39CAA4" w14:textId="77777777" w:rsidR="00FB595B" w:rsidRPr="003A3D08" w:rsidRDefault="00FB595B" w:rsidP="0022049A">
      <w:pPr>
        <w:pStyle w:val="Reasons"/>
        <w:rPr>
          <w:sz w:val="22"/>
          <w:lang w:val="fr-CH" w:eastAsia="ja-JP" w:bidi="fa-IR"/>
        </w:rPr>
      </w:pPr>
      <w:r w:rsidRPr="003A3D08">
        <w:rPr>
          <w:lang w:val="fr-CH" w:eastAsia="ja-JP" w:bidi="fa-IR"/>
        </w:rPr>
        <w:t>L'accord tacite présente l'avantage de réduire la charge de travail des administrations, alors que dans de nombreux cas, le déclenchement de la coordination pour les bandes visées dans les Appendices 30 et 30A correspond à une approche prudente.</w:t>
      </w:r>
    </w:p>
    <w:p w14:paraId="601FE140" w14:textId="77777777" w:rsidR="00FB595B" w:rsidRPr="003A3D08" w:rsidRDefault="00FB595B" w:rsidP="0022049A">
      <w:pPr>
        <w:pStyle w:val="Reasons"/>
        <w:rPr>
          <w:lang w:val="fr-CH" w:eastAsia="zh-CN"/>
        </w:rPr>
      </w:pPr>
      <w:r w:rsidRPr="003A3D08">
        <w:rPr>
          <w:lang w:val="fr-CH"/>
        </w:rPr>
        <w:t>A ce jour aucune solution n'a été trouvée et le nombre de situations de référence mises à jour pour certaines assignations des administrations n'ayant pas répondu dans le délai réglementaire de quatre mois a considérablement diminué.</w:t>
      </w:r>
    </w:p>
    <w:p w14:paraId="42112EC3" w14:textId="77777777" w:rsidR="00FB595B" w:rsidRPr="003A3D08" w:rsidRDefault="00FB595B" w:rsidP="003A3D08">
      <w:pPr>
        <w:pStyle w:val="Reasons"/>
        <w:rPr>
          <w:lang w:val="fr-CH"/>
        </w:rPr>
      </w:pPr>
    </w:p>
    <w:p w14:paraId="283BD8DD" w14:textId="7FB11402" w:rsidR="00992DC2" w:rsidRPr="003A3D08" w:rsidRDefault="00AF5F94" w:rsidP="003A3D08">
      <w:pPr>
        <w:pStyle w:val="AppendixNo"/>
        <w:rPr>
          <w:lang w:val="fr-CH"/>
        </w:rPr>
      </w:pPr>
      <w:r w:rsidRPr="003A3D08">
        <w:lastRenderedPageBreak/>
        <w:t>APPENDICE</w:t>
      </w:r>
      <w:r w:rsidRPr="003A3D08">
        <w:rPr>
          <w:lang w:val="fr-CH"/>
        </w:rPr>
        <w:t xml:space="preserve"> </w:t>
      </w:r>
      <w:r w:rsidRPr="003A3D08">
        <w:rPr>
          <w:rStyle w:val="href"/>
          <w:color w:val="000000"/>
          <w:lang w:val="fr-CH"/>
        </w:rPr>
        <w:t>30A</w:t>
      </w:r>
      <w:r w:rsidR="002E18FA" w:rsidRPr="003A3D08">
        <w:rPr>
          <w:rStyle w:val="href"/>
          <w:color w:val="000000"/>
          <w:lang w:val="fr-CH"/>
        </w:rPr>
        <w:t xml:space="preserve">  </w:t>
      </w:r>
      <w:r w:rsidRPr="003A3D08">
        <w:rPr>
          <w:lang w:val="fr-CH"/>
        </w:rPr>
        <w:t>(R</w:t>
      </w:r>
      <w:r w:rsidRPr="003A3D08">
        <w:rPr>
          <w:caps w:val="0"/>
          <w:lang w:val="fr-CH"/>
        </w:rPr>
        <w:t>ÉV</w:t>
      </w:r>
      <w:r w:rsidRPr="003A3D08">
        <w:rPr>
          <w:lang w:val="fr-CH"/>
        </w:rPr>
        <w:t>.CMR-12)</w:t>
      </w:r>
      <w:r w:rsidR="00665B9E" w:rsidRPr="003A3D08">
        <w:rPr>
          <w:vertAlign w:val="superscript"/>
          <w:lang w:val="fr-CH"/>
        </w:rPr>
        <w:t>*</w:t>
      </w:r>
    </w:p>
    <w:p w14:paraId="1AFB70F3" w14:textId="1FE27148" w:rsidR="00992DC2" w:rsidRPr="003A3D08" w:rsidRDefault="00AF5F94" w:rsidP="003A3D08">
      <w:pPr>
        <w:pStyle w:val="Appendixtitle"/>
        <w:rPr>
          <w:b w:val="0"/>
          <w:color w:val="000000"/>
          <w:sz w:val="16"/>
          <w:lang w:val="fr-CH"/>
        </w:rPr>
      </w:pPr>
      <w:r w:rsidRPr="003A3D08">
        <w:rPr>
          <w:color w:val="000000"/>
          <w:lang w:val="fr-CH"/>
        </w:rPr>
        <w:t>Dispositions et Plans et Liste</w:t>
      </w:r>
      <w:r w:rsidR="002040F1" w:rsidRPr="003A3D08">
        <w:rPr>
          <w:color w:val="000000"/>
          <w:vertAlign w:val="superscript"/>
          <w:lang w:val="fr-CH"/>
        </w:rPr>
        <w:t>1</w:t>
      </w:r>
      <w:r w:rsidRPr="003A3D08">
        <w:rPr>
          <w:color w:val="000000"/>
          <w:lang w:val="fr-CH"/>
        </w:rPr>
        <w:t xml:space="preserve"> des liaisons de connexion associés du service de radiodiffusion par satellite (11,7-12,5 GHz en Région 1, 12,2-12,7 GHz</w:t>
      </w:r>
      <w:r w:rsidRPr="003A3D08">
        <w:rPr>
          <w:color w:val="000000"/>
          <w:lang w:val="fr-CH"/>
        </w:rPr>
        <w:br/>
        <w:t>en Région 2 et 11,7-12,2 GHz en Région 3) dans les bandes 14,5-14,8 GHz</w:t>
      </w:r>
      <w:r w:rsidR="002040F1" w:rsidRPr="003A3D08">
        <w:rPr>
          <w:color w:val="000000"/>
          <w:vertAlign w:val="superscript"/>
          <w:lang w:val="fr-CH"/>
        </w:rPr>
        <w:t>2</w:t>
      </w:r>
      <w:r w:rsidRPr="003A3D08">
        <w:rPr>
          <w:b w:val="0"/>
          <w:color w:val="000000"/>
          <w:vertAlign w:val="superscript"/>
          <w:lang w:val="fr-CH"/>
        </w:rPr>
        <w:br/>
      </w:r>
      <w:r w:rsidRPr="003A3D08">
        <w:rPr>
          <w:color w:val="000000"/>
          <w:lang w:val="fr-CH"/>
        </w:rPr>
        <w:t>et 17,3-18,1 GHz en Régions 1 et 3 et 17,3-17,8 GHz en Région 2</w:t>
      </w:r>
      <w:r w:rsidR="002E18FA" w:rsidRPr="003A3D08">
        <w:rPr>
          <w:b w:val="0"/>
          <w:color w:val="000000"/>
          <w:sz w:val="16"/>
          <w:lang w:val="fr-CH"/>
        </w:rPr>
        <w:t xml:space="preserve">    </w:t>
      </w:r>
      <w:r w:rsidRPr="003A3D08">
        <w:rPr>
          <w:b w:val="0"/>
          <w:color w:val="000000"/>
          <w:sz w:val="16"/>
          <w:lang w:val="fr-CH"/>
        </w:rPr>
        <w:t> (CMR</w:t>
      </w:r>
      <w:r w:rsidRPr="003A3D08">
        <w:rPr>
          <w:b w:val="0"/>
          <w:color w:val="000000"/>
          <w:sz w:val="16"/>
          <w:lang w:val="fr-CH"/>
        </w:rPr>
        <w:noBreakHyphen/>
        <w:t>03)</w:t>
      </w:r>
    </w:p>
    <w:p w14:paraId="3B28EBE0" w14:textId="013B6C0B" w:rsidR="00992DC2" w:rsidRPr="003A3D08" w:rsidRDefault="002E18FA" w:rsidP="003A3D08">
      <w:pPr>
        <w:pStyle w:val="AppArtNo"/>
      </w:pPr>
      <w:r w:rsidRPr="003A3D08">
        <w:t xml:space="preserve">              </w:t>
      </w:r>
      <w:r w:rsidR="00AF5F94" w:rsidRPr="003A3D08">
        <w:t>ARTICLE 4</w:t>
      </w:r>
      <w:r w:rsidRPr="003A3D08">
        <w:rPr>
          <w:sz w:val="16"/>
          <w:szCs w:val="16"/>
        </w:rPr>
        <w:t xml:space="preserve">    </w:t>
      </w:r>
      <w:r w:rsidR="00AF5F94" w:rsidRPr="003A3D08">
        <w:rPr>
          <w:sz w:val="16"/>
          <w:szCs w:val="16"/>
        </w:rPr>
        <w:t> (RÉv.CMR-03)</w:t>
      </w:r>
    </w:p>
    <w:p w14:paraId="2BEDC2CC" w14:textId="77777777" w:rsidR="00992DC2" w:rsidRPr="003A3D08" w:rsidRDefault="00AF5F94" w:rsidP="003A3D08">
      <w:pPr>
        <w:pStyle w:val="AppArttitle"/>
      </w:pPr>
      <w:r w:rsidRPr="003A3D08">
        <w:t>Procédures relatives aux modifications apportées au Plan des liaisons</w:t>
      </w:r>
      <w:r w:rsidRPr="003A3D08">
        <w:br/>
        <w:t>de connexion de la Région 2 et aux utilisations additionnelles</w:t>
      </w:r>
      <w:r w:rsidRPr="003A3D08">
        <w:br/>
        <w:t>dans les Régions 1 et 3</w:t>
      </w:r>
    </w:p>
    <w:p w14:paraId="5B56DE74" w14:textId="77777777" w:rsidR="009C1FB5" w:rsidRPr="003A3D08" w:rsidRDefault="00AF5F94" w:rsidP="003A3D08">
      <w:pPr>
        <w:pStyle w:val="Proposal"/>
      </w:pPr>
      <w:r w:rsidRPr="003A3D08">
        <w:t>MOD</w:t>
      </w:r>
      <w:r w:rsidRPr="003A3D08">
        <w:tab/>
        <w:t>IRN/61A21A12/2</w:t>
      </w:r>
    </w:p>
    <w:p w14:paraId="2EA0F9E2" w14:textId="77777777" w:rsidR="00992DC2" w:rsidRPr="003A3D08" w:rsidRDefault="00AF5F94" w:rsidP="003A3D08">
      <w:pPr>
        <w:pStyle w:val="Heading2"/>
      </w:pPr>
      <w:r w:rsidRPr="003A3D08">
        <w:t>4.1</w:t>
      </w:r>
      <w:r w:rsidRPr="003A3D08">
        <w:tab/>
        <w:t>Dispositions applicables aux Régions 1 et 3</w:t>
      </w:r>
    </w:p>
    <w:p w14:paraId="709F2299" w14:textId="77777777" w:rsidR="00665B9E" w:rsidRPr="003A3D08" w:rsidRDefault="00665B9E" w:rsidP="003A3D08">
      <w:pPr>
        <w:pStyle w:val="enumlev1"/>
      </w:pPr>
      <w:r w:rsidRPr="003A3D08">
        <w:t>...</w:t>
      </w:r>
    </w:p>
    <w:p w14:paraId="23FF3D12" w14:textId="3552BD4A" w:rsidR="00992DC2" w:rsidRPr="003A3D08" w:rsidRDefault="00AF5F94" w:rsidP="003A3D08">
      <w:pPr>
        <w:rPr>
          <w:lang w:val="fr-CH"/>
        </w:rPr>
      </w:pPr>
      <w:r w:rsidRPr="003A3D08">
        <w:rPr>
          <w:lang w:val="fr-CH"/>
        </w:rPr>
        <w:t>4.1.10</w:t>
      </w:r>
      <w:r w:rsidRPr="003A3D08">
        <w:rPr>
          <w:lang w:val="fr-CH"/>
        </w:rPr>
        <w:tab/>
        <w:t xml:space="preserve">Toute administration qui, soit directement, soit par l'intermédiaire du Bureau, n'a pas adressé ses observations à l'administration qui recherche un accord, dans un délai de quatre mois après la date de la Circulaire BR IFIC mentionnée au § 4.1.5, est réputée </w:t>
      </w:r>
      <w:ins w:id="8" w:author="Manouvrier, Yves" w:date="2015-04-01T02:03:00Z">
        <w:r w:rsidR="00131B2C" w:rsidRPr="003A3D08">
          <w:rPr>
            <w:lang w:val="fr-CH"/>
          </w:rPr>
          <w:t>ne pas</w:t>
        </w:r>
      </w:ins>
      <w:r w:rsidR="00131B2C" w:rsidRPr="003A3D08">
        <w:rPr>
          <w:lang w:val="fr-CH"/>
        </w:rPr>
        <w:t xml:space="preserve"> </w:t>
      </w:r>
      <w:r w:rsidRPr="003A3D08">
        <w:rPr>
          <w:lang w:val="fr-CH"/>
        </w:rPr>
        <w:t>avoir donné son accord à l'assignation proposée. Ce délai peut être prorogé:</w:t>
      </w:r>
    </w:p>
    <w:p w14:paraId="11D6AE30" w14:textId="77777777" w:rsidR="00992DC2" w:rsidRPr="003A3D08" w:rsidRDefault="00AF5F94" w:rsidP="003A3D08">
      <w:pPr>
        <w:pStyle w:val="enumlev1"/>
      </w:pPr>
      <w:r w:rsidRPr="003A3D08">
        <w:t>–</w:t>
      </w:r>
      <w:r w:rsidRPr="003A3D08">
        <w:tab/>
        <w:t xml:space="preserve">pour une administration qui a demandé des renseignements supplémentaires conformément au § 4.1.8, d'un maximum de trois mois; </w:t>
      </w:r>
      <w:r w:rsidRPr="003A3D08">
        <w:rPr>
          <w:i/>
          <w:iCs/>
        </w:rPr>
        <w:t>ou</w:t>
      </w:r>
    </w:p>
    <w:p w14:paraId="73E52853" w14:textId="77777777" w:rsidR="00665B9E" w:rsidRPr="003A3D08" w:rsidRDefault="00AF5F94" w:rsidP="003A3D08">
      <w:pPr>
        <w:pStyle w:val="enumlev1"/>
      </w:pPr>
      <w:r w:rsidRPr="003A3D08">
        <w:t>–</w:t>
      </w:r>
      <w:r w:rsidRPr="003A3D08">
        <w:tab/>
        <w:t>pour une administration qui a demandé l'assistance du Bureau conformément au § 4.1.21, d'un maximum de trois mois après la date à laquelle le Bureau a communiqué la suite qu'il a donnée à cette demande.</w:t>
      </w:r>
    </w:p>
    <w:p w14:paraId="3948DD88" w14:textId="77777777" w:rsidR="00992DC2" w:rsidRPr="003A3D08" w:rsidRDefault="00665B9E" w:rsidP="003A3D08">
      <w:pPr>
        <w:pStyle w:val="enumlev1"/>
      </w:pPr>
      <w:r w:rsidRPr="003A3D08">
        <w:t>...</w:t>
      </w:r>
    </w:p>
    <w:p w14:paraId="3B677B1B" w14:textId="77777777" w:rsidR="00665B9E" w:rsidRPr="003A3D08" w:rsidRDefault="00AF5F94" w:rsidP="003A3D08">
      <w:pPr>
        <w:pStyle w:val="Reasons"/>
        <w:rPr>
          <w:lang w:val="fr-CH"/>
        </w:rPr>
      </w:pPr>
      <w:r w:rsidRPr="003A3D08">
        <w:rPr>
          <w:b/>
        </w:rPr>
        <w:t>Motifs:</w:t>
      </w:r>
      <w:r w:rsidRPr="003A3D08">
        <w:tab/>
      </w:r>
      <w:r w:rsidR="00665B9E" w:rsidRPr="003A3D08">
        <w:rPr>
          <w:lang w:val="fr-CH"/>
        </w:rPr>
        <w:t>L'Addendum 1 au Rapport du Directeur du Bureau des radiocommunications à la RPC15-2 (Document CPM15-2/41) présente des informations concernant la réduction de la marge de protection équivalente de nombreuses assignations relevant des Appendices 30 et 30A du RR en conséquence de l'absence de réponse à la demande de coordination.</w:t>
      </w:r>
    </w:p>
    <w:p w14:paraId="0BEA8657" w14:textId="37BE6470" w:rsidR="00665B9E" w:rsidRPr="003A3D08" w:rsidRDefault="00665B9E" w:rsidP="003A3D08">
      <w:pPr>
        <w:pStyle w:val="Reasons"/>
        <w:rPr>
          <w:lang w:val="fr-CH" w:eastAsia="ja-JP" w:bidi="fa-IR"/>
        </w:rPr>
      </w:pPr>
      <w:r w:rsidRPr="003A3D08">
        <w:rPr>
          <w:lang w:val="fr-CH" w:eastAsia="ja-JP" w:bidi="fa-IR"/>
        </w:rPr>
        <w:t xml:space="preserve">Ces accords tacites </w:t>
      </w:r>
      <w:r w:rsidR="00131B2C" w:rsidRPr="003A3D08">
        <w:rPr>
          <w:lang w:val="fr-CH" w:eastAsia="ja-JP" w:bidi="fa-IR"/>
        </w:rPr>
        <w:t xml:space="preserve">concernant les Appendices 30 et 30A </w:t>
      </w:r>
      <w:r w:rsidRPr="003A3D08">
        <w:rPr>
          <w:lang w:val="fr-CH" w:eastAsia="ja-JP" w:bidi="fa-IR"/>
        </w:rPr>
        <w:t>ont eu pour conséquence une réduction considérable du nombre de situations de référence mises à jour, au point que, dans certains cas, les assignations concernées n'étaient plus identifiées comme étant défavorablement influencées par des modifications ultérieures apportées aux Plans des Appendices 30 et 30A.</w:t>
      </w:r>
    </w:p>
    <w:p w14:paraId="3F306EAE" w14:textId="77777777" w:rsidR="00665B9E" w:rsidRPr="003A3D08" w:rsidRDefault="00665B9E" w:rsidP="003A3D08">
      <w:pPr>
        <w:rPr>
          <w:sz w:val="22"/>
          <w:lang w:val="fr-CH" w:eastAsia="ja-JP" w:bidi="fa-IR"/>
        </w:rPr>
      </w:pPr>
      <w:r w:rsidRPr="003A3D08">
        <w:rPr>
          <w:lang w:val="fr-CH" w:eastAsia="ja-JP" w:bidi="fa-IR"/>
        </w:rPr>
        <w:t>L'accord tacite présente l'avantage de réduire la charge de travail des administrations, alors que dans de nombreux cas, le déclenchement de la coordination pour les bandes visées dans les Appendices 30 et 30A correspond à une approche prudente.</w:t>
      </w:r>
    </w:p>
    <w:p w14:paraId="1C450EF5" w14:textId="1ECA332D" w:rsidR="005D1231" w:rsidRPr="003A3D08" w:rsidRDefault="00665B9E" w:rsidP="003A3D08">
      <w:r w:rsidRPr="003A3D08">
        <w:rPr>
          <w:lang w:val="fr-CH"/>
        </w:rPr>
        <w:t>A ce jour aucune solution n'a été trouvée et le nombre de situations de référence mises à jour pour certaines assignations des administrations n'ayant pas répondu dans le délai réglementaire de quatre mois a considérablement diminué.</w:t>
      </w:r>
    </w:p>
    <w:p w14:paraId="205B94B6" w14:textId="77777777" w:rsidR="005D1231" w:rsidRPr="003A3D08" w:rsidRDefault="005D1231" w:rsidP="003A3D08">
      <w:pPr>
        <w:jc w:val="center"/>
        <w:rPr>
          <w:lang w:val="fr-CH"/>
        </w:rPr>
      </w:pPr>
      <w:r w:rsidRPr="003A3D08">
        <w:t>______________</w:t>
      </w:r>
    </w:p>
    <w:p w14:paraId="7464DD6F" w14:textId="77777777" w:rsidR="005D1231" w:rsidRPr="00665B9E" w:rsidRDefault="005D1231" w:rsidP="003A3D08">
      <w:pPr>
        <w:pStyle w:val="Reasons"/>
        <w:rPr>
          <w:lang w:val="fr-CH"/>
        </w:rPr>
      </w:pPr>
    </w:p>
    <w:sectPr w:rsidR="005D1231" w:rsidRPr="00665B9E" w:rsidSect="005D1231">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8A299" w14:textId="77777777" w:rsidR="001F17E8" w:rsidRDefault="001F17E8">
      <w:r>
        <w:separator/>
      </w:r>
    </w:p>
  </w:endnote>
  <w:endnote w:type="continuationSeparator" w:id="0">
    <w:p w14:paraId="7656C576" w14:textId="77777777"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BF1F9" w14:textId="77777777" w:rsidR="00936D25" w:rsidRDefault="00936D25">
    <w:pPr>
      <w:rPr>
        <w:lang w:val="en-US"/>
      </w:rPr>
    </w:pPr>
    <w:r>
      <w:fldChar w:fldCharType="begin"/>
    </w:r>
    <w:r>
      <w:rPr>
        <w:lang w:val="en-US"/>
      </w:rPr>
      <w:instrText xml:space="preserve"> FILENAME \p  \* MERGEFORMAT </w:instrText>
    </w:r>
    <w:r>
      <w:fldChar w:fldCharType="separate"/>
    </w:r>
    <w:r w:rsidR="00FD5C4F">
      <w:rPr>
        <w:noProof/>
        <w:lang w:val="en-US"/>
      </w:rPr>
      <w:t>P:\FRA\ITU-R\CONF-R\CMR15\000\061ADD21ADD12F.docx</w:t>
    </w:r>
    <w:r>
      <w:fldChar w:fldCharType="end"/>
    </w:r>
    <w:r>
      <w:rPr>
        <w:lang w:val="en-US"/>
      </w:rPr>
      <w:tab/>
    </w:r>
    <w:r>
      <w:fldChar w:fldCharType="begin"/>
    </w:r>
    <w:r>
      <w:instrText xml:space="preserve"> SAVEDATE \@ DD.MM.YY </w:instrText>
    </w:r>
    <w:r>
      <w:fldChar w:fldCharType="separate"/>
    </w:r>
    <w:r w:rsidR="00FD5C4F">
      <w:rPr>
        <w:noProof/>
      </w:rPr>
      <w:t>23.10.15</w:t>
    </w:r>
    <w:r>
      <w:fldChar w:fldCharType="end"/>
    </w:r>
    <w:r>
      <w:rPr>
        <w:lang w:val="en-US"/>
      </w:rPr>
      <w:tab/>
    </w:r>
    <w:r>
      <w:fldChar w:fldCharType="begin"/>
    </w:r>
    <w:r>
      <w:instrText xml:space="preserve"> PRINTDATE \@ DD.MM.YY </w:instrText>
    </w:r>
    <w:r>
      <w:fldChar w:fldCharType="separate"/>
    </w:r>
    <w:r w:rsidR="00FD5C4F">
      <w:rPr>
        <w:noProof/>
      </w:rPr>
      <w:t>23.10.15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8784D" w14:textId="77777777" w:rsidR="00936D25" w:rsidRPr="005D1231" w:rsidRDefault="005D1231" w:rsidP="005D1231">
    <w:pPr>
      <w:pStyle w:val="Footer"/>
      <w:rPr>
        <w:sz w:val="15"/>
        <w:szCs w:val="15"/>
        <w:lang w:val="en-US"/>
      </w:rPr>
    </w:pPr>
    <w:r w:rsidRPr="005D1231">
      <w:rPr>
        <w:sz w:val="15"/>
        <w:szCs w:val="15"/>
      </w:rPr>
      <w:fldChar w:fldCharType="begin"/>
    </w:r>
    <w:r w:rsidRPr="005D1231">
      <w:rPr>
        <w:sz w:val="15"/>
        <w:szCs w:val="15"/>
        <w:lang w:val="en-US"/>
      </w:rPr>
      <w:instrText xml:space="preserve"> FILENAME \p  \* MERGEFORMAT </w:instrText>
    </w:r>
    <w:r w:rsidRPr="005D1231">
      <w:rPr>
        <w:sz w:val="15"/>
        <w:szCs w:val="15"/>
      </w:rPr>
      <w:fldChar w:fldCharType="separate"/>
    </w:r>
    <w:r w:rsidR="00FD5C4F">
      <w:rPr>
        <w:sz w:val="15"/>
        <w:szCs w:val="15"/>
        <w:lang w:val="en-US"/>
      </w:rPr>
      <w:t>P:\FRA\ITU-R\CONF-R\CMR15\000\061ADD21ADD12F.docx</w:t>
    </w:r>
    <w:r w:rsidRPr="005D1231">
      <w:rPr>
        <w:sz w:val="15"/>
        <w:szCs w:val="15"/>
      </w:rPr>
      <w:fldChar w:fldCharType="end"/>
    </w:r>
    <w:r w:rsidRPr="002E18FA">
      <w:rPr>
        <w:sz w:val="15"/>
        <w:szCs w:val="15"/>
        <w:lang w:val="en-US"/>
      </w:rPr>
      <w:t xml:space="preserve"> (388297)</w:t>
    </w:r>
    <w:r w:rsidRPr="005D1231">
      <w:rPr>
        <w:sz w:val="15"/>
        <w:szCs w:val="15"/>
        <w:lang w:val="en-US"/>
      </w:rPr>
      <w:tab/>
    </w:r>
    <w:r w:rsidRPr="005D1231">
      <w:rPr>
        <w:sz w:val="15"/>
        <w:szCs w:val="15"/>
      </w:rPr>
      <w:fldChar w:fldCharType="begin"/>
    </w:r>
    <w:r w:rsidRPr="005D1231">
      <w:rPr>
        <w:sz w:val="15"/>
        <w:szCs w:val="15"/>
      </w:rPr>
      <w:instrText xml:space="preserve"> SAVEDATE \@ DD.MM.YY </w:instrText>
    </w:r>
    <w:r w:rsidRPr="005D1231">
      <w:rPr>
        <w:sz w:val="15"/>
        <w:szCs w:val="15"/>
      </w:rPr>
      <w:fldChar w:fldCharType="separate"/>
    </w:r>
    <w:r w:rsidR="00FD5C4F">
      <w:rPr>
        <w:sz w:val="15"/>
        <w:szCs w:val="15"/>
      </w:rPr>
      <w:t>23.10.15</w:t>
    </w:r>
    <w:r w:rsidRPr="005D1231">
      <w:rPr>
        <w:sz w:val="15"/>
        <w:szCs w:val="15"/>
      </w:rPr>
      <w:fldChar w:fldCharType="end"/>
    </w:r>
    <w:r w:rsidRPr="005D1231">
      <w:rPr>
        <w:sz w:val="15"/>
        <w:szCs w:val="15"/>
        <w:lang w:val="en-US"/>
      </w:rPr>
      <w:tab/>
    </w:r>
    <w:r w:rsidRPr="002E18FA">
      <w:rPr>
        <w:sz w:val="15"/>
        <w:szCs w:val="15"/>
        <w:lang w:val="en-US"/>
      </w:rPr>
      <w:t>19.10.15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2C384" w14:textId="77777777" w:rsidR="00936D25" w:rsidRPr="005D1231" w:rsidRDefault="00936D25" w:rsidP="005D1231">
    <w:pPr>
      <w:pStyle w:val="Footer"/>
      <w:rPr>
        <w:sz w:val="15"/>
        <w:szCs w:val="15"/>
        <w:lang w:val="en-US"/>
      </w:rPr>
    </w:pPr>
    <w:r w:rsidRPr="005D1231">
      <w:rPr>
        <w:sz w:val="15"/>
        <w:szCs w:val="15"/>
      </w:rPr>
      <w:fldChar w:fldCharType="begin"/>
    </w:r>
    <w:r w:rsidRPr="005D1231">
      <w:rPr>
        <w:sz w:val="15"/>
        <w:szCs w:val="15"/>
        <w:lang w:val="en-US"/>
      </w:rPr>
      <w:instrText xml:space="preserve"> FILENAME \p  \* MERGEFORMAT </w:instrText>
    </w:r>
    <w:r w:rsidRPr="005D1231">
      <w:rPr>
        <w:sz w:val="15"/>
        <w:szCs w:val="15"/>
      </w:rPr>
      <w:fldChar w:fldCharType="separate"/>
    </w:r>
    <w:r w:rsidR="00FD5C4F">
      <w:rPr>
        <w:sz w:val="15"/>
        <w:szCs w:val="15"/>
        <w:lang w:val="en-US"/>
      </w:rPr>
      <w:t>P:\FRA\ITU-R\CONF-R\CMR15\000\061ADD21ADD12F.docx</w:t>
    </w:r>
    <w:r w:rsidRPr="005D1231">
      <w:rPr>
        <w:sz w:val="15"/>
        <w:szCs w:val="15"/>
      </w:rPr>
      <w:fldChar w:fldCharType="end"/>
    </w:r>
    <w:r w:rsidR="00AF5F94" w:rsidRPr="002E18FA">
      <w:rPr>
        <w:sz w:val="15"/>
        <w:szCs w:val="15"/>
        <w:lang w:val="en-US"/>
      </w:rPr>
      <w:t xml:space="preserve"> </w:t>
    </w:r>
    <w:r w:rsidR="005D1231" w:rsidRPr="002E18FA">
      <w:rPr>
        <w:sz w:val="15"/>
        <w:szCs w:val="15"/>
        <w:lang w:val="en-US"/>
      </w:rPr>
      <w:t>(</w:t>
    </w:r>
    <w:r w:rsidR="00AF5F94" w:rsidRPr="002E18FA">
      <w:rPr>
        <w:sz w:val="15"/>
        <w:szCs w:val="15"/>
        <w:lang w:val="en-US"/>
      </w:rPr>
      <w:t>388297)</w:t>
    </w:r>
    <w:r w:rsidRPr="005D1231">
      <w:rPr>
        <w:sz w:val="15"/>
        <w:szCs w:val="15"/>
        <w:lang w:val="en-US"/>
      </w:rPr>
      <w:tab/>
    </w:r>
    <w:r w:rsidRPr="005D1231">
      <w:rPr>
        <w:sz w:val="15"/>
        <w:szCs w:val="15"/>
      </w:rPr>
      <w:fldChar w:fldCharType="begin"/>
    </w:r>
    <w:r w:rsidRPr="005D1231">
      <w:rPr>
        <w:sz w:val="15"/>
        <w:szCs w:val="15"/>
      </w:rPr>
      <w:instrText xml:space="preserve"> SAVEDATE \@ DD.MM.YY </w:instrText>
    </w:r>
    <w:r w:rsidRPr="005D1231">
      <w:rPr>
        <w:sz w:val="15"/>
        <w:szCs w:val="15"/>
      </w:rPr>
      <w:fldChar w:fldCharType="separate"/>
    </w:r>
    <w:r w:rsidR="00FD5C4F">
      <w:rPr>
        <w:sz w:val="15"/>
        <w:szCs w:val="15"/>
      </w:rPr>
      <w:t>23.10.15</w:t>
    </w:r>
    <w:r w:rsidRPr="005D1231">
      <w:rPr>
        <w:sz w:val="15"/>
        <w:szCs w:val="15"/>
      </w:rPr>
      <w:fldChar w:fldCharType="end"/>
    </w:r>
    <w:r w:rsidRPr="005D1231">
      <w:rPr>
        <w:sz w:val="15"/>
        <w:szCs w:val="15"/>
        <w:lang w:val="en-US"/>
      </w:rPr>
      <w:tab/>
    </w:r>
    <w:r w:rsidR="00AF5F94" w:rsidRPr="002E18FA">
      <w:rPr>
        <w:sz w:val="15"/>
        <w:szCs w:val="15"/>
        <w:lang w:val="en-US"/>
      </w:rPr>
      <w:t>19.10.15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2F4154" w14:textId="77777777" w:rsidR="001F17E8" w:rsidRDefault="001F17E8">
      <w:r>
        <w:rPr>
          <w:b/>
        </w:rPr>
        <w:t>_______________</w:t>
      </w:r>
    </w:p>
  </w:footnote>
  <w:footnote w:type="continuationSeparator" w:id="0">
    <w:p w14:paraId="1264E753" w14:textId="77777777"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20492" w14:textId="77777777" w:rsidR="004F1F8E" w:rsidRDefault="004F1F8E" w:rsidP="004F1F8E">
    <w:pPr>
      <w:pStyle w:val="Header"/>
    </w:pPr>
    <w:r>
      <w:fldChar w:fldCharType="begin"/>
    </w:r>
    <w:r>
      <w:instrText xml:space="preserve"> PAGE </w:instrText>
    </w:r>
    <w:r>
      <w:fldChar w:fldCharType="separate"/>
    </w:r>
    <w:r w:rsidR="00FD5C4F">
      <w:rPr>
        <w:noProof/>
      </w:rPr>
      <w:t>3</w:t>
    </w:r>
    <w:r>
      <w:fldChar w:fldCharType="end"/>
    </w:r>
  </w:p>
  <w:p w14:paraId="60A638C4" w14:textId="77777777" w:rsidR="004F1F8E" w:rsidRDefault="004F1F8E" w:rsidP="002C28A4">
    <w:pPr>
      <w:pStyle w:val="Header"/>
    </w:pPr>
    <w:r>
      <w:t>CMR1</w:t>
    </w:r>
    <w:r w:rsidR="002C28A4">
      <w:t>5</w:t>
    </w:r>
    <w:r>
      <w:t>/</w:t>
    </w:r>
    <w:r w:rsidR="006A4B45">
      <w:t>61(Add.21)(Add.12)-</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80E2C"/>
    <w:rsid w:val="000A4755"/>
    <w:rsid w:val="000B2E0C"/>
    <w:rsid w:val="000B3D0C"/>
    <w:rsid w:val="000C68BC"/>
    <w:rsid w:val="001167B9"/>
    <w:rsid w:val="001267A0"/>
    <w:rsid w:val="00131B2C"/>
    <w:rsid w:val="0015203F"/>
    <w:rsid w:val="00160C64"/>
    <w:rsid w:val="0018169B"/>
    <w:rsid w:val="0019352B"/>
    <w:rsid w:val="001960D0"/>
    <w:rsid w:val="001F17E8"/>
    <w:rsid w:val="002040F1"/>
    <w:rsid w:val="00204306"/>
    <w:rsid w:val="0022049A"/>
    <w:rsid w:val="00232FD2"/>
    <w:rsid w:val="0026554E"/>
    <w:rsid w:val="002A4622"/>
    <w:rsid w:val="002A6F8F"/>
    <w:rsid w:val="002B17E5"/>
    <w:rsid w:val="002C0EBF"/>
    <w:rsid w:val="002C28A4"/>
    <w:rsid w:val="002E18FA"/>
    <w:rsid w:val="00315AFE"/>
    <w:rsid w:val="003606A6"/>
    <w:rsid w:val="0036650C"/>
    <w:rsid w:val="00393ACD"/>
    <w:rsid w:val="003A3D08"/>
    <w:rsid w:val="003A583E"/>
    <w:rsid w:val="003E112B"/>
    <w:rsid w:val="003E1D1C"/>
    <w:rsid w:val="003E7B05"/>
    <w:rsid w:val="0043348E"/>
    <w:rsid w:val="00466211"/>
    <w:rsid w:val="004834A9"/>
    <w:rsid w:val="004D01FC"/>
    <w:rsid w:val="004E28C3"/>
    <w:rsid w:val="004F1F8E"/>
    <w:rsid w:val="00512A32"/>
    <w:rsid w:val="00586CF2"/>
    <w:rsid w:val="005C3768"/>
    <w:rsid w:val="005C6C3F"/>
    <w:rsid w:val="005D1231"/>
    <w:rsid w:val="00613635"/>
    <w:rsid w:val="0062093D"/>
    <w:rsid w:val="00637ECF"/>
    <w:rsid w:val="00647B59"/>
    <w:rsid w:val="00650ED3"/>
    <w:rsid w:val="00665B9E"/>
    <w:rsid w:val="00675367"/>
    <w:rsid w:val="00690C7B"/>
    <w:rsid w:val="006A4B45"/>
    <w:rsid w:val="006D4724"/>
    <w:rsid w:val="00701BAE"/>
    <w:rsid w:val="00721F04"/>
    <w:rsid w:val="00730E95"/>
    <w:rsid w:val="007426B9"/>
    <w:rsid w:val="00764342"/>
    <w:rsid w:val="00774362"/>
    <w:rsid w:val="00786598"/>
    <w:rsid w:val="007A04E8"/>
    <w:rsid w:val="00851625"/>
    <w:rsid w:val="00863C0A"/>
    <w:rsid w:val="008A3120"/>
    <w:rsid w:val="008D41BE"/>
    <w:rsid w:val="008D58D3"/>
    <w:rsid w:val="00923064"/>
    <w:rsid w:val="00930FFD"/>
    <w:rsid w:val="00936D25"/>
    <w:rsid w:val="00941EA5"/>
    <w:rsid w:val="00964700"/>
    <w:rsid w:val="00966C16"/>
    <w:rsid w:val="0098732F"/>
    <w:rsid w:val="009A045F"/>
    <w:rsid w:val="009A221C"/>
    <w:rsid w:val="009C1FB5"/>
    <w:rsid w:val="009C7E7C"/>
    <w:rsid w:val="00A00473"/>
    <w:rsid w:val="00A03C9B"/>
    <w:rsid w:val="00A37105"/>
    <w:rsid w:val="00A606C3"/>
    <w:rsid w:val="00A83B09"/>
    <w:rsid w:val="00A84541"/>
    <w:rsid w:val="00AE36A0"/>
    <w:rsid w:val="00AF5F94"/>
    <w:rsid w:val="00B00294"/>
    <w:rsid w:val="00B0588A"/>
    <w:rsid w:val="00B64FD0"/>
    <w:rsid w:val="00B96F0E"/>
    <w:rsid w:val="00BA5BD0"/>
    <w:rsid w:val="00BB1D82"/>
    <w:rsid w:val="00BF26E7"/>
    <w:rsid w:val="00C53FCA"/>
    <w:rsid w:val="00C76BAF"/>
    <w:rsid w:val="00C814B9"/>
    <w:rsid w:val="00C831FF"/>
    <w:rsid w:val="00CD516F"/>
    <w:rsid w:val="00D119A7"/>
    <w:rsid w:val="00D25FBA"/>
    <w:rsid w:val="00D32B28"/>
    <w:rsid w:val="00D42954"/>
    <w:rsid w:val="00D66EAC"/>
    <w:rsid w:val="00D730DF"/>
    <w:rsid w:val="00D772F0"/>
    <w:rsid w:val="00D77BDC"/>
    <w:rsid w:val="00DC402B"/>
    <w:rsid w:val="00DE0932"/>
    <w:rsid w:val="00E03A27"/>
    <w:rsid w:val="00E049F1"/>
    <w:rsid w:val="00E37A25"/>
    <w:rsid w:val="00E537FF"/>
    <w:rsid w:val="00E6539B"/>
    <w:rsid w:val="00E70A31"/>
    <w:rsid w:val="00E9583F"/>
    <w:rsid w:val="00EA3F38"/>
    <w:rsid w:val="00EA5AB6"/>
    <w:rsid w:val="00EB06AC"/>
    <w:rsid w:val="00EC7615"/>
    <w:rsid w:val="00ED16AA"/>
    <w:rsid w:val="00EF662E"/>
    <w:rsid w:val="00F148F1"/>
    <w:rsid w:val="00F4761B"/>
    <w:rsid w:val="00FA3BBF"/>
    <w:rsid w:val="00FB595B"/>
    <w:rsid w:val="00FC41F8"/>
    <w:rsid w:val="00FD5C4F"/>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639C968"/>
  <w15:docId w15:val="{92D28F41-2DF2-4A4C-BF65-FACC1345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03177F"/>
  </w:style>
  <w:style w:type="character" w:styleId="CommentReference">
    <w:name w:val="annotation reference"/>
    <w:basedOn w:val="DefaultParagraphFont"/>
    <w:semiHidden/>
    <w:unhideWhenUsed/>
    <w:rsid w:val="00650ED3"/>
    <w:rPr>
      <w:sz w:val="16"/>
      <w:szCs w:val="16"/>
    </w:rPr>
  </w:style>
  <w:style w:type="paragraph" w:styleId="CommentText">
    <w:name w:val="annotation text"/>
    <w:basedOn w:val="Normal"/>
    <w:link w:val="CommentTextChar"/>
    <w:semiHidden/>
    <w:unhideWhenUsed/>
    <w:rsid w:val="00650ED3"/>
    <w:rPr>
      <w:sz w:val="20"/>
    </w:rPr>
  </w:style>
  <w:style w:type="character" w:customStyle="1" w:styleId="CommentTextChar">
    <w:name w:val="Comment Text Char"/>
    <w:basedOn w:val="DefaultParagraphFont"/>
    <w:link w:val="CommentText"/>
    <w:semiHidden/>
    <w:rsid w:val="00650ED3"/>
    <w:rPr>
      <w:rFonts w:ascii="Times New Roman" w:hAnsi="Times New Roman"/>
      <w:lang w:val="fr-FR" w:eastAsia="en-US"/>
    </w:rPr>
  </w:style>
  <w:style w:type="paragraph" w:styleId="CommentSubject">
    <w:name w:val="annotation subject"/>
    <w:basedOn w:val="CommentText"/>
    <w:next w:val="CommentText"/>
    <w:link w:val="CommentSubjectChar"/>
    <w:semiHidden/>
    <w:unhideWhenUsed/>
    <w:rsid w:val="00650ED3"/>
    <w:rPr>
      <w:b/>
      <w:bCs/>
    </w:rPr>
  </w:style>
  <w:style w:type="character" w:customStyle="1" w:styleId="CommentSubjectChar">
    <w:name w:val="Comment Subject Char"/>
    <w:basedOn w:val="CommentTextChar"/>
    <w:link w:val="CommentSubject"/>
    <w:semiHidden/>
    <w:rsid w:val="00650ED3"/>
    <w:rPr>
      <w:rFonts w:ascii="Times New Roman" w:hAnsi="Times New Roman"/>
      <w:b/>
      <w:bCs/>
      <w:lang w:val="fr-FR" w:eastAsia="en-US"/>
    </w:rPr>
  </w:style>
  <w:style w:type="paragraph" w:styleId="BalloonText">
    <w:name w:val="Balloon Text"/>
    <w:basedOn w:val="Normal"/>
    <w:link w:val="BalloonTextChar"/>
    <w:semiHidden/>
    <w:unhideWhenUsed/>
    <w:rsid w:val="00650ED3"/>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650ED3"/>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842074">
      <w:bodyDiv w:val="1"/>
      <w:marLeft w:val="0"/>
      <w:marRight w:val="0"/>
      <w:marTop w:val="0"/>
      <w:marBottom w:val="0"/>
      <w:divBdr>
        <w:top w:val="none" w:sz="0" w:space="0" w:color="auto"/>
        <w:left w:val="none" w:sz="0" w:space="0" w:color="auto"/>
        <w:bottom w:val="none" w:sz="0" w:space="0" w:color="auto"/>
        <w:right w:val="none" w:sz="0" w:space="0" w:color="auto"/>
      </w:divBdr>
    </w:div>
    <w:div w:id="21046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R15-WRC15-C-0061!A21-A12!MSW-F</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4.xml><?xml version="1.0" encoding="utf-8"?>
<ds:datastoreItem xmlns:ds="http://schemas.openxmlformats.org/officeDocument/2006/customXml" ds:itemID="{8152C5BC-A9C9-47E4-8AB4-5EBC46931FB9}">
  <ds:schemaRefs>
    <ds:schemaRef ds:uri="http://purl.org/dc/elements/1.1/"/>
    <ds:schemaRef ds:uri="http://schemas.microsoft.com/office/2006/documentManagement/types"/>
    <ds:schemaRef ds:uri="http://schemas.openxmlformats.org/package/2006/metadata/core-properties"/>
    <ds:schemaRef ds:uri="http://purl.org/dc/dcmitype/"/>
    <ds:schemaRef ds:uri="http://purl.org/dc/terms/"/>
    <ds:schemaRef ds:uri="32a1a8c5-2265-4ebc-b7a0-2071e2c5c9bb"/>
    <ds:schemaRef ds:uri="http://www.w3.org/XML/1998/namespace"/>
    <ds:schemaRef ds:uri="http://schemas.microsoft.com/office/2006/metadata/properties"/>
    <ds:schemaRef ds:uri="http://schemas.microsoft.com/office/infopath/2007/PartnerControls"/>
    <ds:schemaRef ds:uri="996b2e75-67fd-4955-a3b0-5ab9934cb50b"/>
  </ds:schemaRefs>
</ds:datastoreItem>
</file>

<file path=customXml/itemProps5.xml><?xml version="1.0" encoding="utf-8"?>
<ds:datastoreItem xmlns:ds="http://schemas.openxmlformats.org/officeDocument/2006/customXml" ds:itemID="{22515D77-E7B7-4362-99BD-A62EA0B3C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1162</Words>
  <Characters>6354</Characters>
  <Application>Microsoft Office Word</Application>
  <DocSecurity>0</DocSecurity>
  <Lines>121</Lines>
  <Paragraphs>46</Paragraphs>
  <ScaleCrop>false</ScaleCrop>
  <HeadingPairs>
    <vt:vector size="2" baseType="variant">
      <vt:variant>
        <vt:lpstr>Title</vt:lpstr>
      </vt:variant>
      <vt:variant>
        <vt:i4>1</vt:i4>
      </vt:variant>
    </vt:vector>
  </HeadingPairs>
  <TitlesOfParts>
    <vt:vector size="1" baseType="lpstr">
      <vt:lpstr>R15-WRC15-C-0061!A21-A12!MSW-F</vt:lpstr>
    </vt:vector>
  </TitlesOfParts>
  <Manager>Secrétariat général - Pool</Manager>
  <Company>Union internationale des télécommunications (UIT)</Company>
  <LinksUpToDate>false</LinksUpToDate>
  <CharactersWithSpaces>7522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R15-WRC15-C-0061!A21-A12!MSW-F</dc:title>
  <dc:subject>Conférence mondiale des radiocommunications - 2015</dc:subject>
  <dc:creator>Documents Proposals Manager (DPM)</dc:creator>
  <cp:keywords>DPM_v5.2015.10.15_prod</cp:keywords>
  <dc:description/>
  <cp:lastModifiedBy>Jones, Jacqueline</cp:lastModifiedBy>
  <cp:revision>6</cp:revision>
  <cp:lastPrinted>2015-10-23T07:31:00Z</cp:lastPrinted>
  <dcterms:created xsi:type="dcterms:W3CDTF">2015-10-21T08:36:00Z</dcterms:created>
  <dcterms:modified xsi:type="dcterms:W3CDTF">2015-10-23T07:32:00Z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