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1658FA39" w14:textId="77777777" w:rsidTr="0050008E">
        <w:trPr>
          <w:cantSplit/>
        </w:trPr>
        <w:tc>
          <w:tcPr>
            <w:tcW w:w="6911" w:type="dxa"/>
          </w:tcPr>
          <w:p w14:paraId="04A9E89F" w14:textId="77777777"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14:paraId="054DD7B5" w14:textId="77777777"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F3FB4B2" wp14:editId="5A03FE95">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14:paraId="6E5B1B44" w14:textId="77777777" w:rsidTr="0050008E">
        <w:trPr>
          <w:cantSplit/>
        </w:trPr>
        <w:tc>
          <w:tcPr>
            <w:tcW w:w="6911" w:type="dxa"/>
            <w:tcBorders>
              <w:bottom w:val="single" w:sz="12" w:space="0" w:color="auto"/>
            </w:tcBorders>
          </w:tcPr>
          <w:p w14:paraId="6E840A69" w14:textId="77777777"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14:paraId="5A9056B4" w14:textId="77777777" w:rsidR="00BB1D82" w:rsidRPr="002A6F8F" w:rsidRDefault="00BB1D82" w:rsidP="00BB1D82">
            <w:pPr>
              <w:spacing w:before="0" w:line="240" w:lineRule="atLeast"/>
              <w:rPr>
                <w:rFonts w:ascii="Verdana" w:hAnsi="Verdana"/>
                <w:szCs w:val="24"/>
                <w:lang w:val="en-US"/>
              </w:rPr>
            </w:pPr>
          </w:p>
        </w:tc>
      </w:tr>
      <w:tr w:rsidR="00BB1D82" w:rsidRPr="002A6F8F" w14:paraId="54FDA4EC" w14:textId="77777777" w:rsidTr="00BB1D82">
        <w:trPr>
          <w:cantSplit/>
        </w:trPr>
        <w:tc>
          <w:tcPr>
            <w:tcW w:w="6911" w:type="dxa"/>
            <w:tcBorders>
              <w:top w:val="single" w:sz="12" w:space="0" w:color="auto"/>
            </w:tcBorders>
          </w:tcPr>
          <w:p w14:paraId="383204C7" w14:textId="77777777"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14:paraId="71EE108B" w14:textId="77777777" w:rsidR="00BB1D82" w:rsidRPr="002A6F8F" w:rsidRDefault="00BB1D82" w:rsidP="00BB1D82">
            <w:pPr>
              <w:spacing w:before="0" w:line="240" w:lineRule="atLeast"/>
              <w:rPr>
                <w:rFonts w:ascii="Verdana" w:hAnsi="Verdana"/>
                <w:sz w:val="20"/>
                <w:lang w:val="en-US"/>
              </w:rPr>
            </w:pPr>
          </w:p>
        </w:tc>
      </w:tr>
      <w:tr w:rsidR="00BB1D82" w:rsidRPr="002A6F8F" w14:paraId="31C80F7D" w14:textId="77777777" w:rsidTr="00BB1D82">
        <w:trPr>
          <w:cantSplit/>
        </w:trPr>
        <w:tc>
          <w:tcPr>
            <w:tcW w:w="6911" w:type="dxa"/>
            <w:shd w:val="clear" w:color="auto" w:fill="auto"/>
          </w:tcPr>
          <w:p w14:paraId="21ACD877" w14:textId="77777777"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14:paraId="7EF901D4" w14:textId="77777777" w:rsidR="00BB1D82" w:rsidRPr="00285CD4" w:rsidRDefault="006D4724" w:rsidP="00BA5BD0">
            <w:pPr>
              <w:spacing w:before="0"/>
              <w:rPr>
                <w:rFonts w:ascii="Verdana" w:hAnsi="Verdana"/>
                <w:sz w:val="20"/>
                <w:lang w:val="fr-CH"/>
              </w:rPr>
            </w:pPr>
            <w:r w:rsidRPr="00285CD4">
              <w:rPr>
                <w:rFonts w:ascii="Verdana" w:eastAsia="SimSun" w:hAnsi="Verdana" w:cs="Traditional Arabic"/>
                <w:b/>
                <w:sz w:val="20"/>
                <w:lang w:val="fr-CH"/>
              </w:rPr>
              <w:t>Addendum 11 au</w:t>
            </w:r>
            <w:r w:rsidRPr="00285CD4">
              <w:rPr>
                <w:rFonts w:ascii="Verdana" w:eastAsia="SimSun" w:hAnsi="Verdana" w:cs="Traditional Arabic"/>
                <w:b/>
                <w:sz w:val="20"/>
                <w:lang w:val="fr-CH"/>
              </w:rPr>
              <w:br/>
              <w:t>Document 61(Add.21)</w:t>
            </w:r>
            <w:r w:rsidR="00BB1D82" w:rsidRPr="00285CD4">
              <w:rPr>
                <w:rFonts w:ascii="Verdana" w:hAnsi="Verdana"/>
                <w:b/>
                <w:sz w:val="20"/>
                <w:lang w:val="fr-CH"/>
              </w:rPr>
              <w:t>-</w:t>
            </w:r>
            <w:r w:rsidRPr="00285CD4">
              <w:rPr>
                <w:rFonts w:ascii="Verdana" w:hAnsi="Verdana"/>
                <w:b/>
                <w:sz w:val="20"/>
                <w:lang w:val="fr-CH"/>
              </w:rPr>
              <w:t>F</w:t>
            </w:r>
          </w:p>
        </w:tc>
      </w:tr>
      <w:bookmarkEnd w:id="1"/>
      <w:tr w:rsidR="00690C7B" w:rsidRPr="002A6F8F" w14:paraId="33B9BDE5" w14:textId="77777777" w:rsidTr="00BB1D82">
        <w:trPr>
          <w:cantSplit/>
        </w:trPr>
        <w:tc>
          <w:tcPr>
            <w:tcW w:w="6911" w:type="dxa"/>
            <w:shd w:val="clear" w:color="auto" w:fill="auto"/>
          </w:tcPr>
          <w:p w14:paraId="6306F06C" w14:textId="77777777" w:rsidR="00690C7B" w:rsidRPr="00285CD4" w:rsidRDefault="00690C7B" w:rsidP="00BA5BD0">
            <w:pPr>
              <w:spacing w:before="0"/>
              <w:rPr>
                <w:rFonts w:ascii="Verdana" w:hAnsi="Verdana"/>
                <w:b/>
                <w:sz w:val="20"/>
                <w:lang w:val="fr-CH"/>
              </w:rPr>
            </w:pPr>
          </w:p>
        </w:tc>
        <w:tc>
          <w:tcPr>
            <w:tcW w:w="3120" w:type="dxa"/>
            <w:shd w:val="clear" w:color="auto" w:fill="auto"/>
          </w:tcPr>
          <w:p w14:paraId="1C423A0D"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14 </w:t>
            </w:r>
            <w:proofErr w:type="spellStart"/>
            <w:r w:rsidRPr="002A6F8F">
              <w:rPr>
                <w:rFonts w:ascii="Verdana" w:hAnsi="Verdana"/>
                <w:b/>
                <w:sz w:val="20"/>
                <w:lang w:val="en-US"/>
              </w:rPr>
              <w:t>octobre</w:t>
            </w:r>
            <w:proofErr w:type="spellEnd"/>
            <w:r w:rsidRPr="002A6F8F">
              <w:rPr>
                <w:rFonts w:ascii="Verdana" w:hAnsi="Verdana"/>
                <w:b/>
                <w:sz w:val="20"/>
                <w:lang w:val="en-US"/>
              </w:rPr>
              <w:t xml:space="preserve"> 2015</w:t>
            </w:r>
          </w:p>
        </w:tc>
      </w:tr>
      <w:tr w:rsidR="00690C7B" w:rsidRPr="002A6F8F" w14:paraId="21667C15" w14:textId="77777777" w:rsidTr="00BB1D82">
        <w:trPr>
          <w:cantSplit/>
        </w:trPr>
        <w:tc>
          <w:tcPr>
            <w:tcW w:w="6911" w:type="dxa"/>
          </w:tcPr>
          <w:p w14:paraId="77B6C45E" w14:textId="77777777" w:rsidR="00690C7B" w:rsidRPr="002A6F8F" w:rsidRDefault="00690C7B" w:rsidP="00BA5BD0">
            <w:pPr>
              <w:spacing w:before="0" w:after="48"/>
              <w:rPr>
                <w:rFonts w:ascii="Verdana" w:hAnsi="Verdana"/>
                <w:b/>
                <w:smallCaps/>
                <w:sz w:val="20"/>
                <w:lang w:val="en-US"/>
              </w:rPr>
            </w:pPr>
          </w:p>
        </w:tc>
        <w:tc>
          <w:tcPr>
            <w:tcW w:w="3120" w:type="dxa"/>
          </w:tcPr>
          <w:p w14:paraId="3998439C"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14:paraId="35DD3700" w14:textId="77777777" w:rsidTr="00C11970">
        <w:trPr>
          <w:cantSplit/>
        </w:trPr>
        <w:tc>
          <w:tcPr>
            <w:tcW w:w="10031" w:type="dxa"/>
            <w:gridSpan w:val="2"/>
          </w:tcPr>
          <w:p w14:paraId="73B3053F" w14:textId="77777777" w:rsidR="00690C7B" w:rsidRPr="002A6F8F" w:rsidRDefault="00690C7B" w:rsidP="00BA5BD0">
            <w:pPr>
              <w:spacing w:before="0"/>
              <w:rPr>
                <w:rFonts w:ascii="Verdana" w:hAnsi="Verdana"/>
                <w:b/>
                <w:sz w:val="20"/>
                <w:lang w:val="en-US"/>
              </w:rPr>
            </w:pPr>
          </w:p>
        </w:tc>
      </w:tr>
      <w:tr w:rsidR="00690C7B" w:rsidRPr="002A6F8F" w14:paraId="7BCF13FB" w14:textId="77777777" w:rsidTr="0050008E">
        <w:trPr>
          <w:cantSplit/>
        </w:trPr>
        <w:tc>
          <w:tcPr>
            <w:tcW w:w="10031" w:type="dxa"/>
            <w:gridSpan w:val="2"/>
          </w:tcPr>
          <w:p w14:paraId="0293D13F" w14:textId="77777777" w:rsidR="00690C7B" w:rsidRPr="002A6F8F" w:rsidRDefault="00690C7B" w:rsidP="00690C7B">
            <w:pPr>
              <w:pStyle w:val="Source"/>
              <w:rPr>
                <w:lang w:val="en-US"/>
              </w:rPr>
            </w:pPr>
            <w:bookmarkStart w:id="2" w:name="dsource" w:colFirst="0" w:colLast="0"/>
            <w:r w:rsidRPr="002A6F8F">
              <w:rPr>
                <w:lang w:val="en-US"/>
              </w:rPr>
              <w:t>Iran (</w:t>
            </w:r>
            <w:proofErr w:type="spellStart"/>
            <w:r w:rsidRPr="002A6F8F">
              <w:rPr>
                <w:lang w:val="en-US"/>
              </w:rPr>
              <w:t>République</w:t>
            </w:r>
            <w:proofErr w:type="spellEnd"/>
            <w:r w:rsidRPr="002A6F8F">
              <w:rPr>
                <w:lang w:val="en-US"/>
              </w:rPr>
              <w:t xml:space="preserve"> </w:t>
            </w:r>
            <w:proofErr w:type="spellStart"/>
            <w:r w:rsidRPr="002A6F8F">
              <w:rPr>
                <w:lang w:val="en-US"/>
              </w:rPr>
              <w:t>islamique</w:t>
            </w:r>
            <w:proofErr w:type="spellEnd"/>
            <w:r w:rsidRPr="002A6F8F">
              <w:rPr>
                <w:lang w:val="en-US"/>
              </w:rPr>
              <w:t xml:space="preserve"> d')</w:t>
            </w:r>
          </w:p>
        </w:tc>
      </w:tr>
      <w:tr w:rsidR="00690C7B" w:rsidRPr="002A6F8F" w14:paraId="443E6912" w14:textId="77777777" w:rsidTr="0050008E">
        <w:trPr>
          <w:cantSplit/>
        </w:trPr>
        <w:tc>
          <w:tcPr>
            <w:tcW w:w="10031" w:type="dxa"/>
            <w:gridSpan w:val="2"/>
          </w:tcPr>
          <w:p w14:paraId="523E89EF" w14:textId="77777777" w:rsidR="00690C7B" w:rsidRPr="00285CD4" w:rsidRDefault="00690C7B" w:rsidP="00285CD4">
            <w:pPr>
              <w:pStyle w:val="Title1"/>
              <w:rPr>
                <w:lang w:val="fr-CH"/>
              </w:rPr>
            </w:pPr>
            <w:bookmarkStart w:id="3" w:name="dtitle1" w:colFirst="0" w:colLast="0"/>
            <w:bookmarkEnd w:id="2"/>
            <w:r w:rsidRPr="00285CD4">
              <w:rPr>
                <w:lang w:val="fr-CH"/>
              </w:rPr>
              <w:t>Propos</w:t>
            </w:r>
            <w:r w:rsidR="00285CD4" w:rsidRPr="00285CD4">
              <w:rPr>
                <w:lang w:val="fr-CH"/>
              </w:rPr>
              <w:t>itions pour les travaux de la confé</w:t>
            </w:r>
            <w:r w:rsidRPr="00285CD4">
              <w:rPr>
                <w:lang w:val="fr-CH"/>
              </w:rPr>
              <w:t>rence</w:t>
            </w:r>
          </w:p>
        </w:tc>
      </w:tr>
      <w:tr w:rsidR="00690C7B" w:rsidRPr="002A6F8F" w14:paraId="3CEC54F9" w14:textId="77777777" w:rsidTr="0050008E">
        <w:trPr>
          <w:cantSplit/>
        </w:trPr>
        <w:tc>
          <w:tcPr>
            <w:tcW w:w="10031" w:type="dxa"/>
            <w:gridSpan w:val="2"/>
          </w:tcPr>
          <w:p w14:paraId="2951A9D0" w14:textId="77777777" w:rsidR="00690C7B" w:rsidRPr="00285CD4" w:rsidRDefault="00690C7B" w:rsidP="00690C7B">
            <w:pPr>
              <w:pStyle w:val="Title2"/>
              <w:rPr>
                <w:lang w:val="fr-CH"/>
              </w:rPr>
            </w:pPr>
            <w:bookmarkStart w:id="4" w:name="dtitle2" w:colFirst="0" w:colLast="0"/>
            <w:bookmarkEnd w:id="3"/>
          </w:p>
        </w:tc>
      </w:tr>
      <w:tr w:rsidR="00690C7B" w14:paraId="6930D603" w14:textId="77777777" w:rsidTr="0050008E">
        <w:trPr>
          <w:cantSplit/>
        </w:trPr>
        <w:tc>
          <w:tcPr>
            <w:tcW w:w="10031" w:type="dxa"/>
            <w:gridSpan w:val="2"/>
          </w:tcPr>
          <w:p w14:paraId="5184A814" w14:textId="77777777" w:rsidR="00690C7B" w:rsidRDefault="00690C7B" w:rsidP="00690C7B">
            <w:pPr>
              <w:pStyle w:val="Agendaitem"/>
            </w:pPr>
            <w:bookmarkStart w:id="5" w:name="dtitle3" w:colFirst="0" w:colLast="0"/>
            <w:bookmarkEnd w:id="4"/>
            <w:r w:rsidRPr="006D4724">
              <w:t>Point 7(K) de l'ordre du jour</w:t>
            </w:r>
          </w:p>
        </w:tc>
      </w:tr>
    </w:tbl>
    <w:bookmarkEnd w:id="5"/>
    <w:p w14:paraId="118F2DA0" w14:textId="77777777" w:rsidR="001C0E40" w:rsidRPr="00EC691D" w:rsidRDefault="00F251BC" w:rsidP="006A0A51">
      <w:pPr>
        <w:rPr>
          <w:lang w:val="fr-CA"/>
        </w:rPr>
      </w:pPr>
      <w:r w:rsidRPr="0003194D">
        <w:rPr>
          <w:lang w:val="fr-CA"/>
        </w:rPr>
        <w:t>7</w:t>
      </w:r>
      <w:r w:rsidRPr="0003194D">
        <w:rPr>
          <w:lang w:val="fr-CA"/>
        </w:rPr>
        <w:tab/>
        <w:t>examiner d'éventuels changements à apporter, et d'autres options à mettre en œuvre, en application de la Résolution 86 (</w:t>
      </w:r>
      <w:proofErr w:type="spellStart"/>
      <w:r w:rsidRPr="0003194D">
        <w:rPr>
          <w:lang w:val="fr-CA"/>
        </w:rPr>
        <w:t>Rév</w:t>
      </w:r>
      <w:proofErr w:type="spellEnd"/>
      <w:r w:rsidRPr="0003194D">
        <w:rPr>
          <w:lang w:val="fr-CA"/>
        </w:rPr>
        <w:t>.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14:paraId="3CD60241" w14:textId="77777777" w:rsidR="00144947" w:rsidRPr="000C3CB0" w:rsidRDefault="00F251BC" w:rsidP="000C3CB0">
      <w:pPr>
        <w:rPr>
          <w:lang w:val="fr-CH"/>
        </w:rPr>
      </w:pPr>
      <w:r>
        <w:rPr>
          <w:lang w:val="fr-CH"/>
        </w:rPr>
        <w:t xml:space="preserve">7(K) </w:t>
      </w:r>
      <w:r>
        <w:rPr>
          <w:lang w:val="fr-CH"/>
        </w:rPr>
        <w:tab/>
      </w:r>
      <w:r w:rsidRPr="000C3CB0">
        <w:rPr>
          <w:lang w:val="fr-CH"/>
        </w:rPr>
        <w:t>Question K – Adjonction d'une disposition réglementaire dans l'Article </w:t>
      </w:r>
      <w:r w:rsidRPr="00A57B3B">
        <w:rPr>
          <w:b/>
          <w:bCs/>
          <w:lang w:val="fr-CH"/>
        </w:rPr>
        <w:t>11</w:t>
      </w:r>
      <w:r w:rsidRPr="000C3CB0">
        <w:rPr>
          <w:lang w:val="fr-CH"/>
        </w:rPr>
        <w:t xml:space="preserve"> du RR concernant les cas d'échec de lancement</w:t>
      </w:r>
      <w:r>
        <w:rPr>
          <w:lang w:val="fr-CH"/>
        </w:rPr>
        <w:t>.</w:t>
      </w:r>
    </w:p>
    <w:p w14:paraId="79215B1D" w14:textId="77777777" w:rsidR="00285CD4" w:rsidRPr="00285CD4" w:rsidRDefault="00285CD4" w:rsidP="00285CD4">
      <w:pPr>
        <w:pStyle w:val="Headingb"/>
        <w:rPr>
          <w:lang w:val="fr-CH"/>
        </w:rPr>
      </w:pPr>
      <w:r w:rsidRPr="00285CD4">
        <w:rPr>
          <w:lang w:val="fr-CH"/>
        </w:rPr>
        <w:t>Introduction</w:t>
      </w:r>
    </w:p>
    <w:p w14:paraId="0FB17022" w14:textId="77777777" w:rsidR="00285CD4" w:rsidRPr="00BA2739" w:rsidRDefault="00285CD4" w:rsidP="00285CD4">
      <w:pPr>
        <w:rPr>
          <w:noProof/>
          <w:sz w:val="22"/>
          <w:lang w:val="fr-CH" w:eastAsia="zh-CN"/>
        </w:rPr>
      </w:pPr>
      <w:r w:rsidRPr="00BA2739">
        <w:rPr>
          <w:noProof/>
          <w:lang w:val="fr-CH"/>
        </w:rPr>
        <w:t>Pour respecter les numéros 11.44B et 11.49 du RR, l'assignation de fréquence sera mise en service (et remise en service) avant la fin du délai réglementaire applicable. Pour le Bureau et les administrations, la mise en service et la remise en service signifient qu'une station spatiale sur l'orbite des satellites géostationnaires a été déployée à la position orbitale notifiée pendant une période continue de 90 jours.</w:t>
      </w:r>
    </w:p>
    <w:p w14:paraId="252780ED" w14:textId="5326CFCC" w:rsidR="00285CD4" w:rsidRPr="00BA2739" w:rsidRDefault="00285CD4" w:rsidP="00BA2739">
      <w:pPr>
        <w:rPr>
          <w:noProof/>
          <w:lang w:val="fr-CH"/>
        </w:rPr>
      </w:pPr>
      <w:r w:rsidRPr="00BA2739">
        <w:rPr>
          <w:noProof/>
          <w:lang w:val="fr-CH"/>
        </w:rPr>
        <w:t>Le cas d'un échec de lancement se produisant avant le début de la période prévue pour la mise en service ou la remise en service qui entraîne pour un satellite l'incapacité technique d'émettre ou de recevoir sur une bande de fréquences donnée à la position orbitale voulue, est considéré comme un cas exeptionnel, car cette situation survient par accident. Quand cette situation survient avant le début de la période de mise en service ou de remise en service, le temps restant avant la fin de la période réglementaire de sept ans ou avant la fin de la période de suspension peut ne pas être suffisant pour l'acquisition d'un satellite en orbite ayant les caractéristiques appropriées ou la construction d'unnouveau satellite utilisé pour la mise en service ou la remise en service de l'assignation de fréquence.</w:t>
      </w:r>
    </w:p>
    <w:p w14:paraId="7789BCE4" w14:textId="6A0053F0" w:rsidR="00285CD4" w:rsidRPr="00BA2739" w:rsidRDefault="00285CD4" w:rsidP="00B5635D">
      <w:pPr>
        <w:keepNext/>
        <w:keepLines/>
        <w:rPr>
          <w:lang w:val="fr-CH"/>
        </w:rPr>
      </w:pPr>
      <w:r w:rsidRPr="00BA2739">
        <w:rPr>
          <w:lang w:val="fr-CH"/>
        </w:rPr>
        <w:lastRenderedPageBreak/>
        <w:t>Il convient de noter qu'avant la CMR-03, le règlement comportait certaines dispositions concernant une possible prorogation de 2 ans du délai réglementaire de 5 </w:t>
      </w:r>
      <w:r w:rsidR="0069597C">
        <w:rPr>
          <w:lang w:val="fr-CH"/>
        </w:rPr>
        <w:t>ans dans certains cas de figure</w:t>
      </w:r>
      <w:r w:rsidRPr="00BA2739">
        <w:rPr>
          <w:lang w:val="fr-CH"/>
        </w:rPr>
        <w:t>, parmi lesquels, le cas d'un échec de lancement. Ces dispositions ont été supprimées à la CMR</w:t>
      </w:r>
      <w:r w:rsidRPr="00BA2739">
        <w:rPr>
          <w:lang w:val="fr-CH"/>
        </w:rPr>
        <w:noBreakHyphen/>
        <w:t>03 et remplacées par une période réglementaire unique de 7 ans, qui était censée fournir davantage de souplesse en cas de défaillance d'un satellite.</w:t>
      </w:r>
    </w:p>
    <w:p w14:paraId="7A206AE4" w14:textId="77777777" w:rsidR="00285CD4" w:rsidRPr="00BA2739" w:rsidRDefault="00285CD4" w:rsidP="00285CD4">
      <w:pPr>
        <w:rPr>
          <w:lang w:val="fr-CH"/>
        </w:rPr>
      </w:pPr>
      <w:r w:rsidRPr="00BA2739">
        <w:rPr>
          <w:lang w:val="fr-CH"/>
        </w:rPr>
        <w:t>Il convient de prendre en considération que le Comité du Règlement des radiocommunications a élaboré un projet de Rapport (Document RRB14-3/INFO/1(Rév.1) et Document RRB15-1/1) sur la Résolution 80 (Rév.CMR-07) en vue de la CMR-15, qu'il a soumis aux administrations pour qu'elles l'examinent et formulent des commentaires, y compris sur les cas de «force majeure». Ce document fait état des demandes que les administrations envoient périodiquement au Comité afin d'obtenir une prorogation du délai réglementaire de mise en service d'assignations de fréquence associées à un réseau à satellite pour des raisons de force majeure. La CMR-03 et la CMR</w:t>
      </w:r>
      <w:r w:rsidRPr="00BA2739">
        <w:rPr>
          <w:lang w:val="fr-CH"/>
        </w:rPr>
        <w:noBreakHyphen/>
        <w:t>12 ont étudié la question de la force majeure dans les bandes planifiées en adoptant des modifications apportées aux Appendices 30, 30A et 30B qui définissent les circonstances qui doivent exister, les mesures devant être prises par l'administration, ainsi que les délais. La CMR</w:t>
      </w:r>
      <w:r w:rsidRPr="00BA2739">
        <w:rPr>
          <w:lang w:val="fr-CH"/>
        </w:rPr>
        <w:noBreakHyphen/>
        <w:t>15 voudra peut</w:t>
      </w:r>
      <w:r w:rsidRPr="00BA2739">
        <w:rPr>
          <w:lang w:val="fr-CH"/>
        </w:rPr>
        <w:noBreakHyphen/>
        <w:t>être envisager d'adopter des conditions analogues pour les bandes non planifiées.</w:t>
      </w:r>
    </w:p>
    <w:p w14:paraId="48B1949B" w14:textId="77777777" w:rsidR="00285CD4" w:rsidRPr="00BA2739" w:rsidRDefault="00285CD4" w:rsidP="00285CD4">
      <w:pPr>
        <w:rPr>
          <w:noProof/>
          <w:sz w:val="22"/>
          <w:lang w:val="fr-CH" w:eastAsia="zh-CN"/>
        </w:rPr>
      </w:pPr>
      <w:r w:rsidRPr="00BA2739">
        <w:rPr>
          <w:noProof/>
          <w:lang w:val="fr-CH"/>
        </w:rPr>
        <w:t>La CMR-03 et la CMR-12 ont ajouté des dispositions réglementaires concernant les échecs de lancement dans les Appendices 30 et 30A du RR ainsi que dans l'Appendice 30B du RR, respectivement. Ces dispositions réglementaires concernent uniquement le cas d'un échec de lancement qui empêcherait la mise en service de l'assignation à cette station spatiale dans une bande planifiée. Les dispositions adoptées par la CMR-03 et par la CMR-12 ne portent pas sur les cas de remise en service après une période de suspension.</w:t>
      </w:r>
    </w:p>
    <w:p w14:paraId="5F9EC7D0" w14:textId="77777777" w:rsidR="00285CD4" w:rsidRPr="00BA2739" w:rsidRDefault="00285CD4" w:rsidP="00285CD4">
      <w:pPr>
        <w:rPr>
          <w:noProof/>
          <w:lang w:val="fr-CH"/>
        </w:rPr>
      </w:pPr>
      <w:r w:rsidRPr="00BA2739">
        <w:rPr>
          <w:noProof/>
          <w:lang w:val="fr-CH"/>
        </w:rPr>
        <w:t>En outre, la version actuelle du RR ne contient pas de disposition portant spécifiquement sur le cas d'un échec de lancement qui empêcherait la mise en service ou la remise en service d'assignations de fréquence à une station spatiale dans une bande non planifiée.</w:t>
      </w:r>
    </w:p>
    <w:p w14:paraId="696457AB" w14:textId="77777777" w:rsidR="008F5BFA" w:rsidRPr="001D7C93" w:rsidRDefault="008F5BFA" w:rsidP="008F5BFA">
      <w:pPr>
        <w:pStyle w:val="Headingb"/>
        <w:rPr>
          <w:lang w:val="fr-CH"/>
        </w:rPr>
      </w:pPr>
      <w:r w:rsidRPr="001D7C93">
        <w:rPr>
          <w:lang w:val="fr-CH"/>
        </w:rPr>
        <w:t>Proposition</w:t>
      </w:r>
    </w:p>
    <w:p w14:paraId="1CC2A948" w14:textId="77777777" w:rsidR="00267FC9" w:rsidRDefault="00F251BC">
      <w:pPr>
        <w:pStyle w:val="Proposal"/>
      </w:pPr>
      <w:r>
        <w:rPr>
          <w:u w:val="single"/>
        </w:rPr>
        <w:t>NOC</w:t>
      </w:r>
      <w:r>
        <w:tab/>
        <w:t>IRN/61A21A11/1</w:t>
      </w:r>
    </w:p>
    <w:p w14:paraId="72E4FEA7" w14:textId="77777777" w:rsidR="004A6A8C" w:rsidRPr="001F58CF" w:rsidRDefault="00F251BC" w:rsidP="00501CC0">
      <w:pPr>
        <w:pStyle w:val="ArtNo"/>
      </w:pPr>
      <w:r w:rsidRPr="00501CC0">
        <w:t>ARTICLE</w:t>
      </w:r>
      <w:r w:rsidRPr="001F58CF">
        <w:t xml:space="preserve"> </w:t>
      </w:r>
      <w:r w:rsidRPr="001F58CF">
        <w:rPr>
          <w:rStyle w:val="href"/>
        </w:rPr>
        <w:t>11</w:t>
      </w:r>
    </w:p>
    <w:p w14:paraId="560A4228" w14:textId="5F1EFB3C" w:rsidR="004A6A8C" w:rsidRPr="000C4F5E" w:rsidRDefault="00F251BC" w:rsidP="00DC7B57">
      <w:pPr>
        <w:pStyle w:val="Arttitle"/>
      </w:pPr>
      <w:r w:rsidRPr="00E82312">
        <w:t>Notification et inscription des assignations</w:t>
      </w:r>
      <w:r w:rsidRPr="00E82312">
        <w:br/>
        <w:t xml:space="preserve">de </w:t>
      </w:r>
      <w:r w:rsidRPr="00463598">
        <w:t>fréquence</w:t>
      </w:r>
      <w:r w:rsidR="003957B2">
        <w:rPr>
          <w:rStyle w:val="FootnoteReference"/>
        </w:rPr>
        <w:t xml:space="preserve">1, 2, 3, 4, 5, 6, 7, </w:t>
      </w:r>
      <w:r w:rsidRPr="00653F06">
        <w:rPr>
          <w:rStyle w:val="FootnoteReference"/>
        </w:rPr>
        <w:t>7</w:t>
      </w:r>
      <w:r w:rsidRPr="003957B2">
        <w:rPr>
          <w:rStyle w:val="FootnoteReference"/>
          <w:i/>
          <w:iCs/>
        </w:rPr>
        <w:t>bis</w:t>
      </w:r>
      <w:r w:rsidRPr="00466ED8">
        <w:rPr>
          <w:b w:val="0"/>
          <w:bCs/>
          <w:sz w:val="16"/>
          <w:szCs w:val="16"/>
        </w:rPr>
        <w:t> </w:t>
      </w:r>
      <w:r w:rsidR="003957B2">
        <w:rPr>
          <w:b w:val="0"/>
          <w:bCs/>
          <w:sz w:val="16"/>
          <w:szCs w:val="16"/>
        </w:rPr>
        <w:t>   </w:t>
      </w:r>
      <w:r w:rsidRPr="00466ED8">
        <w:rPr>
          <w:b w:val="0"/>
          <w:bCs/>
          <w:sz w:val="16"/>
          <w:szCs w:val="16"/>
        </w:rPr>
        <w:t> (CMR-12)</w:t>
      </w:r>
    </w:p>
    <w:p w14:paraId="6298CB2D" w14:textId="79086C11" w:rsidR="00285CD4" w:rsidRPr="00BA2739" w:rsidRDefault="00F251BC" w:rsidP="00BA2739">
      <w:pPr>
        <w:pStyle w:val="Reasons"/>
        <w:rPr>
          <w:lang w:val="fr-CH"/>
        </w:rPr>
      </w:pPr>
      <w:r w:rsidRPr="00BA2739">
        <w:rPr>
          <w:b/>
        </w:rPr>
        <w:t>Motifs:</w:t>
      </w:r>
      <w:r w:rsidRPr="00BA2739">
        <w:tab/>
      </w:r>
      <w:r w:rsidR="00285CD4" w:rsidRPr="00BA2739">
        <w:rPr>
          <w:lang w:val="fr-CH"/>
        </w:rPr>
        <w:t>Il est proposé de n'apporter aucune modification (NOC) au RR, étant donné que les pratiques actuelles permettent de traiter cette question et que les é</w:t>
      </w:r>
      <w:bookmarkStart w:id="6" w:name="_GoBack"/>
      <w:bookmarkEnd w:id="6"/>
      <w:r w:rsidR="00285CD4" w:rsidRPr="00BA2739">
        <w:rPr>
          <w:lang w:val="fr-CH"/>
        </w:rPr>
        <w:t>tudes menées à ce jour n'ont pas traité tous</w:t>
      </w:r>
      <w:r w:rsidR="00BA2739" w:rsidRPr="00BA2739">
        <w:rPr>
          <w:lang w:val="fr-CH"/>
        </w:rPr>
        <w:t xml:space="preserve"> </w:t>
      </w:r>
      <w:r w:rsidR="00285CD4" w:rsidRPr="00BA2739">
        <w:rPr>
          <w:lang w:val="fr-CH"/>
        </w:rPr>
        <w:t>les problèmes potentiels.</w:t>
      </w:r>
    </w:p>
    <w:p w14:paraId="548D63EF" w14:textId="3FF459B3" w:rsidR="00267FC9" w:rsidRDefault="00B20292" w:rsidP="00B20292">
      <w:pPr>
        <w:pStyle w:val="Reasons"/>
        <w:rPr>
          <w:lang w:val="fr-CH"/>
        </w:rPr>
      </w:pPr>
      <w:r>
        <w:rPr>
          <w:lang w:val="fr-CH"/>
        </w:rPr>
        <w:t>L'A</w:t>
      </w:r>
      <w:r w:rsidR="003F3D74" w:rsidRPr="00BA2739">
        <w:rPr>
          <w:lang w:val="fr-CH"/>
        </w:rPr>
        <w:t xml:space="preserve">dministration </w:t>
      </w:r>
      <w:r>
        <w:rPr>
          <w:lang w:val="fr-CH"/>
        </w:rPr>
        <w:t>de l'Iran pourrait envisager</w:t>
      </w:r>
      <w:r w:rsidR="003F3D74" w:rsidRPr="00BA2739">
        <w:rPr>
          <w:lang w:val="fr-CH"/>
        </w:rPr>
        <w:t xml:space="preserve"> une ou plusieurs autres solutions, en se fondant sur les délibérations de la Conférence sur cette question, si cela est justifié et approprié</w:t>
      </w:r>
      <w:r w:rsidR="00BA2739">
        <w:rPr>
          <w:lang w:val="fr-CH"/>
        </w:rPr>
        <w:t>.</w:t>
      </w:r>
    </w:p>
    <w:p w14:paraId="0B672DC0" w14:textId="77777777" w:rsidR="00BA2739" w:rsidRDefault="00BA2739" w:rsidP="0032202E">
      <w:pPr>
        <w:pStyle w:val="Reasons"/>
      </w:pPr>
    </w:p>
    <w:p w14:paraId="244EFF1C" w14:textId="66F2F79B" w:rsidR="00BA2739" w:rsidRDefault="00BA2739" w:rsidP="00DE653F">
      <w:pPr>
        <w:jc w:val="center"/>
      </w:pPr>
      <w:r>
        <w:t>______________</w:t>
      </w:r>
    </w:p>
    <w:sectPr w:rsidR="00BA2739">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6B12C" w14:textId="77777777" w:rsidR="001F17E8" w:rsidRDefault="001F17E8">
      <w:r>
        <w:separator/>
      </w:r>
    </w:p>
  </w:endnote>
  <w:endnote w:type="continuationSeparator" w:id="0">
    <w:p w14:paraId="371A7645" w14:textId="77777777"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B4B4" w14:textId="77777777" w:rsidR="00936D25" w:rsidRDefault="00936D25">
    <w:pPr>
      <w:rPr>
        <w:lang w:val="en-US"/>
      </w:rPr>
    </w:pPr>
    <w:r>
      <w:fldChar w:fldCharType="begin"/>
    </w:r>
    <w:r>
      <w:rPr>
        <w:lang w:val="en-US"/>
      </w:rPr>
      <w:instrText xml:space="preserve"> FILENAME \p  \* MERGEFORMAT </w:instrText>
    </w:r>
    <w:r>
      <w:fldChar w:fldCharType="separate"/>
    </w:r>
    <w:r w:rsidR="008623EA">
      <w:rPr>
        <w:noProof/>
        <w:lang w:val="en-US"/>
      </w:rPr>
      <w:t>P:\FRA\ITU-R\CONF-R\CMR15\000\061ADD21ADD11F.docx</w:t>
    </w:r>
    <w:r>
      <w:fldChar w:fldCharType="end"/>
    </w:r>
    <w:r>
      <w:rPr>
        <w:lang w:val="en-US"/>
      </w:rPr>
      <w:tab/>
    </w:r>
    <w:r>
      <w:fldChar w:fldCharType="begin"/>
    </w:r>
    <w:r>
      <w:instrText xml:space="preserve"> SAVEDATE \@ DD.MM.YY </w:instrText>
    </w:r>
    <w:r>
      <w:fldChar w:fldCharType="separate"/>
    </w:r>
    <w:r w:rsidR="008623EA">
      <w:rPr>
        <w:noProof/>
      </w:rPr>
      <w:t>23.10.15</w:t>
    </w:r>
    <w:r>
      <w:fldChar w:fldCharType="end"/>
    </w:r>
    <w:r>
      <w:rPr>
        <w:lang w:val="en-US"/>
      </w:rPr>
      <w:tab/>
    </w:r>
    <w:r>
      <w:fldChar w:fldCharType="begin"/>
    </w:r>
    <w:r>
      <w:instrText xml:space="preserve"> PRINTDATE \@ DD.MM.YY </w:instrText>
    </w:r>
    <w:r>
      <w:fldChar w:fldCharType="separate"/>
    </w:r>
    <w:r w:rsidR="008623EA">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5170F" w14:textId="77777777" w:rsidR="00936D25" w:rsidRDefault="00936D25" w:rsidP="007B2934">
    <w:pPr>
      <w:pStyle w:val="Footer"/>
      <w:rPr>
        <w:lang w:val="en-US"/>
      </w:rPr>
    </w:pPr>
    <w:r w:rsidRPr="007B2934">
      <w:rPr>
        <w:sz w:val="15"/>
        <w:szCs w:val="15"/>
      </w:rPr>
      <w:fldChar w:fldCharType="begin"/>
    </w:r>
    <w:r w:rsidRPr="007B2934">
      <w:rPr>
        <w:sz w:val="15"/>
        <w:szCs w:val="15"/>
        <w:lang w:val="en-US"/>
      </w:rPr>
      <w:instrText xml:space="preserve"> FILENAME \p  \* MERGEFORMAT </w:instrText>
    </w:r>
    <w:r w:rsidRPr="007B2934">
      <w:rPr>
        <w:sz w:val="15"/>
        <w:szCs w:val="15"/>
      </w:rPr>
      <w:fldChar w:fldCharType="separate"/>
    </w:r>
    <w:r w:rsidR="008623EA">
      <w:rPr>
        <w:sz w:val="15"/>
        <w:szCs w:val="15"/>
        <w:lang w:val="en-US"/>
      </w:rPr>
      <w:t>P:\FRA\ITU-R\CONF-R\CMR15\000\061ADD21ADD11F.docx</w:t>
    </w:r>
    <w:r w:rsidRPr="007B2934">
      <w:rPr>
        <w:sz w:val="15"/>
        <w:szCs w:val="15"/>
      </w:rPr>
      <w:fldChar w:fldCharType="end"/>
    </w:r>
    <w:r w:rsidR="007B2934" w:rsidRPr="007B2934">
      <w:rPr>
        <w:sz w:val="15"/>
        <w:szCs w:val="15"/>
      </w:rPr>
      <w:t xml:space="preserve"> (388296)</w:t>
    </w:r>
    <w:r>
      <w:rPr>
        <w:lang w:val="en-US"/>
      </w:rPr>
      <w:tab/>
    </w:r>
    <w:r>
      <w:fldChar w:fldCharType="begin"/>
    </w:r>
    <w:r>
      <w:instrText xml:space="preserve"> SAVEDATE \@ DD.MM.YY </w:instrText>
    </w:r>
    <w:r>
      <w:fldChar w:fldCharType="separate"/>
    </w:r>
    <w:r w:rsidR="008623EA">
      <w:t>23.10.15</w:t>
    </w:r>
    <w:r>
      <w:fldChar w:fldCharType="end"/>
    </w:r>
    <w:r>
      <w:rPr>
        <w:lang w:val="en-US"/>
      </w:rPr>
      <w:tab/>
    </w:r>
    <w:r w:rsidR="007B2934">
      <w:t>19.10.15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F7DE" w14:textId="77777777" w:rsidR="00936D25" w:rsidRDefault="00936D25" w:rsidP="007B2934">
    <w:pPr>
      <w:pStyle w:val="Footer"/>
      <w:rPr>
        <w:lang w:val="en-US"/>
      </w:rPr>
    </w:pPr>
    <w:r w:rsidRPr="007B2934">
      <w:rPr>
        <w:sz w:val="15"/>
        <w:szCs w:val="15"/>
      </w:rPr>
      <w:fldChar w:fldCharType="begin"/>
    </w:r>
    <w:r w:rsidRPr="007B2934">
      <w:rPr>
        <w:sz w:val="15"/>
        <w:szCs w:val="15"/>
        <w:lang w:val="en-US"/>
      </w:rPr>
      <w:instrText xml:space="preserve"> FILENAME \p  \* MERGEFORMAT </w:instrText>
    </w:r>
    <w:r w:rsidRPr="007B2934">
      <w:rPr>
        <w:sz w:val="15"/>
        <w:szCs w:val="15"/>
      </w:rPr>
      <w:fldChar w:fldCharType="separate"/>
    </w:r>
    <w:r w:rsidR="008623EA">
      <w:rPr>
        <w:sz w:val="15"/>
        <w:szCs w:val="15"/>
        <w:lang w:val="en-US"/>
      </w:rPr>
      <w:t>P:\FRA\ITU-R\CONF-R\CMR15\000\061ADD21ADD11F.docx</w:t>
    </w:r>
    <w:r w:rsidRPr="007B2934">
      <w:rPr>
        <w:sz w:val="15"/>
        <w:szCs w:val="15"/>
      </w:rPr>
      <w:fldChar w:fldCharType="end"/>
    </w:r>
    <w:r w:rsidR="007B2934" w:rsidRPr="007B2934">
      <w:rPr>
        <w:sz w:val="15"/>
        <w:szCs w:val="15"/>
      </w:rPr>
      <w:t xml:space="preserve"> (388296)</w:t>
    </w:r>
    <w:r>
      <w:rPr>
        <w:lang w:val="en-US"/>
      </w:rPr>
      <w:tab/>
    </w:r>
    <w:r>
      <w:fldChar w:fldCharType="begin"/>
    </w:r>
    <w:r>
      <w:instrText xml:space="preserve"> SAVEDATE \@ DD.MM.YY </w:instrText>
    </w:r>
    <w:r>
      <w:fldChar w:fldCharType="separate"/>
    </w:r>
    <w:r w:rsidR="008623EA">
      <w:t>23.10.15</w:t>
    </w:r>
    <w:r>
      <w:fldChar w:fldCharType="end"/>
    </w:r>
    <w:r>
      <w:rPr>
        <w:lang w:val="en-US"/>
      </w:rPr>
      <w:tab/>
    </w:r>
    <w:r w:rsidR="007B2934">
      <w:t>19.10.15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CCCBE" w14:textId="77777777" w:rsidR="001F17E8" w:rsidRDefault="001F17E8">
      <w:r>
        <w:rPr>
          <w:b/>
        </w:rPr>
        <w:t>_______________</w:t>
      </w:r>
    </w:p>
  </w:footnote>
  <w:footnote w:type="continuationSeparator" w:id="0">
    <w:p w14:paraId="290A616E" w14:textId="77777777"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06BA4" w14:textId="77777777" w:rsidR="004F1F8E" w:rsidRDefault="004F1F8E" w:rsidP="004F1F8E">
    <w:pPr>
      <w:pStyle w:val="Header"/>
    </w:pPr>
    <w:r>
      <w:fldChar w:fldCharType="begin"/>
    </w:r>
    <w:r>
      <w:instrText xml:space="preserve"> PAGE </w:instrText>
    </w:r>
    <w:r>
      <w:fldChar w:fldCharType="separate"/>
    </w:r>
    <w:r w:rsidR="008623EA">
      <w:rPr>
        <w:noProof/>
      </w:rPr>
      <w:t>2</w:t>
    </w:r>
    <w:r>
      <w:fldChar w:fldCharType="end"/>
    </w:r>
  </w:p>
  <w:p w14:paraId="378E31D2" w14:textId="77777777" w:rsidR="004F1F8E" w:rsidRDefault="004F1F8E" w:rsidP="002C28A4">
    <w:pPr>
      <w:pStyle w:val="Header"/>
    </w:pPr>
    <w:r>
      <w:t>CMR1</w:t>
    </w:r>
    <w:r w:rsidR="002C28A4">
      <w:t>5</w:t>
    </w:r>
    <w:r>
      <w:t>/</w:t>
    </w:r>
    <w:r w:rsidR="006A4B45">
      <w:t>61(Add.21)(Add.11)-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47B2"/>
    <w:rsid w:val="001960D0"/>
    <w:rsid w:val="001D7C93"/>
    <w:rsid w:val="001F17E8"/>
    <w:rsid w:val="00204306"/>
    <w:rsid w:val="00232FD2"/>
    <w:rsid w:val="0026554E"/>
    <w:rsid w:val="00267FC9"/>
    <w:rsid w:val="00285CD4"/>
    <w:rsid w:val="002A4622"/>
    <w:rsid w:val="002A6F8F"/>
    <w:rsid w:val="002B17E5"/>
    <w:rsid w:val="002C0EBF"/>
    <w:rsid w:val="002C28A4"/>
    <w:rsid w:val="00315AFE"/>
    <w:rsid w:val="003606A6"/>
    <w:rsid w:val="0036650C"/>
    <w:rsid w:val="00393ACD"/>
    <w:rsid w:val="003957B2"/>
    <w:rsid w:val="003A583E"/>
    <w:rsid w:val="003E112B"/>
    <w:rsid w:val="003E1D1C"/>
    <w:rsid w:val="003E7B05"/>
    <w:rsid w:val="003F3D74"/>
    <w:rsid w:val="00466211"/>
    <w:rsid w:val="00481302"/>
    <w:rsid w:val="004834A9"/>
    <w:rsid w:val="004D01FC"/>
    <w:rsid w:val="004E28C3"/>
    <w:rsid w:val="004F1F8E"/>
    <w:rsid w:val="005024EC"/>
    <w:rsid w:val="00512A32"/>
    <w:rsid w:val="00586CF2"/>
    <w:rsid w:val="005C3768"/>
    <w:rsid w:val="005C6C3F"/>
    <w:rsid w:val="00607CE6"/>
    <w:rsid w:val="00613635"/>
    <w:rsid w:val="0062093D"/>
    <w:rsid w:val="00637ECF"/>
    <w:rsid w:val="00647B59"/>
    <w:rsid w:val="00690C7B"/>
    <w:rsid w:val="0069597C"/>
    <w:rsid w:val="006A4B45"/>
    <w:rsid w:val="006D4724"/>
    <w:rsid w:val="00701BAE"/>
    <w:rsid w:val="00721F04"/>
    <w:rsid w:val="00730E95"/>
    <w:rsid w:val="007426B9"/>
    <w:rsid w:val="00764342"/>
    <w:rsid w:val="00774362"/>
    <w:rsid w:val="00786598"/>
    <w:rsid w:val="007A04E8"/>
    <w:rsid w:val="007B2934"/>
    <w:rsid w:val="00851625"/>
    <w:rsid w:val="008623EA"/>
    <w:rsid w:val="00863C0A"/>
    <w:rsid w:val="008A3120"/>
    <w:rsid w:val="008D41BE"/>
    <w:rsid w:val="008D58D3"/>
    <w:rsid w:val="008F5BFA"/>
    <w:rsid w:val="00923064"/>
    <w:rsid w:val="009267B1"/>
    <w:rsid w:val="00930FFD"/>
    <w:rsid w:val="00936D25"/>
    <w:rsid w:val="00941EA5"/>
    <w:rsid w:val="00964700"/>
    <w:rsid w:val="00966C16"/>
    <w:rsid w:val="0096791F"/>
    <w:rsid w:val="0098732F"/>
    <w:rsid w:val="00991AD3"/>
    <w:rsid w:val="009A045F"/>
    <w:rsid w:val="009C7E7C"/>
    <w:rsid w:val="00A00473"/>
    <w:rsid w:val="00A03C9B"/>
    <w:rsid w:val="00A2217B"/>
    <w:rsid w:val="00A37105"/>
    <w:rsid w:val="00A606C3"/>
    <w:rsid w:val="00A83B09"/>
    <w:rsid w:val="00A84541"/>
    <w:rsid w:val="00AE36A0"/>
    <w:rsid w:val="00B00294"/>
    <w:rsid w:val="00B20292"/>
    <w:rsid w:val="00B5635D"/>
    <w:rsid w:val="00B64FD0"/>
    <w:rsid w:val="00BA2739"/>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DE653F"/>
    <w:rsid w:val="00E03A27"/>
    <w:rsid w:val="00E049F1"/>
    <w:rsid w:val="00E37A25"/>
    <w:rsid w:val="00E537FF"/>
    <w:rsid w:val="00E6539B"/>
    <w:rsid w:val="00E70A31"/>
    <w:rsid w:val="00EA3F38"/>
    <w:rsid w:val="00EA5AB6"/>
    <w:rsid w:val="00EC7615"/>
    <w:rsid w:val="00ED16AA"/>
    <w:rsid w:val="00EF662E"/>
    <w:rsid w:val="00F148F1"/>
    <w:rsid w:val="00F251BC"/>
    <w:rsid w:val="00FA3BBF"/>
    <w:rsid w:val="00FC41F8"/>
    <w:rsid w:val="00FD6B32"/>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B14E38"/>
  <w15:docId w15:val="{BA62442E-AD9E-4F94-8212-F4AECDBF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styleId="CommentReference">
    <w:name w:val="annotation reference"/>
    <w:basedOn w:val="DefaultParagraphFont"/>
    <w:semiHidden/>
    <w:unhideWhenUsed/>
    <w:rsid w:val="005024EC"/>
    <w:rPr>
      <w:sz w:val="16"/>
      <w:szCs w:val="16"/>
    </w:rPr>
  </w:style>
  <w:style w:type="paragraph" w:styleId="CommentText">
    <w:name w:val="annotation text"/>
    <w:basedOn w:val="Normal"/>
    <w:link w:val="CommentTextChar"/>
    <w:semiHidden/>
    <w:unhideWhenUsed/>
    <w:rsid w:val="005024EC"/>
    <w:rPr>
      <w:sz w:val="20"/>
    </w:rPr>
  </w:style>
  <w:style w:type="character" w:customStyle="1" w:styleId="CommentTextChar">
    <w:name w:val="Comment Text Char"/>
    <w:basedOn w:val="DefaultParagraphFont"/>
    <w:link w:val="CommentText"/>
    <w:semiHidden/>
    <w:rsid w:val="005024EC"/>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5024EC"/>
    <w:rPr>
      <w:b/>
      <w:bCs/>
    </w:rPr>
  </w:style>
  <w:style w:type="character" w:customStyle="1" w:styleId="CommentSubjectChar">
    <w:name w:val="Comment Subject Char"/>
    <w:basedOn w:val="CommentTextChar"/>
    <w:link w:val="CommentSubject"/>
    <w:semiHidden/>
    <w:rsid w:val="005024EC"/>
    <w:rPr>
      <w:rFonts w:ascii="Times New Roman" w:hAnsi="Times New Roman"/>
      <w:b/>
      <w:bCs/>
      <w:lang w:val="fr-FR" w:eastAsia="en-US"/>
    </w:rPr>
  </w:style>
  <w:style w:type="paragraph" w:styleId="BalloonText">
    <w:name w:val="Balloon Text"/>
    <w:basedOn w:val="Normal"/>
    <w:link w:val="BalloonTextChar"/>
    <w:semiHidden/>
    <w:unhideWhenUsed/>
    <w:rsid w:val="005024E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024EC"/>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833088">
      <w:bodyDiv w:val="1"/>
      <w:marLeft w:val="0"/>
      <w:marRight w:val="0"/>
      <w:marTop w:val="0"/>
      <w:marBottom w:val="0"/>
      <w:divBdr>
        <w:top w:val="none" w:sz="0" w:space="0" w:color="auto"/>
        <w:left w:val="none" w:sz="0" w:space="0" w:color="auto"/>
        <w:bottom w:val="none" w:sz="0" w:space="0" w:color="auto"/>
        <w:right w:val="none" w:sz="0" w:space="0" w:color="auto"/>
      </w:divBdr>
    </w:div>
    <w:div w:id="320624432">
      <w:bodyDiv w:val="1"/>
      <w:marLeft w:val="0"/>
      <w:marRight w:val="0"/>
      <w:marTop w:val="0"/>
      <w:marBottom w:val="0"/>
      <w:divBdr>
        <w:top w:val="none" w:sz="0" w:space="0" w:color="auto"/>
        <w:left w:val="none" w:sz="0" w:space="0" w:color="auto"/>
        <w:bottom w:val="none" w:sz="0" w:space="0" w:color="auto"/>
        <w:right w:val="none" w:sz="0" w:space="0" w:color="auto"/>
      </w:divBdr>
    </w:div>
    <w:div w:id="16098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R15-WRC15-C-0061!A21-A11!MSW-F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98C8A-8252-4FD1-8D26-127B256D215A}">
  <ds:schemaRefs>
    <ds:schemaRef ds:uri="http://purl.org/dc/elements/1.1/"/>
    <ds:schemaRef ds:uri="http://purl.org/dc/dcmitype/"/>
    <ds:schemaRef ds:uri="32a1a8c5-2265-4ebc-b7a0-2071e2c5c9bb"/>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772</Words>
  <Characters>4305</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R15-WRC15-C-0061!A21-A11!MSW-F</vt:lpstr>
    </vt:vector>
  </TitlesOfParts>
  <Manager>Secrétariat général - Pool</Manager>
  <Company>Union internationale des télécommunications (UIT)</Company>
  <LinksUpToDate>false</LinksUpToDate>
  <CharactersWithSpaces>5058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R15-WRC15-C-0061!A21-A11!MSW-F</dc:title>
  <dc:subject>Conférence mondiale des radiocommunications - 2015</dc:subject>
  <dc:creator>Documents Proposals Manager (DPM)</dc:creator>
  <cp:keywords>DPM_v5.2015.10.15_prod</cp:keywords>
  <dc:description/>
  <cp:lastModifiedBy>Royer, Veronique</cp:lastModifiedBy>
  <cp:revision>15</cp:revision>
  <cp:lastPrinted>2015-10-23T06:06:00Z</cp:lastPrinted>
  <dcterms:created xsi:type="dcterms:W3CDTF">2015-10-21T21:25:00Z</dcterms:created>
  <dcterms:modified xsi:type="dcterms:W3CDTF">2015-10-23T06:07:00Z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