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11 to</w:t>
            </w:r>
            <w:r>
              <w:rPr>
                <w:rFonts w:ascii="Verdana" w:eastAsia="SimSun" w:hAnsi="Verdana" w:cs="Traditional Arabic"/>
                <w:b/>
                <w:sz w:val="20"/>
              </w:rPr>
              <w:br/>
              <w:t>Document 61(Add.21)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7(K)</w:t>
            </w:r>
          </w:p>
        </w:tc>
      </w:tr>
    </w:tbl>
    <w:bookmarkEnd w:id="7"/>
    <w:bookmarkEnd w:id="8"/>
    <w:p w:rsidR="00B02325" w:rsidRPr="000002F2" w:rsidRDefault="00FD7FAD" w:rsidP="00E3153E">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Default="00FD7FAD" w:rsidP="00931C9E">
      <w:r>
        <w:t>7(K)</w:t>
      </w:r>
      <w:r>
        <w:tab/>
      </w:r>
      <w:r w:rsidRPr="00BC4D69">
        <w:t xml:space="preserve">Issue K – Addition of a regulatory provision in RR Article </w:t>
      </w:r>
      <w:r w:rsidRPr="00931C9E">
        <w:rPr>
          <w:b/>
          <w:bCs/>
        </w:rPr>
        <w:t>11</w:t>
      </w:r>
      <w:r w:rsidRPr="00BC4D69">
        <w:t xml:space="preserve"> for the case of launch failure</w:t>
      </w:r>
    </w:p>
    <w:p w:rsidR="00E3153E" w:rsidRPr="000002F2" w:rsidRDefault="00E3153E" w:rsidP="00931C9E"/>
    <w:p w:rsidR="00707501" w:rsidRPr="00643A70" w:rsidRDefault="00707501" w:rsidP="00707501">
      <w:pPr>
        <w:pStyle w:val="Headingb"/>
        <w:rPr>
          <w:lang w:val="en-US"/>
        </w:rPr>
      </w:pPr>
      <w:r w:rsidRPr="00643A70">
        <w:rPr>
          <w:lang w:val="en-US"/>
        </w:rPr>
        <w:t>Introduction</w:t>
      </w:r>
    </w:p>
    <w:p w:rsidR="00707501" w:rsidRPr="00BC4D69" w:rsidRDefault="00707501" w:rsidP="00707501">
      <w:pPr>
        <w:rPr>
          <w:noProof/>
        </w:rPr>
      </w:pPr>
      <w:r w:rsidRPr="00BC4D69">
        <w:rPr>
          <w:noProof/>
        </w:rPr>
        <w:t>In order to comply with the RR Nos</w:t>
      </w:r>
      <w:r w:rsidRPr="00707501">
        <w:rPr>
          <w:noProof/>
        </w:rPr>
        <w:t>. 11.44B and 11.49</w:t>
      </w:r>
      <w:r w:rsidRPr="00BC4D69">
        <w:rPr>
          <w:noProof/>
        </w:rPr>
        <w:t>, the frequency assignment shall be brought (and brought back) into use no later than its regulatory time limit. For the Bureau and Administrations, the BIU and BBIU means deployment of a space station in GSO orbit at the notified orbital position for a continous period of ninety days.</w:t>
      </w:r>
    </w:p>
    <w:p w:rsidR="00707501" w:rsidRPr="00BC4D69" w:rsidRDefault="00707501" w:rsidP="00707501">
      <w:r w:rsidRPr="00BC4D69">
        <w:t xml:space="preserve">The case of launch failure before entering the BIU or BBIU period, where such failure renders the satellite technically incapable of transmitting or receiving in a given frequency band at the intended orbital position, is categorized as an extraordinary event as such a situation happens accidentally. If this event happened before </w:t>
      </w:r>
      <w:r w:rsidRPr="00BC4D69">
        <w:rPr>
          <w:noProof/>
        </w:rPr>
        <w:t>entering</w:t>
      </w:r>
      <w:r w:rsidRPr="00BC4D69">
        <w:t xml:space="preserve"> the BIU or BBIU period, the remaining time left before the end of the 7-year regulatory period or the end of the suspension period may not be sufficient to acquire an in-orbit satellite with the proper characteristics or build a new satellite to BIU or BBIU the frequency assignment.</w:t>
      </w:r>
    </w:p>
    <w:p w:rsidR="00707501" w:rsidRPr="00BC4D69" w:rsidRDefault="00707501" w:rsidP="00707501">
      <w:r w:rsidRPr="00BC4D69">
        <w:t>It should be noted that prior to WRC-03, there were provisions in the regulations for a potential 2</w:t>
      </w:r>
      <w:r w:rsidRPr="00BC4D69">
        <w:noBreakHyphen/>
        <w:t>year extension of the regulatory period of 5</w:t>
      </w:r>
      <w:r w:rsidRPr="00BC4D69">
        <w:rPr>
          <w:b/>
        </w:rPr>
        <w:t xml:space="preserve"> </w:t>
      </w:r>
      <w:r w:rsidRPr="00BC4D69">
        <w:t>years under certain circumstances including but not limited to launch failure. These provisions were suppressed by WRC-03 and replaced by a flat 7</w:t>
      </w:r>
      <w:r w:rsidRPr="00BC4D69">
        <w:noBreakHyphen/>
        <w:t>year regulatory period that was supposed to provide some margin for satellite failure.</w:t>
      </w:r>
    </w:p>
    <w:p w:rsidR="00707501" w:rsidRPr="00707501" w:rsidRDefault="00707501" w:rsidP="00707501">
      <w:r w:rsidRPr="00707501">
        <w:t xml:space="preserve">It should be considered that the Radio Regulations Board released a draft Report (Document RRB14-3/INFO/1(Rev.1) and Document RRB15-1/1) to WRC-15 on Resolution 80 </w:t>
      </w:r>
      <w:r w:rsidRPr="00707501">
        <w:lastRenderedPageBreak/>
        <w:t>(Rev.WRC</w:t>
      </w:r>
      <w:r w:rsidRPr="00707501">
        <w:noBreakHyphen/>
        <w:t>07), which is provided for the consideration and comments from administrations, including the situation of “force majeure”. It is reported that, periodically, the Board received requests from administrations to extend the regulatory deadline for bringing the frequency assignments associated with a satellite network into use because of force majeure. WRC-03 and WRC-12 addressed the issue of force majeure in the planned bands by adopting changes to Appendices 30, 30A, and 30B that define the circumstances which must exist, the action required by the administration, and the deadlines. WRC-15 may wish to consider adopting similar conditions for the non-planned bands.</w:t>
      </w:r>
    </w:p>
    <w:p w:rsidR="00707501" w:rsidRPr="00707501" w:rsidRDefault="00707501" w:rsidP="00E3153E">
      <w:pPr>
        <w:rPr>
          <w:noProof/>
        </w:rPr>
      </w:pPr>
      <w:r w:rsidRPr="00707501">
        <w:rPr>
          <w:noProof/>
        </w:rPr>
        <w:t>WRC-03 and WRC-12 introduced regulatory provisions to address launch failure under RR Appendices 30 and 30A, as well as under RR Appendix 30B, respectively. These regulatory provisions only cover a launch failure that such failure makes a space station unable to enter the stage of BIU of a planned band.The provisions adopted by WRC-03 and WRC-12 did not cover the situation of BBIU after a suspension.</w:t>
      </w:r>
    </w:p>
    <w:p w:rsidR="00707501" w:rsidRDefault="00707501" w:rsidP="00E3153E">
      <w:pPr>
        <w:rPr>
          <w:noProof/>
        </w:rPr>
      </w:pPr>
      <w:r w:rsidRPr="00707501">
        <w:rPr>
          <w:noProof/>
        </w:rPr>
        <w:t>Furthermore, RR does not currently contain specific regulations regarding any launch failure that makes a space station unable to BIU or BBIU non-planned frequency assigments.</w:t>
      </w:r>
    </w:p>
    <w:p w:rsidR="00AF056C" w:rsidRDefault="00AF056C" w:rsidP="00AF056C">
      <w:pPr>
        <w:pStyle w:val="Headingb"/>
        <w:rPr>
          <w:lang w:val="en-US"/>
        </w:rPr>
      </w:pPr>
      <w:r>
        <w:rPr>
          <w:lang w:val="en-US"/>
        </w:rPr>
        <w:t>Proposal</w:t>
      </w:r>
    </w:p>
    <w:p w:rsidR="00AF056C" w:rsidRPr="00AF056C" w:rsidRDefault="00AF056C" w:rsidP="00AF056C">
      <w:pPr>
        <w:rPr>
          <w:lang w:val="en-US"/>
        </w:rPr>
      </w:pPr>
    </w:p>
    <w:p w:rsidR="008C7269" w:rsidRDefault="00FD7FAD">
      <w:pPr>
        <w:pStyle w:val="Proposal"/>
      </w:pPr>
      <w:r>
        <w:rPr>
          <w:u w:val="single"/>
        </w:rPr>
        <w:t>NOC</w:t>
      </w:r>
      <w:r>
        <w:tab/>
        <w:t>IRN/61A21A11/1</w:t>
      </w:r>
    </w:p>
    <w:p w:rsidR="009B463A" w:rsidRPr="00667882" w:rsidRDefault="00FD7FAD" w:rsidP="00FB3369">
      <w:pPr>
        <w:pStyle w:val="ArtNo"/>
      </w:pPr>
      <w:bookmarkStart w:id="9" w:name="_Toc327956595"/>
      <w:r w:rsidRPr="00FB3369">
        <w:t>ARTICLE</w:t>
      </w:r>
      <w:r w:rsidRPr="00D41CE2">
        <w:t xml:space="preserve"> </w:t>
      </w:r>
      <w:r w:rsidRPr="00667882">
        <w:rPr>
          <w:rStyle w:val="href"/>
          <w:noProof/>
          <w:lang w:val="en-CA"/>
        </w:rPr>
        <w:t>11</w:t>
      </w:r>
      <w:bookmarkEnd w:id="9"/>
    </w:p>
    <w:p w:rsidR="009B463A" w:rsidRPr="00D41CE2" w:rsidRDefault="00FD7FAD" w:rsidP="009B463A">
      <w:pPr>
        <w:pStyle w:val="Arttitle"/>
        <w:rPr>
          <w:sz w:val="16"/>
          <w:szCs w:val="16"/>
        </w:rPr>
      </w:pPr>
      <w:bookmarkStart w:id="10"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10"/>
    </w:p>
    <w:p w:rsidR="00707501" w:rsidRPr="00707501" w:rsidRDefault="00FD7FAD" w:rsidP="00707501">
      <w:pPr>
        <w:pStyle w:val="Reasons"/>
      </w:pPr>
      <w:r w:rsidRPr="00707501">
        <w:rPr>
          <w:b/>
        </w:rPr>
        <w:t>Reasons:</w:t>
      </w:r>
      <w:r w:rsidRPr="00707501">
        <w:rPr>
          <w:b/>
        </w:rPr>
        <w:tab/>
      </w:r>
      <w:r w:rsidR="00707501" w:rsidRPr="00707501">
        <w:t>NOC to the RR as the current practices are sufficient to address this issue and studies to date have not addressed all potential issues.</w:t>
      </w:r>
    </w:p>
    <w:p w:rsidR="00707501" w:rsidRDefault="00707501" w:rsidP="00707501">
      <w:r>
        <w:t>However, This Administration may consider other solution(s), based on the deliberations of the matter/issue at the Conference, if justified and appropriate.</w:t>
      </w:r>
    </w:p>
    <w:p w:rsidR="00707501" w:rsidRDefault="00707501" w:rsidP="0032202E">
      <w:pPr>
        <w:pStyle w:val="Reasons"/>
      </w:pPr>
    </w:p>
    <w:p w:rsidR="00707501" w:rsidRDefault="00707501">
      <w:pPr>
        <w:jc w:val="center"/>
      </w:pPr>
      <w:r>
        <w:t>______________</w:t>
      </w:r>
    </w:p>
    <w:p w:rsidR="008C7269" w:rsidRDefault="008C7269" w:rsidP="00707501"/>
    <w:sectPr w:rsidR="008C7269">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E3153E">
      <w:rPr>
        <w:noProof/>
      </w:rPr>
      <w:t>18.10.15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3E" w:rsidRDefault="00E3153E" w:rsidP="00E3153E">
    <w:pPr>
      <w:pStyle w:val="Footer"/>
    </w:pPr>
    <w:r>
      <w:fldChar w:fldCharType="begin"/>
    </w:r>
    <w:r>
      <w:instrText xml:space="preserve"> FILENAME \p  \* MERGEFORMAT </w:instrText>
    </w:r>
    <w:r>
      <w:fldChar w:fldCharType="separate"/>
    </w:r>
    <w:r>
      <w:t>P:\ENG\ITU-R\CONF-R\CMR15\000\061ADD21ADD11E.docx</w:t>
    </w:r>
    <w:r>
      <w:fldChar w:fldCharType="end"/>
    </w:r>
    <w:r>
      <w:t>(388296)</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3E" w:rsidRDefault="00E3153E">
    <w:pPr>
      <w:pStyle w:val="Footer"/>
    </w:pPr>
    <w:fldSimple w:instr=" FILENAME \p  \* MERGEFORMAT ">
      <w:r>
        <w:t>P:\ENG\ITU-R\CONF-R\CMR15\000\061ADD21ADD11E.docx</w:t>
      </w:r>
    </w:fldSimple>
    <w:r>
      <w:t>(388296)</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3153E">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61(Add.21)(Add.11)</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86D"/>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07501"/>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8C7269"/>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F056C"/>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3153E"/>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D7FAD"/>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C4A0281-BB76-40F4-B3B8-AD1F0E28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R15-WRC15-C-0061!A21-A11!MSW-E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44B41-A802-4495-9512-586344647F34}">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 ds:uri="996b2e75-67fd-4955-a3b0-5ab9934cb50b"/>
    <ds:schemaRef ds:uri="http://schemas.openxmlformats.org/package/2006/metadata/core-properties"/>
    <ds:schemaRef ds:uri="32a1a8c5-2265-4ebc-b7a0-2071e2c5c9bb"/>
    <ds:schemaRef ds:uri="http://www.w3.org/XML/1998/namespace"/>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B24B1525-B421-41AB-9381-C16548EC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2</Pages>
  <Words>615</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R15-WRC15-C-0061!A21-A11!MSW-E</vt:lpstr>
    </vt:vector>
  </TitlesOfParts>
  <Manager>General Secretariat - Pool</Manager>
  <Company>International Telecommunication Union (ITU)</Company>
  <LinksUpToDate>false</LinksUpToDate>
  <CharactersWithSpaces>4091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R15-WRC15-C-0061!A21-A11!MSW-E</dc:title>
  <dc:subject>World Radiocommunication Conference - 2015</dc:subject>
  <dc:creator>Documents Proposals Manager (DPM)</dc:creator>
  <cp:keywords>DPM_v5.2015.10.15_prod</cp:keywords>
  <dc:description>Uploaded on 2015.07.06</dc:description>
  <cp:lastModifiedBy>Hourican, Maria</cp:lastModifiedBy>
  <cp:revision>3</cp:revision>
  <cp:lastPrinted>2014-02-10T09:49:00Z</cp:lastPrinted>
  <dcterms:created xsi:type="dcterms:W3CDTF">2015-10-18T14:25:00Z</dcterms:created>
  <dcterms:modified xsi:type="dcterms:W3CDTF">2015-10-18T14:30:00Z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