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CB1212">
        <w:trPr>
          <w:cantSplit/>
        </w:trPr>
        <w:tc>
          <w:tcPr>
            <w:tcW w:w="6663"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167E131D" wp14:editId="7DAFFE6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CB1212">
        <w:trPr>
          <w:cantSplit/>
        </w:trPr>
        <w:tc>
          <w:tcPr>
            <w:tcW w:w="6663"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CB1212">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CB1212">
        <w:trPr>
          <w:cantSplit/>
          <w:trHeight w:val="23"/>
        </w:trPr>
        <w:tc>
          <w:tcPr>
            <w:tcW w:w="6663"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shd w:val="clear" w:color="auto" w:fill="auto"/>
          </w:tcPr>
          <w:p w:rsidR="00622560" w:rsidRPr="00622560" w:rsidRDefault="000273B7" w:rsidP="00A466E6">
            <w:pPr>
              <w:spacing w:before="0"/>
              <w:rPr>
                <w:rFonts w:ascii="Verdana" w:hAnsi="Verdana"/>
                <w:sz w:val="20"/>
              </w:rPr>
            </w:pPr>
            <w:r>
              <w:rPr>
                <w:rFonts w:ascii="Verdana" w:hAnsi="Verdana" w:cs="Traditional Arabic"/>
                <w:b/>
                <w:sz w:val="20"/>
              </w:rPr>
              <w:t>文件</w:t>
            </w:r>
            <w:r w:rsidR="00CB1212">
              <w:rPr>
                <w:rFonts w:ascii="Verdana" w:hAnsi="Verdana" w:cs="Traditional Arabic"/>
                <w:b/>
                <w:sz w:val="20"/>
              </w:rPr>
              <w:t xml:space="preserve"> 61(Add.21)(Add.1</w:t>
            </w:r>
            <w:r>
              <w:rPr>
                <w:rFonts w:ascii="Verdana" w:hAnsi="Verdana" w:cs="Traditional Arabic"/>
                <w:b/>
                <w:sz w:val="20"/>
              </w:rPr>
              <w:t>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CB1212">
        <w:trPr>
          <w:cantSplit/>
          <w:trHeight w:val="23"/>
        </w:trPr>
        <w:tc>
          <w:tcPr>
            <w:tcW w:w="6663" w:type="dxa"/>
            <w:shd w:val="clear" w:color="auto" w:fill="auto"/>
          </w:tcPr>
          <w:p w:rsidR="008221A4" w:rsidRPr="00C324A8" w:rsidRDefault="008221A4" w:rsidP="00A466E6">
            <w:pPr>
              <w:spacing w:before="0"/>
              <w:rPr>
                <w:rFonts w:ascii="Verdana" w:hAnsi="Verdana"/>
                <w:b/>
                <w:smallCaps/>
                <w:sz w:val="20"/>
              </w:rPr>
            </w:pPr>
          </w:p>
        </w:tc>
        <w:tc>
          <w:tcPr>
            <w:tcW w:w="3368"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CB1212">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0F2D96" w:rsidP="000F2D96">
            <w:pPr>
              <w:pStyle w:val="Title1"/>
            </w:pPr>
            <w:bookmarkStart w:id="5" w:name="dtitle1" w:colFirst="0" w:colLast="0"/>
            <w:bookmarkEnd w:id="4"/>
            <w:r>
              <w:rPr>
                <w:rFonts w:hint="eastAsia"/>
                <w:lang w:eastAsia="zh-CN"/>
              </w:rPr>
              <w:t>有</w:t>
            </w:r>
            <w:r>
              <w:rPr>
                <w:lang w:eastAsia="zh-CN"/>
              </w:rPr>
              <w:t>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7(K)</w:t>
            </w:r>
          </w:p>
        </w:tc>
      </w:tr>
    </w:tbl>
    <w:bookmarkEnd w:id="7"/>
    <w:p w:rsidR="008B60D0" w:rsidRPr="007806A0" w:rsidRDefault="00705348" w:rsidP="001D47B2">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705348" w:rsidP="00633A24">
      <w:pPr>
        <w:rPr>
          <w:lang w:eastAsia="zh-CN"/>
        </w:rPr>
      </w:pPr>
      <w:r>
        <w:rPr>
          <w:rFonts w:hint="eastAsia"/>
          <w:lang w:eastAsia="zh-CN"/>
        </w:rPr>
        <w:t>7(</w:t>
      </w:r>
      <w:r>
        <w:rPr>
          <w:lang w:eastAsia="zh-CN"/>
        </w:rPr>
        <w:t>K</w:t>
      </w:r>
      <w:r>
        <w:rPr>
          <w:rFonts w:hint="eastAsia"/>
          <w:lang w:eastAsia="zh-CN"/>
        </w:rPr>
        <w:t>)</w:t>
      </w:r>
      <w:r>
        <w:rPr>
          <w:rFonts w:hint="eastAsia"/>
          <w:lang w:eastAsia="zh-CN"/>
        </w:rPr>
        <w:tab/>
      </w:r>
      <w:r w:rsidRPr="0078326D">
        <w:rPr>
          <w:rFonts w:hint="eastAsia"/>
          <w:lang w:eastAsia="zh-CN"/>
        </w:rPr>
        <w:t>问题</w:t>
      </w:r>
      <w:r w:rsidRPr="0078326D">
        <w:rPr>
          <w:lang w:eastAsia="zh-CN"/>
        </w:rPr>
        <w:t xml:space="preserve">K – </w:t>
      </w:r>
      <w:r w:rsidRPr="0078326D">
        <w:rPr>
          <w:rFonts w:hint="eastAsia"/>
          <w:lang w:eastAsia="zh-CN"/>
        </w:rPr>
        <w:t>在《无线电规则》第</w:t>
      </w:r>
      <w:r w:rsidRPr="008B60D0">
        <w:rPr>
          <w:b/>
          <w:bCs/>
          <w:lang w:eastAsia="zh-CN"/>
        </w:rPr>
        <w:t>11</w:t>
      </w:r>
      <w:r w:rsidRPr="0078326D">
        <w:rPr>
          <w:rFonts w:hint="eastAsia"/>
          <w:lang w:eastAsia="zh-CN"/>
        </w:rPr>
        <w:t>条增加一项有关发射失败情况的规则条款</w:t>
      </w:r>
    </w:p>
    <w:p w:rsidR="00622560" w:rsidRDefault="00622560" w:rsidP="0083672D">
      <w:pPr>
        <w:rPr>
          <w:lang w:eastAsia="zh-CN"/>
        </w:rPr>
      </w:pPr>
    </w:p>
    <w:p w:rsidR="00B76F40" w:rsidRDefault="00B76F40" w:rsidP="00B76F40">
      <w:pPr>
        <w:pStyle w:val="Headingb"/>
        <w:rPr>
          <w:lang w:eastAsia="zh-CN"/>
        </w:rPr>
      </w:pPr>
      <w:r>
        <w:rPr>
          <w:rFonts w:hint="eastAsia"/>
          <w:lang w:eastAsia="zh-CN"/>
        </w:rPr>
        <w:t>引言</w:t>
      </w:r>
    </w:p>
    <w:p w:rsidR="00BF49F2" w:rsidRPr="00BF49F2" w:rsidRDefault="00BF49F2" w:rsidP="00BF49F2">
      <w:pPr>
        <w:ind w:firstLineChars="200" w:firstLine="480"/>
        <w:rPr>
          <w:noProof/>
          <w:lang w:eastAsia="zh-CN"/>
        </w:rPr>
      </w:pPr>
      <w:r w:rsidRPr="00BF49F2">
        <w:rPr>
          <w:rFonts w:hint="eastAsia"/>
          <w:lang w:eastAsia="zh-CN"/>
        </w:rPr>
        <w:t>要符合《无线电规则》第</w:t>
      </w:r>
      <w:r w:rsidRPr="00BF49F2">
        <w:rPr>
          <w:lang w:eastAsia="zh-CN"/>
        </w:rPr>
        <w:t>11.44B</w:t>
      </w:r>
      <w:r w:rsidRPr="00BF49F2">
        <w:rPr>
          <w:rFonts w:hint="eastAsia"/>
          <w:lang w:eastAsia="zh-CN"/>
        </w:rPr>
        <w:t>和</w:t>
      </w:r>
      <w:r w:rsidRPr="00BF49F2">
        <w:rPr>
          <w:lang w:eastAsia="zh-CN"/>
        </w:rPr>
        <w:t>11.49</w:t>
      </w:r>
      <w:r w:rsidRPr="00BF49F2">
        <w:rPr>
          <w:rFonts w:hint="eastAsia"/>
          <w:lang w:eastAsia="zh-CN"/>
        </w:rPr>
        <w:t>款的规定，频率指配的启用（和重新启用）不得</w:t>
      </w:r>
      <w:r w:rsidRPr="00BF49F2">
        <w:rPr>
          <w:lang w:eastAsia="zh-CN"/>
        </w:rPr>
        <w:t>迟于其规则时限</w:t>
      </w:r>
      <w:r w:rsidRPr="00BF49F2">
        <w:rPr>
          <w:rFonts w:hint="eastAsia"/>
          <w:lang w:eastAsia="zh-CN"/>
        </w:rPr>
        <w:t>。对无线电通信局和各主管部门而言，</w:t>
      </w:r>
      <w:r w:rsidRPr="00BF49F2">
        <w:rPr>
          <w:lang w:eastAsia="zh-CN"/>
        </w:rPr>
        <w:t>BIU</w:t>
      </w:r>
      <w:r w:rsidRPr="00BF49F2">
        <w:rPr>
          <w:rFonts w:hint="eastAsia"/>
          <w:lang w:eastAsia="zh-CN"/>
        </w:rPr>
        <w:t>和</w:t>
      </w:r>
      <w:r w:rsidRPr="00BF49F2">
        <w:rPr>
          <w:lang w:eastAsia="zh-CN"/>
        </w:rPr>
        <w:t>BBIU</w:t>
      </w:r>
      <w:r w:rsidRPr="00BF49F2">
        <w:rPr>
          <w:rFonts w:hint="eastAsia"/>
          <w:lang w:eastAsia="zh-CN"/>
        </w:rPr>
        <w:t>指</w:t>
      </w:r>
      <w:r w:rsidRPr="00BF49F2">
        <w:rPr>
          <w:lang w:eastAsia="zh-CN"/>
        </w:rPr>
        <w:t>GSO</w:t>
      </w:r>
      <w:r w:rsidRPr="00BF49F2">
        <w:rPr>
          <w:rFonts w:hint="eastAsia"/>
          <w:lang w:eastAsia="zh-CN"/>
        </w:rPr>
        <w:t>轨道中空间电台部署在所通知的轨道位置并连续保持九十天。</w:t>
      </w:r>
    </w:p>
    <w:p w:rsidR="00BF49F2" w:rsidRPr="00BF49F2" w:rsidRDefault="00BF49F2" w:rsidP="00BF49F2">
      <w:pPr>
        <w:ind w:firstLineChars="200" w:firstLine="480"/>
        <w:rPr>
          <w:lang w:eastAsia="zh-CN"/>
        </w:rPr>
      </w:pPr>
      <w:r w:rsidRPr="00BF49F2">
        <w:rPr>
          <w:rFonts w:hint="eastAsia"/>
          <w:lang w:eastAsia="zh-CN"/>
        </w:rPr>
        <w:t>如在进入</w:t>
      </w:r>
      <w:r w:rsidRPr="00BF49F2">
        <w:rPr>
          <w:lang w:val="en-US" w:eastAsia="zh-CN"/>
        </w:rPr>
        <w:t>BIU</w:t>
      </w:r>
      <w:r w:rsidRPr="00BF49F2">
        <w:rPr>
          <w:rFonts w:hint="eastAsia"/>
          <w:lang w:val="en-US" w:eastAsia="zh-CN"/>
        </w:rPr>
        <w:t>或</w:t>
      </w:r>
      <w:r w:rsidRPr="00BF49F2">
        <w:rPr>
          <w:rFonts w:hint="eastAsia"/>
          <w:lang w:eastAsia="zh-CN"/>
        </w:rPr>
        <w:t>B</w:t>
      </w:r>
      <w:r w:rsidRPr="00BF49F2">
        <w:rPr>
          <w:lang w:eastAsia="zh-CN"/>
        </w:rPr>
        <w:t>BIU</w:t>
      </w:r>
      <w:r w:rsidRPr="00BF49F2">
        <w:rPr>
          <w:rFonts w:hint="eastAsia"/>
          <w:lang w:eastAsia="zh-CN"/>
        </w:rPr>
        <w:t>阶段之前出现发射失败，致使卫星在技术上无法在给定频段计划</w:t>
      </w:r>
      <w:r w:rsidRPr="00BF49F2">
        <w:rPr>
          <w:lang w:eastAsia="zh-CN"/>
        </w:rPr>
        <w:t>轨道位置</w:t>
      </w:r>
      <w:r w:rsidRPr="00BF49F2">
        <w:rPr>
          <w:rFonts w:hint="eastAsia"/>
          <w:lang w:eastAsia="zh-CN"/>
        </w:rPr>
        <w:t>上进行发射或接收操作，这种情况属于偶然事件，</w:t>
      </w:r>
      <w:r w:rsidRPr="00BF49F2">
        <w:rPr>
          <w:lang w:eastAsia="zh-CN"/>
        </w:rPr>
        <w:t>归为特殊情况</w:t>
      </w:r>
      <w:r w:rsidRPr="00BF49F2">
        <w:rPr>
          <w:rFonts w:hint="eastAsia"/>
          <w:lang w:eastAsia="zh-CN"/>
        </w:rPr>
        <w:t>。如这一情况在进入</w:t>
      </w:r>
      <w:r w:rsidRPr="00BF49F2">
        <w:rPr>
          <w:rFonts w:hint="eastAsia"/>
          <w:lang w:eastAsia="zh-CN"/>
        </w:rPr>
        <w:t>BIU</w:t>
      </w:r>
      <w:r w:rsidRPr="00BF49F2">
        <w:rPr>
          <w:rFonts w:hint="eastAsia"/>
          <w:lang w:eastAsia="zh-CN"/>
        </w:rPr>
        <w:t>或</w:t>
      </w:r>
      <w:r w:rsidRPr="00BF49F2">
        <w:rPr>
          <w:rFonts w:hint="eastAsia"/>
          <w:lang w:eastAsia="zh-CN"/>
        </w:rPr>
        <w:t>BBIU</w:t>
      </w:r>
      <w:r w:rsidRPr="00BF49F2">
        <w:rPr>
          <w:rFonts w:hint="eastAsia"/>
          <w:lang w:eastAsia="zh-CN"/>
        </w:rPr>
        <w:t>阶段之前发生，</w:t>
      </w:r>
      <w:r w:rsidRPr="00BF49F2">
        <w:rPr>
          <w:rFonts w:hint="eastAsia"/>
          <w:lang w:eastAsia="zh-CN"/>
        </w:rPr>
        <w:t>7</w:t>
      </w:r>
      <w:r w:rsidRPr="00BF49F2">
        <w:rPr>
          <w:rFonts w:hint="eastAsia"/>
          <w:lang w:eastAsia="zh-CN"/>
        </w:rPr>
        <w:t>年规则时限结束或</w:t>
      </w:r>
      <w:r w:rsidRPr="00BF49F2">
        <w:rPr>
          <w:lang w:eastAsia="zh-CN"/>
        </w:rPr>
        <w:t>暂停期结束</w:t>
      </w:r>
      <w:r w:rsidRPr="00BF49F2">
        <w:rPr>
          <w:rFonts w:hint="eastAsia"/>
          <w:lang w:eastAsia="zh-CN"/>
        </w:rPr>
        <w:t>前的剩余时间不足以为</w:t>
      </w:r>
      <w:r w:rsidRPr="00BF49F2">
        <w:rPr>
          <w:rFonts w:hint="eastAsia"/>
          <w:lang w:eastAsia="zh-CN"/>
        </w:rPr>
        <w:t>B</w:t>
      </w:r>
      <w:r w:rsidRPr="00BF49F2">
        <w:rPr>
          <w:lang w:eastAsia="zh-CN"/>
        </w:rPr>
        <w:t>IU</w:t>
      </w:r>
      <w:r w:rsidRPr="00BF49F2">
        <w:rPr>
          <w:rFonts w:hint="eastAsia"/>
          <w:lang w:eastAsia="zh-CN"/>
        </w:rPr>
        <w:t>或</w:t>
      </w:r>
      <w:r w:rsidRPr="00BF49F2">
        <w:rPr>
          <w:rFonts w:hint="eastAsia"/>
          <w:lang w:eastAsia="zh-CN"/>
        </w:rPr>
        <w:t>B</w:t>
      </w:r>
      <w:r w:rsidRPr="00BF49F2">
        <w:rPr>
          <w:lang w:eastAsia="zh-CN"/>
        </w:rPr>
        <w:t>BIU</w:t>
      </w:r>
      <w:r w:rsidRPr="00BF49F2">
        <w:rPr>
          <w:rFonts w:hint="eastAsia"/>
          <w:lang w:eastAsia="zh-CN"/>
        </w:rPr>
        <w:t>有关</w:t>
      </w:r>
      <w:r w:rsidRPr="00BF49F2">
        <w:rPr>
          <w:lang w:eastAsia="zh-CN"/>
        </w:rPr>
        <w:t>频率指配</w:t>
      </w:r>
      <w:r w:rsidRPr="00BF49F2">
        <w:rPr>
          <w:rFonts w:hint="eastAsia"/>
          <w:lang w:eastAsia="zh-CN"/>
        </w:rPr>
        <w:t>获取一颗具有</w:t>
      </w:r>
      <w:r w:rsidRPr="00BF49F2">
        <w:rPr>
          <w:lang w:eastAsia="zh-CN"/>
        </w:rPr>
        <w:t>适当特性的</w:t>
      </w:r>
      <w:r w:rsidRPr="00BF49F2">
        <w:rPr>
          <w:rFonts w:hint="eastAsia"/>
          <w:lang w:eastAsia="zh-CN"/>
        </w:rPr>
        <w:t>在轨卫星或</w:t>
      </w:r>
      <w:r w:rsidRPr="00BF49F2">
        <w:rPr>
          <w:lang w:eastAsia="zh-CN"/>
        </w:rPr>
        <w:t>重新制造一颗新的卫星</w:t>
      </w:r>
      <w:r w:rsidRPr="00BF49F2">
        <w:rPr>
          <w:rFonts w:hint="eastAsia"/>
          <w:lang w:eastAsia="zh-CN"/>
        </w:rPr>
        <w:t>。</w:t>
      </w:r>
    </w:p>
    <w:p w:rsidR="00BF49F2" w:rsidRPr="00BF49F2" w:rsidRDefault="00BF49F2" w:rsidP="00BF49F2">
      <w:pPr>
        <w:ind w:firstLineChars="200" w:firstLine="480"/>
        <w:rPr>
          <w:lang w:eastAsia="zh-CN"/>
        </w:rPr>
      </w:pPr>
      <w:r w:rsidRPr="00BF49F2">
        <w:rPr>
          <w:rFonts w:hint="eastAsia"/>
          <w:lang w:eastAsia="zh-CN"/>
        </w:rPr>
        <w:t>应注意到，在</w:t>
      </w:r>
      <w:r w:rsidRPr="00BF49F2">
        <w:rPr>
          <w:rFonts w:hint="eastAsia"/>
          <w:lang w:eastAsia="zh-CN"/>
        </w:rPr>
        <w:t>WRC-03</w:t>
      </w:r>
      <w:r w:rsidRPr="00BF49F2">
        <w:rPr>
          <w:rFonts w:hint="eastAsia"/>
          <w:lang w:eastAsia="zh-CN"/>
        </w:rPr>
        <w:t>之前，规则曾规定，在某些情况下</w:t>
      </w:r>
      <w:r w:rsidRPr="00BF49F2">
        <w:rPr>
          <w:rFonts w:hint="eastAsia"/>
          <w:spacing w:val="-8"/>
          <w:lang w:eastAsia="zh-CN"/>
        </w:rPr>
        <w:t>（包括但不仅限于发射失败），</w:t>
      </w:r>
      <w:r w:rsidRPr="00BF49F2">
        <w:rPr>
          <w:rFonts w:hint="eastAsia"/>
          <w:lang w:eastAsia="zh-CN"/>
        </w:rPr>
        <w:t>有可能将</w:t>
      </w:r>
      <w:r w:rsidRPr="00BF49F2">
        <w:rPr>
          <w:rFonts w:hint="eastAsia"/>
          <w:lang w:eastAsia="zh-CN"/>
        </w:rPr>
        <w:t>5</w:t>
      </w:r>
      <w:r w:rsidRPr="00BF49F2">
        <w:rPr>
          <w:rFonts w:hint="eastAsia"/>
          <w:lang w:eastAsia="zh-CN"/>
        </w:rPr>
        <w:t>年的规则期限延长</w:t>
      </w:r>
      <w:r w:rsidRPr="00BF49F2">
        <w:rPr>
          <w:rFonts w:hint="eastAsia"/>
          <w:lang w:eastAsia="zh-CN"/>
        </w:rPr>
        <w:t>2</w:t>
      </w:r>
      <w:r w:rsidRPr="00BF49F2">
        <w:rPr>
          <w:rFonts w:hint="eastAsia"/>
          <w:lang w:eastAsia="zh-CN"/>
        </w:rPr>
        <w:t>年。</w:t>
      </w:r>
      <w:r w:rsidRPr="00BF49F2">
        <w:rPr>
          <w:rFonts w:hint="eastAsia"/>
          <w:lang w:eastAsia="zh-CN"/>
        </w:rPr>
        <w:t>WRC-03</w:t>
      </w:r>
      <w:r w:rsidRPr="00BF49F2">
        <w:rPr>
          <w:rFonts w:hint="eastAsia"/>
          <w:lang w:eastAsia="zh-CN"/>
        </w:rPr>
        <w:t>废除了这些规定并用假设为卫星失败提供了一些余量的</w:t>
      </w:r>
      <w:r w:rsidRPr="00BF49F2">
        <w:rPr>
          <w:rFonts w:hint="eastAsia"/>
          <w:lang w:eastAsia="zh-CN"/>
        </w:rPr>
        <w:t>7</w:t>
      </w:r>
      <w:r w:rsidRPr="00BF49F2">
        <w:rPr>
          <w:rFonts w:hint="eastAsia"/>
          <w:lang w:eastAsia="zh-CN"/>
        </w:rPr>
        <w:t>年规则期限取而代之。</w:t>
      </w:r>
    </w:p>
    <w:p w:rsidR="00B76F40" w:rsidRDefault="00BF49F2" w:rsidP="00705348">
      <w:pPr>
        <w:ind w:firstLineChars="200" w:firstLine="480"/>
        <w:rPr>
          <w:lang w:eastAsia="zh-CN"/>
        </w:rPr>
      </w:pPr>
      <w:r w:rsidRPr="00BF49F2">
        <w:rPr>
          <w:rFonts w:hint="eastAsia"/>
          <w:lang w:eastAsia="zh-CN"/>
        </w:rPr>
        <w:t>应考虑到，无线电规则委员会就第</w:t>
      </w:r>
      <w:r w:rsidRPr="00BF49F2">
        <w:rPr>
          <w:rFonts w:hint="eastAsia"/>
          <w:lang w:eastAsia="zh-CN"/>
        </w:rPr>
        <w:t>80</w:t>
      </w:r>
      <w:r w:rsidRPr="00BF49F2">
        <w:rPr>
          <w:rFonts w:hint="eastAsia"/>
          <w:lang w:eastAsia="zh-CN"/>
        </w:rPr>
        <w:t>号决议（</w:t>
      </w:r>
      <w:r w:rsidRPr="00BF49F2">
        <w:rPr>
          <w:rFonts w:hint="eastAsia"/>
          <w:lang w:eastAsia="zh-CN"/>
        </w:rPr>
        <w:t>WRC-07</w:t>
      </w:r>
      <w:r w:rsidRPr="00BF49F2">
        <w:rPr>
          <w:rFonts w:hint="eastAsia"/>
          <w:lang w:eastAsia="zh-CN"/>
        </w:rPr>
        <w:t>，修订版）向</w:t>
      </w:r>
      <w:r w:rsidRPr="00BF49F2">
        <w:rPr>
          <w:rFonts w:hint="eastAsia"/>
          <w:lang w:eastAsia="zh-CN"/>
        </w:rPr>
        <w:t>WRC-15</w:t>
      </w:r>
      <w:r w:rsidRPr="00BF49F2">
        <w:rPr>
          <w:rFonts w:hint="eastAsia"/>
          <w:lang w:eastAsia="zh-CN"/>
        </w:rPr>
        <w:t>提交了一份报告草案（</w:t>
      </w:r>
      <w:r w:rsidRPr="00BF49F2">
        <w:rPr>
          <w:rFonts w:hint="eastAsia"/>
          <w:lang w:eastAsia="zh-CN"/>
        </w:rPr>
        <w:t>RRB14-3/INFO/1(Rev.1)</w:t>
      </w:r>
      <w:r w:rsidRPr="00BF49F2">
        <w:rPr>
          <w:rFonts w:hint="eastAsia"/>
          <w:lang w:eastAsia="zh-CN"/>
        </w:rPr>
        <w:t>号文件和</w:t>
      </w:r>
      <w:r w:rsidRPr="00BF49F2">
        <w:rPr>
          <w:rFonts w:hint="eastAsia"/>
          <w:lang w:eastAsia="zh-CN"/>
        </w:rPr>
        <w:t>RRB15-1/1</w:t>
      </w:r>
      <w:r w:rsidRPr="00BF49F2">
        <w:rPr>
          <w:rFonts w:hint="eastAsia"/>
          <w:lang w:eastAsia="zh-CN"/>
        </w:rPr>
        <w:t>号文件），请主管部门对包括“不可抗力”在内的情况予以审议并发表意见。根据报告，委员会定期收到主管部门因不可抗力而要延长与启用卫星网络相关频率指配规则截止日期相关的请求。</w:t>
      </w:r>
      <w:r w:rsidRPr="00BF49F2">
        <w:rPr>
          <w:rFonts w:hint="eastAsia"/>
          <w:lang w:eastAsia="zh-CN"/>
        </w:rPr>
        <w:t>WRC-03</w:t>
      </w:r>
      <w:r w:rsidRPr="00BF49F2">
        <w:rPr>
          <w:rFonts w:hint="eastAsia"/>
          <w:lang w:eastAsia="zh-CN"/>
        </w:rPr>
        <w:t>和</w:t>
      </w:r>
      <w:r w:rsidRPr="00BF49F2">
        <w:rPr>
          <w:rFonts w:hint="eastAsia"/>
          <w:lang w:eastAsia="zh-CN"/>
        </w:rPr>
        <w:t>WRC-12</w:t>
      </w:r>
      <w:r w:rsidRPr="00BF49F2">
        <w:rPr>
          <w:rFonts w:hint="eastAsia"/>
          <w:lang w:eastAsia="zh-CN"/>
        </w:rPr>
        <w:t>通过修改定义必须存在的条件、主管部门要求的行动以及截至日期的附录</w:t>
      </w:r>
      <w:r w:rsidRPr="00BF49F2">
        <w:rPr>
          <w:rFonts w:hint="eastAsia"/>
          <w:lang w:eastAsia="zh-CN"/>
        </w:rPr>
        <w:t>30</w:t>
      </w:r>
      <w:r w:rsidRPr="00BF49F2">
        <w:rPr>
          <w:rFonts w:hint="eastAsia"/>
          <w:lang w:eastAsia="zh-CN"/>
        </w:rPr>
        <w:t>、</w:t>
      </w:r>
      <w:r w:rsidRPr="00BF49F2">
        <w:rPr>
          <w:rFonts w:hint="eastAsia"/>
          <w:lang w:eastAsia="zh-CN"/>
        </w:rPr>
        <w:t>30A</w:t>
      </w:r>
      <w:r w:rsidRPr="00BF49F2">
        <w:rPr>
          <w:rFonts w:hint="eastAsia"/>
          <w:lang w:eastAsia="zh-CN"/>
        </w:rPr>
        <w:t>和</w:t>
      </w:r>
      <w:r w:rsidRPr="00BF49F2">
        <w:rPr>
          <w:rFonts w:hint="eastAsia"/>
          <w:lang w:eastAsia="zh-CN"/>
        </w:rPr>
        <w:t>30B</w:t>
      </w:r>
      <w:r w:rsidRPr="00BF49F2">
        <w:rPr>
          <w:rFonts w:hint="eastAsia"/>
          <w:lang w:eastAsia="zh-CN"/>
        </w:rPr>
        <w:t>，解决了规划频段内的不可抗力问题。</w:t>
      </w:r>
      <w:r w:rsidRPr="00BF49F2">
        <w:rPr>
          <w:rFonts w:hint="eastAsia"/>
          <w:lang w:eastAsia="zh-CN"/>
        </w:rPr>
        <w:t>WRC-15</w:t>
      </w:r>
      <w:r w:rsidRPr="00BF49F2">
        <w:rPr>
          <w:rFonts w:hint="eastAsia"/>
          <w:lang w:eastAsia="zh-CN"/>
        </w:rPr>
        <w:t>可能希望考虑对非规划频段采用类似的条件。</w:t>
      </w:r>
    </w:p>
    <w:p w:rsidR="007F1FD9" w:rsidRPr="00A06344" w:rsidRDefault="007F1FD9" w:rsidP="007F1FD9">
      <w:pPr>
        <w:ind w:firstLineChars="200" w:firstLine="480"/>
        <w:rPr>
          <w:lang w:eastAsia="zh-CN"/>
        </w:rPr>
      </w:pPr>
      <w:r w:rsidRPr="00A06344">
        <w:rPr>
          <w:lang w:eastAsia="zh-CN"/>
        </w:rPr>
        <w:lastRenderedPageBreak/>
        <w:t>WRC-03</w:t>
      </w:r>
      <w:r w:rsidRPr="00A06344">
        <w:rPr>
          <w:rFonts w:hint="eastAsia"/>
          <w:lang w:eastAsia="zh-CN"/>
        </w:rPr>
        <w:t>和</w:t>
      </w:r>
      <w:r w:rsidRPr="00A06344">
        <w:rPr>
          <w:lang w:eastAsia="zh-CN"/>
        </w:rPr>
        <w:t>WRC-12</w:t>
      </w:r>
      <w:r w:rsidRPr="00A06344">
        <w:rPr>
          <w:rFonts w:hint="eastAsia"/>
          <w:lang w:eastAsia="zh-CN"/>
        </w:rPr>
        <w:t>分别在《无线电规则》附录</w:t>
      </w:r>
      <w:r w:rsidRPr="00A06344">
        <w:rPr>
          <w:lang w:eastAsia="zh-CN"/>
        </w:rPr>
        <w:t>30</w:t>
      </w:r>
      <w:r w:rsidRPr="00A06344">
        <w:rPr>
          <w:rFonts w:hint="eastAsia"/>
          <w:lang w:eastAsia="zh-CN"/>
        </w:rPr>
        <w:t>和</w:t>
      </w:r>
      <w:r w:rsidRPr="00A06344">
        <w:rPr>
          <w:lang w:eastAsia="zh-CN"/>
        </w:rPr>
        <w:t>30A</w:t>
      </w:r>
      <w:r w:rsidRPr="00A06344">
        <w:rPr>
          <w:rFonts w:hint="eastAsia"/>
          <w:lang w:eastAsia="zh-CN"/>
        </w:rPr>
        <w:t>以及《无线电规则》附录</w:t>
      </w:r>
      <w:r w:rsidRPr="00A06344">
        <w:rPr>
          <w:lang w:eastAsia="zh-CN"/>
        </w:rPr>
        <w:t>30B</w:t>
      </w:r>
      <w:r w:rsidRPr="00A06344">
        <w:rPr>
          <w:rFonts w:hint="eastAsia"/>
          <w:lang w:eastAsia="zh-CN"/>
        </w:rPr>
        <w:t>中引入了解决发射失败问题的规则条款。这项规则条款仅涉及导致空间电台无法进入规划频段</w:t>
      </w:r>
      <w:r w:rsidRPr="00A06344">
        <w:rPr>
          <w:lang w:eastAsia="zh-CN"/>
        </w:rPr>
        <w:t>BIU</w:t>
      </w:r>
      <w:r w:rsidRPr="00A06344">
        <w:rPr>
          <w:rFonts w:hint="eastAsia"/>
          <w:lang w:eastAsia="zh-CN"/>
        </w:rPr>
        <w:t>阶段的问题。</w:t>
      </w:r>
      <w:r w:rsidRPr="00A06344">
        <w:rPr>
          <w:lang w:eastAsia="zh-CN"/>
        </w:rPr>
        <w:t>WRC-03</w:t>
      </w:r>
      <w:r w:rsidRPr="00A06344">
        <w:rPr>
          <w:rFonts w:hint="eastAsia"/>
          <w:lang w:eastAsia="zh-CN"/>
        </w:rPr>
        <w:t>和</w:t>
      </w:r>
      <w:r w:rsidRPr="00A06344">
        <w:rPr>
          <w:rFonts w:hint="eastAsia"/>
          <w:lang w:eastAsia="zh-CN"/>
        </w:rPr>
        <w:t>W</w:t>
      </w:r>
      <w:r w:rsidRPr="00A06344">
        <w:rPr>
          <w:lang w:eastAsia="zh-CN"/>
        </w:rPr>
        <w:t>RC-12</w:t>
      </w:r>
      <w:r w:rsidRPr="00A06344">
        <w:rPr>
          <w:rFonts w:hint="eastAsia"/>
          <w:lang w:eastAsia="zh-CN"/>
        </w:rPr>
        <w:t>通过</w:t>
      </w:r>
      <w:r w:rsidRPr="00A06344">
        <w:rPr>
          <w:lang w:eastAsia="zh-CN"/>
        </w:rPr>
        <w:t>的条款</w:t>
      </w:r>
      <w:r w:rsidRPr="00A06344">
        <w:rPr>
          <w:rFonts w:hint="eastAsia"/>
          <w:lang w:eastAsia="zh-CN"/>
        </w:rPr>
        <w:t>未涉及暂停</w:t>
      </w:r>
      <w:r w:rsidRPr="00A06344">
        <w:rPr>
          <w:lang w:eastAsia="zh-CN"/>
        </w:rPr>
        <w:t>后</w:t>
      </w:r>
      <w:r w:rsidRPr="00A06344">
        <w:rPr>
          <w:rFonts w:hint="eastAsia"/>
          <w:lang w:eastAsia="zh-CN"/>
        </w:rPr>
        <w:t>B</w:t>
      </w:r>
      <w:r w:rsidRPr="00A06344">
        <w:rPr>
          <w:lang w:eastAsia="zh-CN"/>
        </w:rPr>
        <w:t>BIU</w:t>
      </w:r>
      <w:r w:rsidRPr="00A06344">
        <w:rPr>
          <w:rFonts w:hint="eastAsia"/>
          <w:lang w:eastAsia="zh-CN"/>
        </w:rPr>
        <w:t>的情况</w:t>
      </w:r>
      <w:r w:rsidRPr="00A06344">
        <w:rPr>
          <w:lang w:eastAsia="zh-CN"/>
        </w:rPr>
        <w:t>。</w:t>
      </w:r>
    </w:p>
    <w:p w:rsidR="007F1FD9" w:rsidRDefault="007F1FD9" w:rsidP="007F1FD9">
      <w:pPr>
        <w:ind w:firstLineChars="200" w:firstLine="480"/>
        <w:rPr>
          <w:lang w:eastAsia="zh-CN"/>
        </w:rPr>
      </w:pPr>
      <w:r w:rsidRPr="00F63174">
        <w:rPr>
          <w:rFonts w:hint="eastAsia"/>
          <w:lang w:eastAsia="zh-CN"/>
        </w:rPr>
        <w:t>此外，《无线电规则》并未就任何导致空间电台无法</w:t>
      </w:r>
      <w:r w:rsidRPr="00F63174">
        <w:rPr>
          <w:lang w:eastAsia="zh-CN"/>
        </w:rPr>
        <w:t>BIU</w:t>
      </w:r>
      <w:r w:rsidRPr="00F63174">
        <w:rPr>
          <w:rFonts w:hint="eastAsia"/>
          <w:lang w:eastAsia="zh-CN"/>
        </w:rPr>
        <w:t>或</w:t>
      </w:r>
      <w:r w:rsidRPr="00F63174">
        <w:rPr>
          <w:lang w:eastAsia="zh-CN"/>
        </w:rPr>
        <w:t>BBIU</w:t>
      </w:r>
      <w:r w:rsidRPr="00F63174">
        <w:rPr>
          <w:rFonts w:hint="eastAsia"/>
          <w:lang w:eastAsia="zh-CN"/>
        </w:rPr>
        <w:t>非规划频率指配的发射失败情况做出明确规定。</w:t>
      </w:r>
    </w:p>
    <w:p w:rsidR="00701205" w:rsidRDefault="00701205" w:rsidP="00701205">
      <w:pPr>
        <w:pStyle w:val="Headingb"/>
        <w:rPr>
          <w:lang w:eastAsia="zh-CN"/>
        </w:rPr>
      </w:pPr>
      <w:r>
        <w:rPr>
          <w:rFonts w:hint="eastAsia"/>
          <w:lang w:eastAsia="zh-CN"/>
        </w:rPr>
        <w:t>提</w:t>
      </w:r>
      <w:r>
        <w:rPr>
          <w:lang w:eastAsia="zh-CN"/>
        </w:rPr>
        <w:t>案</w:t>
      </w:r>
    </w:p>
    <w:p w:rsidR="00701205" w:rsidRPr="00701205" w:rsidRDefault="00701205" w:rsidP="00701205">
      <w:pPr>
        <w:rPr>
          <w:rFonts w:hint="eastAsia"/>
          <w:lang w:eastAsia="zh-CN"/>
        </w:rPr>
      </w:pPr>
    </w:p>
    <w:p w:rsidR="00CB146F" w:rsidRDefault="00705348">
      <w:pPr>
        <w:pStyle w:val="Proposal"/>
        <w:rPr>
          <w:lang w:eastAsia="zh-CN"/>
        </w:rPr>
      </w:pPr>
      <w:r>
        <w:rPr>
          <w:u w:val="single"/>
          <w:lang w:eastAsia="zh-CN"/>
        </w:rPr>
        <w:t>NOC</w:t>
      </w:r>
      <w:r>
        <w:rPr>
          <w:lang w:eastAsia="zh-CN"/>
        </w:rPr>
        <w:tab/>
        <w:t>IRN/61A21A11/1</w:t>
      </w:r>
    </w:p>
    <w:p w:rsidR="00DB1CAC" w:rsidRPr="00F439B1" w:rsidRDefault="00705348" w:rsidP="00F439B1">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rsidR="00DB1CAC" w:rsidRDefault="00705348" w:rsidP="00701205">
      <w:pPr>
        <w:pStyle w:val="Arttitle"/>
        <w:rPr>
          <w:bCs/>
          <w:sz w:val="16"/>
          <w:szCs w:val="16"/>
          <w:lang w:val="en-US" w:eastAsia="zh-CN"/>
        </w:rPr>
      </w:pPr>
      <w:bookmarkStart w:id="8" w:name="_Toc329768676"/>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A8083E">
        <w:rPr>
          <w:rStyle w:val="FootnoteReference"/>
          <w:bCs/>
          <w:szCs w:val="18"/>
          <w:lang w:eastAsia="zh-CN"/>
        </w:rPr>
        <w:t>1</w:t>
      </w:r>
      <w:r w:rsidRPr="00A8083E">
        <w:rPr>
          <w:rStyle w:val="FootnoteReference"/>
          <w:rFonts w:hint="eastAsia"/>
          <w:bCs/>
          <w:szCs w:val="18"/>
          <w:lang w:eastAsia="zh-CN"/>
        </w:rPr>
        <w:t xml:space="preserve">, </w:t>
      </w:r>
      <w:r w:rsidRPr="00A8083E">
        <w:rPr>
          <w:rStyle w:val="FootnoteReference"/>
          <w:bCs/>
          <w:szCs w:val="18"/>
          <w:lang w:eastAsia="zh-CN"/>
        </w:rPr>
        <w:t>2</w:t>
      </w:r>
      <w:r w:rsidRPr="00A8083E">
        <w:rPr>
          <w:rFonts w:hint="eastAsia"/>
          <w:bCs/>
          <w:position w:val="6"/>
          <w:sz w:val="18"/>
          <w:szCs w:val="18"/>
          <w:lang w:eastAsia="zh-CN"/>
        </w:rPr>
        <w:t xml:space="preserve">, </w:t>
      </w:r>
      <w:r w:rsidRPr="00A8083E">
        <w:rPr>
          <w:rStyle w:val="FootnoteReference"/>
          <w:bCs/>
          <w:szCs w:val="18"/>
          <w:lang w:eastAsia="zh-CN"/>
        </w:rPr>
        <w:t>3</w:t>
      </w:r>
      <w:r w:rsidRPr="00A8083E">
        <w:rPr>
          <w:rFonts w:hint="eastAsia"/>
          <w:bCs/>
          <w:position w:val="6"/>
          <w:sz w:val="18"/>
          <w:szCs w:val="18"/>
          <w:lang w:eastAsia="zh-CN"/>
        </w:rPr>
        <w:t xml:space="preserve">, </w:t>
      </w:r>
      <w:r w:rsidRPr="00A8083E">
        <w:rPr>
          <w:rStyle w:val="FootnoteReference"/>
          <w:bCs/>
          <w:szCs w:val="18"/>
          <w:lang w:eastAsia="zh-CN"/>
        </w:rPr>
        <w:t>4</w:t>
      </w:r>
      <w:r w:rsidRPr="00A8083E">
        <w:rPr>
          <w:rFonts w:hint="eastAsia"/>
          <w:bCs/>
          <w:position w:val="6"/>
          <w:sz w:val="18"/>
          <w:szCs w:val="18"/>
          <w:lang w:eastAsia="zh-CN"/>
        </w:rPr>
        <w:t xml:space="preserve">, </w:t>
      </w:r>
      <w:r w:rsidRPr="00A8083E">
        <w:rPr>
          <w:rStyle w:val="FootnoteReference"/>
          <w:bCs/>
          <w:szCs w:val="18"/>
          <w:lang w:eastAsia="zh-CN"/>
        </w:rPr>
        <w:t>5</w:t>
      </w:r>
      <w:r w:rsidRPr="00A8083E">
        <w:rPr>
          <w:rFonts w:hint="eastAsia"/>
          <w:bCs/>
          <w:position w:val="6"/>
          <w:sz w:val="18"/>
          <w:szCs w:val="18"/>
          <w:lang w:eastAsia="zh-CN"/>
        </w:rPr>
        <w:t xml:space="preserve">, </w:t>
      </w:r>
      <w:r w:rsidRPr="00A8083E">
        <w:rPr>
          <w:rStyle w:val="FootnoteReference"/>
          <w:bCs/>
          <w:szCs w:val="18"/>
          <w:lang w:eastAsia="zh-CN"/>
        </w:rPr>
        <w:t>6</w:t>
      </w:r>
      <w:r w:rsidRPr="00A8083E">
        <w:rPr>
          <w:rFonts w:hint="eastAsia"/>
          <w:bCs/>
          <w:position w:val="6"/>
          <w:sz w:val="18"/>
          <w:szCs w:val="18"/>
          <w:lang w:eastAsia="zh-CN"/>
        </w:rPr>
        <w:t xml:space="preserve">, </w:t>
      </w:r>
      <w:r w:rsidRPr="00A8083E">
        <w:rPr>
          <w:rStyle w:val="FootnoteReference"/>
          <w:bCs/>
          <w:szCs w:val="18"/>
          <w:lang w:eastAsia="zh-CN"/>
        </w:rPr>
        <w:t>7</w:t>
      </w:r>
      <w:r w:rsidRPr="00A8083E">
        <w:rPr>
          <w:rFonts w:hint="eastAsia"/>
          <w:bCs/>
          <w:position w:val="6"/>
          <w:sz w:val="18"/>
          <w:szCs w:val="18"/>
          <w:lang w:eastAsia="zh-CN"/>
        </w:rPr>
        <w:t>,</w:t>
      </w:r>
      <w:r w:rsidRPr="00A8083E">
        <w:rPr>
          <w:bCs/>
          <w:position w:val="6"/>
          <w:sz w:val="18"/>
          <w:szCs w:val="18"/>
          <w:lang w:eastAsia="zh-CN"/>
        </w:rPr>
        <w:t xml:space="preserve"> </w:t>
      </w:r>
      <w:r w:rsidRPr="00A8083E">
        <w:rPr>
          <w:rStyle w:val="FootnoteReference"/>
          <w:bCs/>
          <w:szCs w:val="18"/>
          <w:lang w:eastAsia="zh-CN"/>
        </w:rPr>
        <w:t>7</w:t>
      </w:r>
      <w:r w:rsidRPr="00701205">
        <w:rPr>
          <w:rStyle w:val="FootnoteReference"/>
          <w:rFonts w:ascii="STKaiti" w:eastAsia="STKaiti" w:hAnsi="STKaiti"/>
          <w:bCs/>
          <w:sz w:val="16"/>
          <w:szCs w:val="16"/>
          <w:lang w:eastAsia="zh-CN"/>
        </w:rPr>
        <w:t>之二</w:t>
      </w:r>
      <w:r w:rsidRPr="002944B0">
        <w:rPr>
          <w:rFonts w:hint="eastAsia"/>
          <w:b w:val="0"/>
          <w:sz w:val="16"/>
          <w:szCs w:val="16"/>
          <w:lang w:eastAsia="zh-CN"/>
        </w:rPr>
        <w:t>（</w:t>
      </w:r>
      <w:r w:rsidRPr="002944B0">
        <w:rPr>
          <w:b w:val="0"/>
          <w:sz w:val="16"/>
          <w:szCs w:val="16"/>
          <w:lang w:eastAsia="zh-CN"/>
        </w:rPr>
        <w:t>WRC-12</w:t>
      </w:r>
      <w:r w:rsidRPr="002944B0">
        <w:rPr>
          <w:rFonts w:hint="eastAsia"/>
          <w:b w:val="0"/>
          <w:sz w:val="16"/>
          <w:szCs w:val="16"/>
          <w:lang w:eastAsia="zh-CN"/>
        </w:rPr>
        <w:t>）</w:t>
      </w:r>
      <w:bookmarkEnd w:id="8"/>
    </w:p>
    <w:p w:rsidR="00CB146F" w:rsidRDefault="00705348">
      <w:pPr>
        <w:pStyle w:val="Reasons"/>
        <w:rPr>
          <w:lang w:eastAsia="zh-CN"/>
        </w:rPr>
      </w:pPr>
      <w:r>
        <w:rPr>
          <w:b/>
          <w:lang w:eastAsia="zh-CN"/>
        </w:rPr>
        <w:t>理由：</w:t>
      </w:r>
      <w:r>
        <w:rPr>
          <w:lang w:eastAsia="zh-CN"/>
        </w:rPr>
        <w:tab/>
      </w:r>
      <w:r w:rsidR="00455CCE" w:rsidRPr="00F63174">
        <w:rPr>
          <w:rFonts w:hint="eastAsia"/>
          <w:lang w:eastAsia="zh-CN"/>
        </w:rPr>
        <w:t>根据该方法，对《无线电规则》不做任何修改</w:t>
      </w:r>
      <w:r w:rsidR="00455CCE">
        <w:rPr>
          <w:rFonts w:hint="eastAsia"/>
          <w:lang w:eastAsia="zh-CN"/>
        </w:rPr>
        <w:t>，因为目前的做法足以解决问题。迄今为止开展的研究并未解决所有可能出现的问题</w:t>
      </w:r>
      <w:r w:rsidR="00455CCE" w:rsidRPr="00F63174">
        <w:rPr>
          <w:rFonts w:hint="eastAsia"/>
          <w:lang w:eastAsia="zh-CN"/>
        </w:rPr>
        <w:t>。</w:t>
      </w:r>
    </w:p>
    <w:p w:rsidR="00455CCE" w:rsidRDefault="00AD1E5B" w:rsidP="00AD1E5B">
      <w:pPr>
        <w:pStyle w:val="Reasons"/>
        <w:ind w:firstLineChars="200" w:firstLine="480"/>
        <w:rPr>
          <w:lang w:eastAsia="zh-CN"/>
        </w:rPr>
      </w:pPr>
      <w:r>
        <w:rPr>
          <w:rFonts w:hint="eastAsia"/>
          <w:lang w:eastAsia="zh-CN"/>
        </w:rPr>
        <w:t>然而</w:t>
      </w:r>
      <w:r>
        <w:rPr>
          <w:lang w:eastAsia="zh-CN"/>
        </w:rPr>
        <w:t>，</w:t>
      </w:r>
      <w:r>
        <w:rPr>
          <w:rFonts w:hint="eastAsia"/>
          <w:lang w:eastAsia="zh-CN"/>
        </w:rPr>
        <w:t>本主管部门</w:t>
      </w:r>
      <w:r>
        <w:rPr>
          <w:lang w:eastAsia="zh-CN"/>
        </w:rPr>
        <w:t>可</w:t>
      </w:r>
      <w:bookmarkStart w:id="9" w:name="_GoBack"/>
      <w:bookmarkEnd w:id="9"/>
      <w:r>
        <w:rPr>
          <w:lang w:eastAsia="zh-CN"/>
        </w:rPr>
        <w:t>能会在可行和</w:t>
      </w:r>
      <w:r>
        <w:rPr>
          <w:rFonts w:hint="eastAsia"/>
          <w:lang w:eastAsia="zh-CN"/>
        </w:rPr>
        <w:t>适当</w:t>
      </w:r>
      <w:r>
        <w:rPr>
          <w:lang w:eastAsia="zh-CN"/>
        </w:rPr>
        <w:t>时</w:t>
      </w:r>
      <w:r>
        <w:rPr>
          <w:rFonts w:hint="eastAsia"/>
          <w:lang w:eastAsia="zh-CN"/>
        </w:rPr>
        <w:t>，</w:t>
      </w:r>
      <w:r>
        <w:rPr>
          <w:lang w:eastAsia="zh-CN"/>
        </w:rPr>
        <w:t>根据大会有关这一议题</w:t>
      </w:r>
      <w:r>
        <w:rPr>
          <w:rFonts w:hint="eastAsia"/>
          <w:lang w:eastAsia="zh-CN"/>
        </w:rPr>
        <w:t>/</w:t>
      </w:r>
      <w:r>
        <w:rPr>
          <w:rFonts w:hint="eastAsia"/>
          <w:lang w:eastAsia="zh-CN"/>
        </w:rPr>
        <w:t>问题</w:t>
      </w:r>
      <w:r>
        <w:rPr>
          <w:lang w:eastAsia="zh-CN"/>
        </w:rPr>
        <w:t>的</w:t>
      </w:r>
      <w:r>
        <w:rPr>
          <w:rFonts w:hint="eastAsia"/>
          <w:lang w:eastAsia="zh-CN"/>
        </w:rPr>
        <w:t>酝酿</w:t>
      </w:r>
      <w:r>
        <w:rPr>
          <w:lang w:eastAsia="zh-CN"/>
        </w:rPr>
        <w:t>结果，审议其</w:t>
      </w:r>
      <w:r>
        <w:rPr>
          <w:rFonts w:hint="eastAsia"/>
          <w:lang w:eastAsia="zh-CN"/>
        </w:rPr>
        <w:t>它</w:t>
      </w:r>
      <w:r>
        <w:rPr>
          <w:lang w:eastAsia="zh-CN"/>
        </w:rPr>
        <w:t>解决方案。</w:t>
      </w:r>
    </w:p>
    <w:p w:rsidR="00455CCE" w:rsidRDefault="00455CCE" w:rsidP="0032202E">
      <w:pPr>
        <w:pStyle w:val="Reasons"/>
        <w:rPr>
          <w:lang w:eastAsia="zh-CN"/>
        </w:rPr>
      </w:pPr>
    </w:p>
    <w:p w:rsidR="00455CCE" w:rsidRDefault="00455CCE" w:rsidP="00455CCE">
      <w:pPr>
        <w:jc w:val="center"/>
      </w:pPr>
      <w:r>
        <w:t>______________</w:t>
      </w:r>
    </w:p>
    <w:sectPr w:rsidR="00455CCE">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85" w:rsidRDefault="00856885" w:rsidP="00856885">
    <w:pPr>
      <w:pStyle w:val="Footer"/>
    </w:pPr>
    <w:fldSimple w:instr=" FILENAME \p  \* MERGEFORMAT ">
      <w:r w:rsidR="00DE7F1B">
        <w:t>P:\CHI\ITU-R\CONF-R\CMR15\000\061ADD21ADD11C.docx</w:t>
      </w:r>
    </w:fldSimple>
    <w:r>
      <w:t xml:space="preserve"> </w:t>
    </w:r>
    <w:r>
      <w:rPr>
        <w:rFonts w:hint="eastAsia"/>
        <w:lang w:eastAsia="zh-CN"/>
      </w:rPr>
      <w:t>(</w:t>
    </w:r>
    <w:r>
      <w:rPr>
        <w:lang w:eastAsia="zh-CN"/>
      </w:rPr>
      <w:t>388296</w:t>
    </w:r>
    <w:r>
      <w:rPr>
        <w:rFonts w:hint="eastAsia"/>
        <w:lang w:eastAsia="zh-CN"/>
      </w:rPr>
      <w:t>)</w:t>
    </w:r>
    <w:r>
      <w:tab/>
    </w:r>
    <w:r>
      <w:fldChar w:fldCharType="begin"/>
    </w:r>
    <w:r>
      <w:instrText xml:space="preserve"> SAVEDATE \@ DD.MM.YY </w:instrText>
    </w:r>
    <w:r>
      <w:fldChar w:fldCharType="separate"/>
    </w:r>
    <w:r w:rsidR="00DE7F1B">
      <w:t>22.10.15</w:t>
    </w:r>
    <w:r>
      <w:fldChar w:fldCharType="end"/>
    </w:r>
    <w:r>
      <w:tab/>
    </w:r>
    <w:r>
      <w:fldChar w:fldCharType="begin"/>
    </w:r>
    <w:r>
      <w:instrText xml:space="preserve"> PRINTDATE \@ DD.MM.YY </w:instrText>
    </w:r>
    <w:r>
      <w:fldChar w:fldCharType="separate"/>
    </w:r>
    <w:r w:rsidR="00DE7F1B">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85" w:rsidRDefault="00DE7F1B">
    <w:pPr>
      <w:pStyle w:val="Footer"/>
    </w:pPr>
    <w:r>
      <w:fldChar w:fldCharType="begin"/>
    </w:r>
    <w:r>
      <w:instrText xml:space="preserve"> FILENAME \p  \* MERGEFORMAT </w:instrText>
    </w:r>
    <w:r>
      <w:fldChar w:fldCharType="separate"/>
    </w:r>
    <w:r>
      <w:t>P:\CHI\ITU-R\CONF-R\CMR15\000\061ADD21ADD11C.docx</w:t>
    </w:r>
    <w:r>
      <w:fldChar w:fldCharType="end"/>
    </w:r>
    <w:r w:rsidR="00856885">
      <w:t xml:space="preserve"> </w:t>
    </w:r>
    <w:r w:rsidR="00856885">
      <w:rPr>
        <w:rFonts w:hint="eastAsia"/>
        <w:lang w:eastAsia="zh-CN"/>
      </w:rPr>
      <w:t>(</w:t>
    </w:r>
    <w:r w:rsidR="00856885">
      <w:rPr>
        <w:lang w:eastAsia="zh-CN"/>
      </w:rPr>
      <w:t>388296</w:t>
    </w:r>
    <w:r w:rsidR="00856885">
      <w:rPr>
        <w:rFonts w:hint="eastAsia"/>
        <w:lang w:eastAsia="zh-CN"/>
      </w:rPr>
      <w:t>)</w:t>
    </w:r>
    <w:r w:rsidR="00856885">
      <w:tab/>
    </w:r>
    <w:r w:rsidR="00856885">
      <w:fldChar w:fldCharType="begin"/>
    </w:r>
    <w:r w:rsidR="00856885">
      <w:instrText xml:space="preserve"> SAVEDATE \@ DD.MM.YY </w:instrText>
    </w:r>
    <w:r w:rsidR="00856885">
      <w:fldChar w:fldCharType="separate"/>
    </w:r>
    <w:r>
      <w:t>22.10.15</w:t>
    </w:r>
    <w:r w:rsidR="00856885">
      <w:fldChar w:fldCharType="end"/>
    </w:r>
    <w:r w:rsidR="00856885">
      <w:tab/>
    </w:r>
    <w:r w:rsidR="00856885">
      <w:fldChar w:fldCharType="begin"/>
    </w:r>
    <w:r w:rsidR="00856885">
      <w:instrText xml:space="preserve"> PRINTDATE \@ DD.MM.YY </w:instrText>
    </w:r>
    <w:r w:rsidR="00856885">
      <w:fldChar w:fldCharType="separate"/>
    </w:r>
    <w:r>
      <w:t>22.10.15</w:t>
    </w:r>
    <w:r w:rsidR="0085688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E7F1B">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4570"/>
    <w:rsid w:val="000264C2"/>
    <w:rsid w:val="000273B7"/>
    <w:rsid w:val="00037C90"/>
    <w:rsid w:val="000C09BA"/>
    <w:rsid w:val="000C1F1E"/>
    <w:rsid w:val="000C6AA7"/>
    <w:rsid w:val="000E26F6"/>
    <w:rsid w:val="000F2D96"/>
    <w:rsid w:val="00123C07"/>
    <w:rsid w:val="00166859"/>
    <w:rsid w:val="001765EC"/>
    <w:rsid w:val="001853E8"/>
    <w:rsid w:val="001B6360"/>
    <w:rsid w:val="001D47B2"/>
    <w:rsid w:val="001F4EA6"/>
    <w:rsid w:val="00214959"/>
    <w:rsid w:val="002260A6"/>
    <w:rsid w:val="002742B3"/>
    <w:rsid w:val="002A4C9C"/>
    <w:rsid w:val="002B509B"/>
    <w:rsid w:val="002E2A59"/>
    <w:rsid w:val="002E4507"/>
    <w:rsid w:val="00305254"/>
    <w:rsid w:val="003169D2"/>
    <w:rsid w:val="003B4BEF"/>
    <w:rsid w:val="003C6B45"/>
    <w:rsid w:val="003F7710"/>
    <w:rsid w:val="0041282E"/>
    <w:rsid w:val="00422BCF"/>
    <w:rsid w:val="00437869"/>
    <w:rsid w:val="00455CCE"/>
    <w:rsid w:val="00457DAB"/>
    <w:rsid w:val="00465A34"/>
    <w:rsid w:val="004C4554"/>
    <w:rsid w:val="004D2DEC"/>
    <w:rsid w:val="004F2BE6"/>
    <w:rsid w:val="00525377"/>
    <w:rsid w:val="00527E8A"/>
    <w:rsid w:val="00542E85"/>
    <w:rsid w:val="00562479"/>
    <w:rsid w:val="00576849"/>
    <w:rsid w:val="005A0ACB"/>
    <w:rsid w:val="005E08D2"/>
    <w:rsid w:val="005E7FD8"/>
    <w:rsid w:val="006164E3"/>
    <w:rsid w:val="00622560"/>
    <w:rsid w:val="00644391"/>
    <w:rsid w:val="00647712"/>
    <w:rsid w:val="00662E12"/>
    <w:rsid w:val="00691142"/>
    <w:rsid w:val="006B67CE"/>
    <w:rsid w:val="006C38ED"/>
    <w:rsid w:val="006E6182"/>
    <w:rsid w:val="006F3C60"/>
    <w:rsid w:val="00701205"/>
    <w:rsid w:val="00705348"/>
    <w:rsid w:val="00736415"/>
    <w:rsid w:val="00770D2A"/>
    <w:rsid w:val="007864F6"/>
    <w:rsid w:val="007B78F0"/>
    <w:rsid w:val="007B7C4B"/>
    <w:rsid w:val="007F0FC5"/>
    <w:rsid w:val="007F1FD9"/>
    <w:rsid w:val="007F5C36"/>
    <w:rsid w:val="008047DB"/>
    <w:rsid w:val="008129A9"/>
    <w:rsid w:val="008221A4"/>
    <w:rsid w:val="00824BD6"/>
    <w:rsid w:val="0083672D"/>
    <w:rsid w:val="00844734"/>
    <w:rsid w:val="00856885"/>
    <w:rsid w:val="00865DFB"/>
    <w:rsid w:val="008A7416"/>
    <w:rsid w:val="008B6852"/>
    <w:rsid w:val="008C26FF"/>
    <w:rsid w:val="008D1D14"/>
    <w:rsid w:val="008E1785"/>
    <w:rsid w:val="008E7127"/>
    <w:rsid w:val="008E7C8E"/>
    <w:rsid w:val="00912959"/>
    <w:rsid w:val="009262DA"/>
    <w:rsid w:val="009657F9"/>
    <w:rsid w:val="0099525B"/>
    <w:rsid w:val="009C0896"/>
    <w:rsid w:val="009C72B7"/>
    <w:rsid w:val="00A0052C"/>
    <w:rsid w:val="00A06344"/>
    <w:rsid w:val="00A31B14"/>
    <w:rsid w:val="00A323DC"/>
    <w:rsid w:val="00A466E6"/>
    <w:rsid w:val="00A46933"/>
    <w:rsid w:val="00A815BE"/>
    <w:rsid w:val="00AA5DA1"/>
    <w:rsid w:val="00AD1E5B"/>
    <w:rsid w:val="00AE369F"/>
    <w:rsid w:val="00B026CB"/>
    <w:rsid w:val="00B711CC"/>
    <w:rsid w:val="00B76F40"/>
    <w:rsid w:val="00B851D4"/>
    <w:rsid w:val="00B868FC"/>
    <w:rsid w:val="00B95072"/>
    <w:rsid w:val="00BB26CD"/>
    <w:rsid w:val="00BF49F2"/>
    <w:rsid w:val="00C07239"/>
    <w:rsid w:val="00C364B1"/>
    <w:rsid w:val="00C47D87"/>
    <w:rsid w:val="00C627F9"/>
    <w:rsid w:val="00C6584D"/>
    <w:rsid w:val="00C929E0"/>
    <w:rsid w:val="00CB1212"/>
    <w:rsid w:val="00CB146F"/>
    <w:rsid w:val="00CB4E5A"/>
    <w:rsid w:val="00CC73D7"/>
    <w:rsid w:val="00CF0AD7"/>
    <w:rsid w:val="00CF0BE1"/>
    <w:rsid w:val="00D52A14"/>
    <w:rsid w:val="00D6206A"/>
    <w:rsid w:val="00D74599"/>
    <w:rsid w:val="00DA0469"/>
    <w:rsid w:val="00DD13B7"/>
    <w:rsid w:val="00DE7F1B"/>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FA51F40-69A8-47B3-9850-F94A7C68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R15-WRC15-C-0061!A21-A11!MSW-C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AF0764-5C8D-47FC-97FD-C4B4995D5E16}">
  <ds:schemaRefs>
    <ds:schemaRef ds:uri="http://schemas.openxmlformats.org/package/2006/metadata/core-properties"/>
    <ds:schemaRef ds:uri="32a1a8c5-2265-4ebc-b7a0-2071e2c5c9bb"/>
    <ds:schemaRef ds:uri="http://schemas.microsoft.com/office/2006/documentManagement/types"/>
    <ds:schemaRef ds:uri="http://purl.org/dc/elements/1.1/"/>
    <ds:schemaRef ds:uri="http://schemas.microsoft.com/office/infopath/2007/PartnerControls"/>
    <ds:schemaRef ds:uri="996b2e75-67fd-4955-a3b0-5ab9934cb50b"/>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1047</Words>
  <Characters>1279</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R15-WRC15-C-0061!A21-A11!MSW-C</vt:lpstr>
    </vt:vector>
  </TitlesOfParts>
  <Manager>General Secretariat - Pool</Manager>
  <Company>International Telecommunication Union (ITU)</Company>
  <LinksUpToDate>false</LinksUpToDate>
  <CharactersWithSpaces>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R15-WRC15-C-0061!A21-A11!MSW-C</dc:title>
  <dc:subject>World Radiocommunication Conference - 2015</dc:subject>
  <dc:creator>Documents Proposals Manager (DPM)</dc:creator>
  <cp:keywords>DPM_v5.2015.10.15_prod</cp:keywords>
  <dc:description/>
  <cp:lastModifiedBy>Zheng, Bingyue</cp:lastModifiedBy>
  <cp:revision>5</cp:revision>
  <cp:lastPrinted>2015-10-22T20:59:00Z</cp:lastPrinted>
  <dcterms:created xsi:type="dcterms:W3CDTF">2015-10-22T09:51:00Z</dcterms:created>
  <dcterms:modified xsi:type="dcterms:W3CDTF">2015-10-22T20:59:00Z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