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2410C" w:rsidTr="0050008E">
        <w:trPr>
          <w:cantSplit/>
        </w:trPr>
        <w:tc>
          <w:tcPr>
            <w:tcW w:w="6911" w:type="dxa"/>
          </w:tcPr>
          <w:p w:rsidR="00BB1D82" w:rsidRPr="00B2410C" w:rsidRDefault="00851625" w:rsidP="00464B22">
            <w:pPr>
              <w:spacing w:before="400" w:after="48"/>
              <w:rPr>
                <w:rFonts w:ascii="Verdana" w:hAnsi="Verdana"/>
                <w:b/>
                <w:bCs/>
                <w:sz w:val="20"/>
                <w:lang w:val="fr-CH"/>
              </w:rPr>
            </w:pPr>
            <w:bookmarkStart w:id="0" w:name="_GoBack"/>
            <w:bookmarkEnd w:id="0"/>
            <w:r w:rsidRPr="00B2410C">
              <w:rPr>
                <w:rFonts w:ascii="Verdana" w:hAnsi="Verdana"/>
                <w:b/>
                <w:bCs/>
                <w:sz w:val="20"/>
                <w:lang w:val="fr-CH"/>
              </w:rPr>
              <w:t>Conférence mondiale des radiocommunications (CMR-15)</w:t>
            </w:r>
            <w:r w:rsidRPr="00B2410C">
              <w:rPr>
                <w:rFonts w:ascii="Verdana" w:hAnsi="Verdana"/>
                <w:b/>
                <w:bCs/>
                <w:sz w:val="20"/>
                <w:lang w:val="fr-CH"/>
              </w:rPr>
              <w:br/>
            </w:r>
            <w:r w:rsidRPr="00B2410C">
              <w:rPr>
                <w:rFonts w:ascii="Verdana" w:hAnsi="Verdana"/>
                <w:b/>
                <w:bCs/>
                <w:sz w:val="18"/>
                <w:szCs w:val="18"/>
                <w:lang w:val="fr-CH"/>
              </w:rPr>
              <w:t>Genève,</w:t>
            </w:r>
            <w:r w:rsidR="00E537FF" w:rsidRPr="00B2410C">
              <w:rPr>
                <w:rFonts w:ascii="Verdana" w:hAnsi="Verdana"/>
                <w:b/>
                <w:bCs/>
                <w:sz w:val="18"/>
                <w:szCs w:val="18"/>
                <w:lang w:val="fr-CH"/>
              </w:rPr>
              <w:t xml:space="preserve"> </w:t>
            </w:r>
            <w:r w:rsidRPr="00B2410C">
              <w:rPr>
                <w:rFonts w:ascii="Verdana" w:hAnsi="Verdana"/>
                <w:b/>
                <w:bCs/>
                <w:sz w:val="18"/>
                <w:szCs w:val="18"/>
                <w:lang w:val="fr-CH"/>
              </w:rPr>
              <w:t>2-27 novembre 2015</w:t>
            </w:r>
          </w:p>
        </w:tc>
        <w:tc>
          <w:tcPr>
            <w:tcW w:w="3120" w:type="dxa"/>
          </w:tcPr>
          <w:p w:rsidR="00BB1D82" w:rsidRPr="00B2410C" w:rsidRDefault="002C28A4" w:rsidP="00464B22">
            <w:pPr>
              <w:spacing w:before="0"/>
              <w:jc w:val="right"/>
              <w:rPr>
                <w:lang w:val="fr-CH"/>
              </w:rPr>
            </w:pPr>
            <w:bookmarkStart w:id="1" w:name="ditulogo"/>
            <w:bookmarkEnd w:id="1"/>
            <w:r w:rsidRPr="00B2410C">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B2410C" w:rsidTr="0050008E">
        <w:trPr>
          <w:cantSplit/>
        </w:trPr>
        <w:tc>
          <w:tcPr>
            <w:tcW w:w="6911" w:type="dxa"/>
            <w:tcBorders>
              <w:bottom w:val="single" w:sz="12" w:space="0" w:color="auto"/>
            </w:tcBorders>
          </w:tcPr>
          <w:p w:rsidR="00BB1D82" w:rsidRPr="00B2410C" w:rsidRDefault="002C28A4" w:rsidP="00464B22">
            <w:pPr>
              <w:spacing w:before="0" w:after="48"/>
              <w:rPr>
                <w:b/>
                <w:smallCaps/>
                <w:szCs w:val="24"/>
                <w:lang w:val="fr-CH"/>
              </w:rPr>
            </w:pPr>
            <w:bookmarkStart w:id="2" w:name="dhead"/>
            <w:r w:rsidRPr="00B2410C">
              <w:rPr>
                <w:rFonts w:ascii="Verdana" w:hAnsi="Verdana"/>
                <w:b/>
                <w:bCs/>
                <w:sz w:val="20"/>
                <w:lang w:val="fr-CH"/>
              </w:rPr>
              <w:t>UNION INTERNATIONALE DES TÉLÉCOMMUNICATIONS</w:t>
            </w:r>
          </w:p>
        </w:tc>
        <w:tc>
          <w:tcPr>
            <w:tcW w:w="3120" w:type="dxa"/>
            <w:tcBorders>
              <w:bottom w:val="single" w:sz="12" w:space="0" w:color="auto"/>
            </w:tcBorders>
          </w:tcPr>
          <w:p w:rsidR="00BB1D82" w:rsidRPr="00B2410C" w:rsidRDefault="00BB1D82" w:rsidP="00464B22">
            <w:pPr>
              <w:spacing w:before="0"/>
              <w:rPr>
                <w:rFonts w:ascii="Verdana" w:hAnsi="Verdana"/>
                <w:szCs w:val="24"/>
                <w:lang w:val="fr-CH"/>
              </w:rPr>
            </w:pPr>
          </w:p>
        </w:tc>
      </w:tr>
      <w:tr w:rsidR="00BB1D82" w:rsidRPr="00B2410C" w:rsidTr="00BB1D82">
        <w:trPr>
          <w:cantSplit/>
        </w:trPr>
        <w:tc>
          <w:tcPr>
            <w:tcW w:w="6911" w:type="dxa"/>
            <w:tcBorders>
              <w:top w:val="single" w:sz="12" w:space="0" w:color="auto"/>
            </w:tcBorders>
          </w:tcPr>
          <w:p w:rsidR="00BB1D82" w:rsidRPr="00B2410C" w:rsidRDefault="00BB1D82" w:rsidP="00464B22">
            <w:pPr>
              <w:spacing w:before="0" w:after="48"/>
              <w:rPr>
                <w:rFonts w:ascii="Verdana" w:hAnsi="Verdana"/>
                <w:b/>
                <w:smallCaps/>
                <w:sz w:val="20"/>
                <w:lang w:val="fr-CH"/>
              </w:rPr>
            </w:pPr>
          </w:p>
        </w:tc>
        <w:tc>
          <w:tcPr>
            <w:tcW w:w="3120" w:type="dxa"/>
            <w:tcBorders>
              <w:top w:val="single" w:sz="12" w:space="0" w:color="auto"/>
            </w:tcBorders>
          </w:tcPr>
          <w:p w:rsidR="00BB1D82" w:rsidRPr="00B2410C" w:rsidRDefault="00BB1D82" w:rsidP="00464B22">
            <w:pPr>
              <w:spacing w:before="0"/>
              <w:rPr>
                <w:rFonts w:ascii="Verdana" w:hAnsi="Verdana"/>
                <w:sz w:val="20"/>
                <w:lang w:val="fr-CH"/>
              </w:rPr>
            </w:pPr>
          </w:p>
        </w:tc>
      </w:tr>
      <w:tr w:rsidR="00BB1D82" w:rsidRPr="00B2410C" w:rsidTr="00BB1D82">
        <w:trPr>
          <w:cantSplit/>
        </w:trPr>
        <w:tc>
          <w:tcPr>
            <w:tcW w:w="6911" w:type="dxa"/>
            <w:shd w:val="clear" w:color="auto" w:fill="auto"/>
          </w:tcPr>
          <w:p w:rsidR="00BB1D82" w:rsidRPr="00B2410C" w:rsidRDefault="006D4724" w:rsidP="00464B22">
            <w:pPr>
              <w:spacing w:before="0"/>
              <w:rPr>
                <w:rFonts w:ascii="Verdana" w:hAnsi="Verdana"/>
                <w:b/>
                <w:sz w:val="20"/>
                <w:lang w:val="fr-CH"/>
              </w:rPr>
            </w:pPr>
            <w:r w:rsidRPr="00B2410C">
              <w:rPr>
                <w:rFonts w:ascii="Verdana" w:hAnsi="Verdana"/>
                <w:b/>
                <w:sz w:val="20"/>
                <w:lang w:val="fr-CH"/>
              </w:rPr>
              <w:t>SÉANCE PLÉNIÈRE</w:t>
            </w:r>
          </w:p>
        </w:tc>
        <w:tc>
          <w:tcPr>
            <w:tcW w:w="3120" w:type="dxa"/>
            <w:shd w:val="clear" w:color="auto" w:fill="auto"/>
          </w:tcPr>
          <w:p w:rsidR="00BB1D82" w:rsidRPr="00B2410C" w:rsidRDefault="006D4724" w:rsidP="00464B22">
            <w:pPr>
              <w:spacing w:before="0"/>
              <w:rPr>
                <w:rFonts w:ascii="Verdana" w:hAnsi="Verdana"/>
                <w:sz w:val="20"/>
                <w:lang w:val="fr-CH"/>
              </w:rPr>
            </w:pPr>
            <w:r w:rsidRPr="00B2410C">
              <w:rPr>
                <w:rFonts w:ascii="Verdana" w:eastAsia="SimSun" w:hAnsi="Verdana" w:cs="Traditional Arabic"/>
                <w:b/>
                <w:sz w:val="20"/>
                <w:lang w:val="fr-CH"/>
              </w:rPr>
              <w:t>Addendum 1 au</w:t>
            </w:r>
            <w:r w:rsidRPr="00B2410C">
              <w:rPr>
                <w:rFonts w:ascii="Verdana" w:eastAsia="SimSun" w:hAnsi="Verdana" w:cs="Traditional Arabic"/>
                <w:b/>
                <w:sz w:val="20"/>
                <w:lang w:val="fr-CH"/>
              </w:rPr>
              <w:br/>
              <w:t>Document 61</w:t>
            </w:r>
            <w:r w:rsidR="00BB1D82" w:rsidRPr="00B2410C">
              <w:rPr>
                <w:rFonts w:ascii="Verdana" w:hAnsi="Verdana"/>
                <w:b/>
                <w:sz w:val="20"/>
                <w:lang w:val="fr-CH"/>
              </w:rPr>
              <w:t>-</w:t>
            </w:r>
            <w:r w:rsidRPr="00B2410C">
              <w:rPr>
                <w:rFonts w:ascii="Verdana" w:hAnsi="Verdana"/>
                <w:b/>
                <w:sz w:val="20"/>
                <w:lang w:val="fr-CH"/>
              </w:rPr>
              <w:t>F</w:t>
            </w:r>
          </w:p>
        </w:tc>
      </w:tr>
      <w:bookmarkEnd w:id="2"/>
      <w:tr w:rsidR="00690C7B" w:rsidRPr="00B2410C" w:rsidTr="00BB1D82">
        <w:trPr>
          <w:cantSplit/>
        </w:trPr>
        <w:tc>
          <w:tcPr>
            <w:tcW w:w="6911" w:type="dxa"/>
            <w:shd w:val="clear" w:color="auto" w:fill="auto"/>
          </w:tcPr>
          <w:p w:rsidR="00690C7B" w:rsidRPr="00B2410C" w:rsidRDefault="00690C7B" w:rsidP="00464B22">
            <w:pPr>
              <w:spacing w:before="0"/>
              <w:rPr>
                <w:rFonts w:ascii="Verdana" w:hAnsi="Verdana"/>
                <w:b/>
                <w:sz w:val="20"/>
                <w:lang w:val="fr-CH"/>
              </w:rPr>
            </w:pPr>
          </w:p>
        </w:tc>
        <w:tc>
          <w:tcPr>
            <w:tcW w:w="3120" w:type="dxa"/>
            <w:shd w:val="clear" w:color="auto" w:fill="auto"/>
          </w:tcPr>
          <w:p w:rsidR="00690C7B" w:rsidRPr="00B2410C" w:rsidRDefault="00170112" w:rsidP="00464B22">
            <w:pPr>
              <w:spacing w:before="0"/>
              <w:rPr>
                <w:rFonts w:ascii="Verdana" w:hAnsi="Verdana"/>
                <w:b/>
                <w:sz w:val="20"/>
                <w:lang w:val="fr-CH"/>
              </w:rPr>
            </w:pPr>
            <w:r w:rsidRPr="00B2410C">
              <w:rPr>
                <w:rFonts w:ascii="Verdana" w:hAnsi="Verdana"/>
                <w:b/>
                <w:sz w:val="20"/>
                <w:lang w:val="fr-CH"/>
              </w:rPr>
              <w:t>14</w:t>
            </w:r>
            <w:r w:rsidR="00690C7B" w:rsidRPr="00B2410C">
              <w:rPr>
                <w:rFonts w:ascii="Verdana" w:hAnsi="Verdana"/>
                <w:b/>
                <w:sz w:val="20"/>
                <w:lang w:val="fr-CH"/>
              </w:rPr>
              <w:t xml:space="preserve"> octobre 2015</w:t>
            </w:r>
          </w:p>
        </w:tc>
      </w:tr>
      <w:tr w:rsidR="00690C7B" w:rsidRPr="00B2410C" w:rsidTr="00BB1D82">
        <w:trPr>
          <w:cantSplit/>
        </w:trPr>
        <w:tc>
          <w:tcPr>
            <w:tcW w:w="6911" w:type="dxa"/>
          </w:tcPr>
          <w:p w:rsidR="00690C7B" w:rsidRPr="00B2410C" w:rsidRDefault="00690C7B" w:rsidP="00464B22">
            <w:pPr>
              <w:spacing w:before="0" w:after="48"/>
              <w:rPr>
                <w:rFonts w:ascii="Verdana" w:hAnsi="Verdana"/>
                <w:b/>
                <w:smallCaps/>
                <w:sz w:val="20"/>
                <w:lang w:val="fr-CH"/>
              </w:rPr>
            </w:pPr>
          </w:p>
        </w:tc>
        <w:tc>
          <w:tcPr>
            <w:tcW w:w="3120" w:type="dxa"/>
          </w:tcPr>
          <w:p w:rsidR="00690C7B" w:rsidRPr="00B2410C" w:rsidRDefault="00690C7B" w:rsidP="00464B22">
            <w:pPr>
              <w:spacing w:before="0"/>
              <w:rPr>
                <w:rFonts w:ascii="Verdana" w:hAnsi="Verdana"/>
                <w:b/>
                <w:sz w:val="20"/>
                <w:lang w:val="fr-CH"/>
              </w:rPr>
            </w:pPr>
            <w:r w:rsidRPr="00B2410C">
              <w:rPr>
                <w:rFonts w:ascii="Verdana" w:hAnsi="Verdana"/>
                <w:b/>
                <w:sz w:val="20"/>
                <w:lang w:val="fr-CH"/>
              </w:rPr>
              <w:t>Original: anglais</w:t>
            </w:r>
          </w:p>
        </w:tc>
      </w:tr>
      <w:tr w:rsidR="00690C7B" w:rsidRPr="00B2410C" w:rsidTr="00C11970">
        <w:trPr>
          <w:cantSplit/>
        </w:trPr>
        <w:tc>
          <w:tcPr>
            <w:tcW w:w="10031" w:type="dxa"/>
            <w:gridSpan w:val="2"/>
          </w:tcPr>
          <w:p w:rsidR="00690C7B" w:rsidRPr="00B2410C" w:rsidRDefault="00690C7B" w:rsidP="00464B22">
            <w:pPr>
              <w:spacing w:before="0"/>
              <w:rPr>
                <w:rFonts w:ascii="Verdana" w:hAnsi="Verdana"/>
                <w:b/>
                <w:sz w:val="20"/>
                <w:lang w:val="fr-CH"/>
              </w:rPr>
            </w:pPr>
          </w:p>
        </w:tc>
      </w:tr>
      <w:tr w:rsidR="00690C7B" w:rsidRPr="00B2410C" w:rsidTr="0050008E">
        <w:trPr>
          <w:cantSplit/>
        </w:trPr>
        <w:tc>
          <w:tcPr>
            <w:tcW w:w="10031" w:type="dxa"/>
            <w:gridSpan w:val="2"/>
          </w:tcPr>
          <w:p w:rsidR="00690C7B" w:rsidRPr="00B2410C" w:rsidRDefault="00690C7B" w:rsidP="00464B22">
            <w:pPr>
              <w:pStyle w:val="Source"/>
              <w:rPr>
                <w:lang w:val="fr-CH"/>
              </w:rPr>
            </w:pPr>
            <w:bookmarkStart w:id="3" w:name="dsource" w:colFirst="0" w:colLast="0"/>
            <w:r w:rsidRPr="00B2410C">
              <w:rPr>
                <w:lang w:val="fr-CH"/>
              </w:rPr>
              <w:t>Iran (République islamique d')</w:t>
            </w:r>
          </w:p>
        </w:tc>
      </w:tr>
      <w:tr w:rsidR="00690C7B" w:rsidRPr="00B2410C" w:rsidTr="0050008E">
        <w:trPr>
          <w:cantSplit/>
        </w:trPr>
        <w:tc>
          <w:tcPr>
            <w:tcW w:w="10031" w:type="dxa"/>
            <w:gridSpan w:val="2"/>
          </w:tcPr>
          <w:p w:rsidR="00690C7B" w:rsidRPr="00B2410C" w:rsidRDefault="00C56721" w:rsidP="00464B22">
            <w:pPr>
              <w:pStyle w:val="Title1"/>
              <w:rPr>
                <w:lang w:val="fr-CH"/>
              </w:rPr>
            </w:pPr>
            <w:bookmarkStart w:id="4" w:name="dtitle1" w:colFirst="0" w:colLast="0"/>
            <w:bookmarkEnd w:id="3"/>
            <w:r w:rsidRPr="00B2410C">
              <w:rPr>
                <w:lang w:val="fr-CH"/>
              </w:rPr>
              <w:t>propositi</w:t>
            </w:r>
            <w:r w:rsidR="00170112" w:rsidRPr="00B2410C">
              <w:rPr>
                <w:lang w:val="fr-CH"/>
              </w:rPr>
              <w:t>ons pour les travaux de la confé</w:t>
            </w:r>
            <w:r w:rsidRPr="00B2410C">
              <w:rPr>
                <w:lang w:val="fr-CH"/>
              </w:rPr>
              <w:t>rence</w:t>
            </w:r>
          </w:p>
        </w:tc>
      </w:tr>
      <w:tr w:rsidR="00690C7B" w:rsidRPr="00B2410C" w:rsidTr="0050008E">
        <w:trPr>
          <w:cantSplit/>
        </w:trPr>
        <w:tc>
          <w:tcPr>
            <w:tcW w:w="10031" w:type="dxa"/>
            <w:gridSpan w:val="2"/>
          </w:tcPr>
          <w:p w:rsidR="00690C7B" w:rsidRPr="00B2410C" w:rsidRDefault="00690C7B" w:rsidP="00464B22">
            <w:pPr>
              <w:pStyle w:val="Title2"/>
              <w:rPr>
                <w:lang w:val="fr-CH"/>
              </w:rPr>
            </w:pPr>
            <w:bookmarkStart w:id="5" w:name="dtitle2" w:colFirst="0" w:colLast="0"/>
            <w:bookmarkEnd w:id="4"/>
          </w:p>
        </w:tc>
      </w:tr>
      <w:tr w:rsidR="00690C7B" w:rsidRPr="00B2410C" w:rsidTr="0050008E">
        <w:trPr>
          <w:cantSplit/>
        </w:trPr>
        <w:tc>
          <w:tcPr>
            <w:tcW w:w="10031" w:type="dxa"/>
            <w:gridSpan w:val="2"/>
          </w:tcPr>
          <w:p w:rsidR="00690C7B" w:rsidRPr="00B2410C" w:rsidRDefault="00690C7B" w:rsidP="00464B22">
            <w:pPr>
              <w:pStyle w:val="Agendaitem"/>
            </w:pPr>
            <w:bookmarkStart w:id="6" w:name="dtitle3" w:colFirst="0" w:colLast="0"/>
            <w:bookmarkEnd w:id="5"/>
            <w:r w:rsidRPr="00B2410C">
              <w:t>Point 1.1 de l'ordre du jour</w:t>
            </w:r>
          </w:p>
        </w:tc>
      </w:tr>
    </w:tbl>
    <w:bookmarkEnd w:id="6"/>
    <w:p w:rsidR="001C0E40" w:rsidRPr="00B2410C" w:rsidRDefault="006A3B65" w:rsidP="00464B22">
      <w:pPr>
        <w:rPr>
          <w:lang w:val="fr-CH"/>
        </w:rPr>
      </w:pPr>
      <w:r w:rsidRPr="00B2410C">
        <w:rPr>
          <w:lang w:val="fr-CH"/>
        </w:rPr>
        <w:t>1.1</w:t>
      </w:r>
      <w:r w:rsidRPr="00B2410C">
        <w:rPr>
          <w:lang w:val="fr-CH"/>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B2410C">
        <w:rPr>
          <w:b/>
          <w:bCs/>
          <w:lang w:val="fr-CH"/>
        </w:rPr>
        <w:t>233 (CMR</w:t>
      </w:r>
      <w:r w:rsidRPr="00B2410C">
        <w:rPr>
          <w:b/>
          <w:bCs/>
          <w:lang w:val="fr-CH"/>
        </w:rPr>
        <w:noBreakHyphen/>
        <w:t>12)</w:t>
      </w:r>
      <w:r w:rsidRPr="00B2410C">
        <w:rPr>
          <w:lang w:val="fr-CH"/>
        </w:rPr>
        <w:t>;</w:t>
      </w:r>
    </w:p>
    <w:p w:rsidR="003A583E" w:rsidRPr="00B2410C" w:rsidRDefault="00C56721" w:rsidP="00464B22">
      <w:pPr>
        <w:pStyle w:val="Headingb"/>
        <w:rPr>
          <w:lang w:val="fr-CH"/>
        </w:rPr>
      </w:pPr>
      <w:r w:rsidRPr="00B2410C">
        <w:rPr>
          <w:lang w:val="fr-CH"/>
        </w:rPr>
        <w:t>Introduction</w:t>
      </w:r>
    </w:p>
    <w:p w:rsidR="00C56721" w:rsidRPr="00B2410C" w:rsidRDefault="00194838" w:rsidP="003026CA">
      <w:pPr>
        <w:rPr>
          <w:spacing w:val="-1"/>
          <w:szCs w:val="24"/>
          <w:lang w:val="fr-CH"/>
        </w:rPr>
      </w:pPr>
      <w:r w:rsidRPr="00B2410C">
        <w:rPr>
          <w:lang w:val="fr-CH"/>
        </w:rPr>
        <w:t>Le</w:t>
      </w:r>
      <w:r w:rsidR="00C56721" w:rsidRPr="00B2410C">
        <w:rPr>
          <w:lang w:val="fr-CH"/>
        </w:rPr>
        <w:t xml:space="preserve"> </w:t>
      </w:r>
      <w:r w:rsidRPr="00B2410C">
        <w:rPr>
          <w:lang w:val="fr-CH"/>
        </w:rPr>
        <w:t>GAM</w:t>
      </w:r>
      <w:r w:rsidR="00C56721" w:rsidRPr="00B2410C">
        <w:rPr>
          <w:lang w:val="fr-CH"/>
        </w:rPr>
        <w:t xml:space="preserve"> 4-5-6-7 </w:t>
      </w:r>
      <w:r w:rsidRPr="00B2410C">
        <w:rPr>
          <w:color w:val="000000"/>
          <w:lang w:val="fr-CH"/>
        </w:rPr>
        <w:t>de l'UIT-R a achevé les études techniques et réglementaires ainsi que l’élaboration des méthodes correspondantes concernant 19 ba</w:t>
      </w:r>
      <w:r w:rsidR="00170112" w:rsidRPr="00B2410C">
        <w:rPr>
          <w:color w:val="000000"/>
          <w:lang w:val="fr-CH"/>
        </w:rPr>
        <w:t>ndes de fréquences différentes,</w:t>
      </w:r>
      <w:r w:rsidRPr="00B2410C">
        <w:rPr>
          <w:color w:val="000000"/>
          <w:lang w:val="fr-CH"/>
        </w:rPr>
        <w:t xml:space="preserve"> au</w:t>
      </w:r>
      <w:r w:rsidR="008C2B1E">
        <w:rPr>
          <w:color w:val="000000"/>
          <w:lang w:val="fr-CH"/>
        </w:rPr>
        <w:t xml:space="preserve"> titre du point 1.1 de l'</w:t>
      </w:r>
      <w:r w:rsidRPr="00B2410C">
        <w:rPr>
          <w:color w:val="000000"/>
          <w:lang w:val="fr-CH"/>
        </w:rPr>
        <w:t>ordre du jour de la CMR</w:t>
      </w:r>
      <w:r w:rsidR="003026CA">
        <w:rPr>
          <w:color w:val="000000"/>
          <w:lang w:val="fr-CH"/>
        </w:rPr>
        <w:noBreakHyphen/>
      </w:r>
      <w:r w:rsidRPr="00B2410C">
        <w:rPr>
          <w:color w:val="000000"/>
          <w:lang w:val="fr-CH"/>
        </w:rPr>
        <w:t xml:space="preserve">15, conformément à la </w:t>
      </w:r>
      <w:r w:rsidR="00C56721" w:rsidRPr="00B2410C">
        <w:rPr>
          <w:color w:val="000000"/>
          <w:lang w:val="fr-CH"/>
        </w:rPr>
        <w:t>R</w:t>
      </w:r>
      <w:r w:rsidR="00170112" w:rsidRPr="00B2410C">
        <w:rPr>
          <w:color w:val="000000"/>
          <w:lang w:val="fr-CH"/>
        </w:rPr>
        <w:t>é</w:t>
      </w:r>
      <w:r w:rsidR="00C56721" w:rsidRPr="00B2410C">
        <w:rPr>
          <w:color w:val="000000"/>
          <w:lang w:val="fr-CH"/>
        </w:rPr>
        <w:t>solution</w:t>
      </w:r>
      <w:r w:rsidR="00C56721" w:rsidRPr="00B2410C">
        <w:rPr>
          <w:rFonts w:ascii="Palatino Linotype" w:eastAsia="Palatino Linotype" w:hAnsi="Palatino Linotype" w:cs="Palatino Linotype"/>
          <w:spacing w:val="-12"/>
          <w:szCs w:val="24"/>
          <w:lang w:val="fr-CH"/>
        </w:rPr>
        <w:t xml:space="preserve"> </w:t>
      </w:r>
      <w:r w:rsidR="00C56721" w:rsidRPr="00B2410C">
        <w:rPr>
          <w:szCs w:val="24"/>
          <w:lang w:val="fr-CH"/>
        </w:rPr>
        <w:t>233</w:t>
      </w:r>
      <w:r w:rsidR="00C56721" w:rsidRPr="00B2410C">
        <w:rPr>
          <w:spacing w:val="-11"/>
          <w:szCs w:val="24"/>
          <w:lang w:val="fr-CH"/>
        </w:rPr>
        <w:t xml:space="preserve"> </w:t>
      </w:r>
      <w:r w:rsidR="00C56721" w:rsidRPr="00B2410C">
        <w:rPr>
          <w:szCs w:val="24"/>
          <w:lang w:val="fr-CH"/>
        </w:rPr>
        <w:t>(</w:t>
      </w:r>
      <w:r w:rsidRPr="00B2410C">
        <w:rPr>
          <w:szCs w:val="24"/>
          <w:lang w:val="fr-CH"/>
        </w:rPr>
        <w:t>CMR</w:t>
      </w:r>
      <w:r w:rsidR="00C56721" w:rsidRPr="00B2410C">
        <w:rPr>
          <w:spacing w:val="-1"/>
          <w:szCs w:val="24"/>
          <w:lang w:val="fr-CH"/>
        </w:rPr>
        <w:t>-</w:t>
      </w:r>
      <w:r w:rsidR="00C56721" w:rsidRPr="00B2410C">
        <w:rPr>
          <w:szCs w:val="24"/>
          <w:lang w:val="fr-CH"/>
        </w:rPr>
        <w:t>12</w:t>
      </w:r>
      <w:r w:rsidR="00C56721" w:rsidRPr="00B2410C">
        <w:rPr>
          <w:spacing w:val="-1"/>
          <w:szCs w:val="24"/>
          <w:lang w:val="fr-CH"/>
        </w:rPr>
        <w:t xml:space="preserve">). </w:t>
      </w:r>
      <w:r w:rsidR="00170112" w:rsidRPr="00B2410C">
        <w:rPr>
          <w:spacing w:val="-1"/>
          <w:szCs w:val="24"/>
          <w:lang w:val="fr-CH"/>
        </w:rPr>
        <w:t>Le R</w:t>
      </w:r>
      <w:r w:rsidRPr="00B2410C">
        <w:rPr>
          <w:spacing w:val="-1"/>
          <w:szCs w:val="24"/>
          <w:lang w:val="fr-CH"/>
        </w:rPr>
        <w:t>apport de la RPC contient des méthodes proposées et des références croisées aux élément</w:t>
      </w:r>
      <w:r w:rsidR="003026CA">
        <w:rPr>
          <w:spacing w:val="-1"/>
          <w:szCs w:val="24"/>
          <w:lang w:val="fr-CH"/>
        </w:rPr>
        <w:t>s d’information correspondants</w:t>
      </w:r>
      <w:r w:rsidR="00C56721" w:rsidRPr="00B2410C">
        <w:rPr>
          <w:spacing w:val="-1"/>
          <w:szCs w:val="24"/>
          <w:lang w:val="fr-CH"/>
        </w:rPr>
        <w:t>.</w:t>
      </w:r>
    </w:p>
    <w:p w:rsidR="00C56721" w:rsidRPr="00B2410C" w:rsidRDefault="00194838" w:rsidP="00794026">
      <w:pPr>
        <w:rPr>
          <w:lang w:val="fr-CH"/>
        </w:rPr>
      </w:pPr>
      <w:r w:rsidRPr="00B2410C">
        <w:rPr>
          <w:lang w:val="fr-CH"/>
        </w:rPr>
        <w:t>L</w:t>
      </w:r>
      <w:r w:rsidR="00794026" w:rsidRPr="00B2410C">
        <w:rPr>
          <w:lang w:val="fr-CH"/>
        </w:rPr>
        <w:t>'</w:t>
      </w:r>
      <w:r w:rsidRPr="00B2410C">
        <w:rPr>
          <w:lang w:val="fr-CH"/>
        </w:rPr>
        <w:t>Administration de la République islamique d</w:t>
      </w:r>
      <w:r w:rsidR="00794026" w:rsidRPr="00B2410C">
        <w:rPr>
          <w:lang w:val="fr-CH"/>
        </w:rPr>
        <w:t>'</w:t>
      </w:r>
      <w:r w:rsidRPr="00B2410C">
        <w:rPr>
          <w:lang w:val="fr-CH"/>
        </w:rPr>
        <w:t>Iran</w:t>
      </w:r>
      <w:r w:rsidR="00170112" w:rsidRPr="00B2410C">
        <w:rPr>
          <w:lang w:val="fr-CH"/>
        </w:rPr>
        <w:t xml:space="preserve"> a participé</w:t>
      </w:r>
      <w:r w:rsidRPr="00B2410C">
        <w:rPr>
          <w:lang w:val="fr-CH"/>
        </w:rPr>
        <w:t xml:space="preserve"> à toutes les réunions régionales concernées ainsi qu</w:t>
      </w:r>
      <w:r w:rsidR="00794026" w:rsidRPr="00B2410C">
        <w:rPr>
          <w:lang w:val="fr-CH"/>
        </w:rPr>
        <w:t>'</w:t>
      </w:r>
      <w:r w:rsidRPr="00B2410C">
        <w:rPr>
          <w:lang w:val="fr-CH"/>
        </w:rPr>
        <w:t>à toutes les réunions du GAM</w:t>
      </w:r>
      <w:r w:rsidR="00C56721" w:rsidRPr="00B2410C">
        <w:rPr>
          <w:lang w:val="fr-CH"/>
        </w:rPr>
        <w:t xml:space="preserve"> 4-5-6-7 </w:t>
      </w:r>
      <w:r w:rsidRPr="00B2410C">
        <w:rPr>
          <w:lang w:val="fr-CH"/>
        </w:rPr>
        <w:t>et a souscrit aux propositions communes de l</w:t>
      </w:r>
      <w:r w:rsidR="00794026" w:rsidRPr="00B2410C">
        <w:rPr>
          <w:lang w:val="fr-CH"/>
        </w:rPr>
        <w:t>'</w:t>
      </w:r>
      <w:r w:rsidR="00C56721" w:rsidRPr="00B2410C">
        <w:rPr>
          <w:lang w:val="fr-CH"/>
        </w:rPr>
        <w:t xml:space="preserve"> APT</w:t>
      </w:r>
      <w:r w:rsidRPr="00B2410C">
        <w:rPr>
          <w:lang w:val="fr-CH"/>
        </w:rPr>
        <w:t xml:space="preserve"> dans les bandes de fréquences </w:t>
      </w:r>
      <w:r w:rsidR="00C56721" w:rsidRPr="00B2410C">
        <w:rPr>
          <w:lang w:val="fr-CH"/>
        </w:rPr>
        <w:t>470-694/698 MHz, 1 518-1 525</w:t>
      </w:r>
      <w:r w:rsidR="00A60C26">
        <w:rPr>
          <w:lang w:val="fr-CH"/>
        </w:rPr>
        <w:t xml:space="preserve"> MHz</w:t>
      </w:r>
      <w:r w:rsidR="00C56721" w:rsidRPr="00B2410C">
        <w:rPr>
          <w:lang w:val="fr-CH"/>
        </w:rPr>
        <w:t>, 1 695-1 710</w:t>
      </w:r>
      <w:r w:rsidR="00A60C26">
        <w:rPr>
          <w:lang w:val="fr-CH"/>
        </w:rPr>
        <w:t xml:space="preserve"> MHz</w:t>
      </w:r>
      <w:r w:rsidR="008C2B1E">
        <w:rPr>
          <w:lang w:val="fr-CH"/>
        </w:rPr>
        <w:t>, 2 700</w:t>
      </w:r>
      <w:r w:rsidR="008C2B1E">
        <w:rPr>
          <w:lang w:val="fr-CH"/>
        </w:rPr>
        <w:noBreakHyphen/>
      </w:r>
      <w:r w:rsidR="00C56721" w:rsidRPr="00B2410C">
        <w:rPr>
          <w:lang w:val="fr-CH"/>
        </w:rPr>
        <w:t xml:space="preserve">2 900 MHz, 3 400-3 600 MHz, 3 600-3 700 MHz, 3 700-3 800 MHz, 3 800-4 200 MHz, 4 500-4 800 MHz, 5 350-5 470 MHz, 5 725-5 850 MHz and 5 925-6 425 MHz. </w:t>
      </w:r>
      <w:r w:rsidR="008C2B1E">
        <w:rPr>
          <w:lang w:val="fr-CH"/>
        </w:rPr>
        <w:t>On trouvera ci</w:t>
      </w:r>
      <w:r w:rsidR="008C2B1E">
        <w:rPr>
          <w:lang w:val="fr-CH"/>
        </w:rPr>
        <w:noBreakHyphen/>
      </w:r>
      <w:r w:rsidRPr="00B2410C">
        <w:rPr>
          <w:lang w:val="fr-CH"/>
        </w:rPr>
        <w:t>après des propositions concernant les bandes de fréquences</w:t>
      </w:r>
      <w:r w:rsidR="00794026" w:rsidRPr="00B2410C">
        <w:rPr>
          <w:lang w:val="fr-CH"/>
        </w:rPr>
        <w:t xml:space="preserve"> </w:t>
      </w:r>
      <w:r w:rsidR="00C56721" w:rsidRPr="00B2410C">
        <w:rPr>
          <w:lang w:val="fr-CH"/>
        </w:rPr>
        <w:t>1 427-1 452 MHz, 1 452-1 492 MHz, 1 492-1 518 MHz, 3 300-3 400 MHz, 4 400-4 500</w:t>
      </w:r>
      <w:r w:rsidR="00A60C26">
        <w:rPr>
          <w:lang w:val="fr-CH"/>
        </w:rPr>
        <w:t xml:space="preserve"> MHz</w:t>
      </w:r>
      <w:r w:rsidR="00794026" w:rsidRPr="00B2410C">
        <w:rPr>
          <w:lang w:val="fr-CH"/>
        </w:rPr>
        <w:t xml:space="preserve"> </w:t>
      </w:r>
      <w:r w:rsidRPr="00B2410C">
        <w:rPr>
          <w:lang w:val="fr-CH"/>
        </w:rPr>
        <w:t>et</w:t>
      </w:r>
      <w:r w:rsidR="00794026" w:rsidRPr="00B2410C">
        <w:rPr>
          <w:lang w:val="fr-CH"/>
        </w:rPr>
        <w:t xml:space="preserve"> </w:t>
      </w:r>
      <w:r w:rsidR="00C56721" w:rsidRPr="00B2410C">
        <w:rPr>
          <w:lang w:val="fr-CH"/>
        </w:rPr>
        <w:t xml:space="preserve">4 800-4 990 MHz. </w:t>
      </w:r>
    </w:p>
    <w:p w:rsidR="00C56721" w:rsidRPr="00B2410C" w:rsidRDefault="00C56721" w:rsidP="00464B22">
      <w:pPr>
        <w:pStyle w:val="Headingb"/>
        <w:rPr>
          <w:lang w:val="fr-CH"/>
        </w:rPr>
      </w:pPr>
      <w:r w:rsidRPr="00B2410C">
        <w:rPr>
          <w:lang w:val="fr-CH"/>
        </w:rPr>
        <w:t>Propositions</w:t>
      </w:r>
    </w:p>
    <w:p w:rsidR="00C56721" w:rsidRPr="00B2410C" w:rsidRDefault="00C56721" w:rsidP="00464B22">
      <w:pPr>
        <w:rPr>
          <w:lang w:val="fr-CH"/>
        </w:rPr>
      </w:pPr>
    </w:p>
    <w:p w:rsidR="0015203F" w:rsidRPr="00B2410C" w:rsidRDefault="0015203F" w:rsidP="00464B22">
      <w:pPr>
        <w:tabs>
          <w:tab w:val="clear" w:pos="1134"/>
          <w:tab w:val="clear" w:pos="1871"/>
          <w:tab w:val="clear" w:pos="2268"/>
        </w:tabs>
        <w:overflowPunct/>
        <w:autoSpaceDE/>
        <w:autoSpaceDN/>
        <w:adjustRightInd/>
        <w:spacing w:before="0"/>
        <w:textAlignment w:val="auto"/>
        <w:rPr>
          <w:lang w:val="fr-CH"/>
        </w:rPr>
      </w:pPr>
      <w:r w:rsidRPr="00B2410C">
        <w:rPr>
          <w:lang w:val="fr-CH"/>
        </w:rPr>
        <w:br w:type="page"/>
      </w:r>
    </w:p>
    <w:p w:rsidR="004A6A8C" w:rsidRPr="00B2410C" w:rsidRDefault="006A3B65" w:rsidP="00464B22">
      <w:pPr>
        <w:pStyle w:val="ArtNo"/>
        <w:rPr>
          <w:lang w:val="fr-CH"/>
        </w:rPr>
      </w:pPr>
      <w:r w:rsidRPr="00B2410C">
        <w:rPr>
          <w:lang w:val="fr-CH"/>
        </w:rPr>
        <w:lastRenderedPageBreak/>
        <w:t xml:space="preserve">ARTICLE </w:t>
      </w:r>
      <w:r w:rsidRPr="00B2410C">
        <w:rPr>
          <w:rStyle w:val="href"/>
          <w:color w:val="000000"/>
          <w:lang w:val="fr-CH"/>
        </w:rPr>
        <w:t>5</w:t>
      </w:r>
    </w:p>
    <w:p w:rsidR="004A6A8C" w:rsidRPr="00B2410C" w:rsidRDefault="006A3B65" w:rsidP="00464B22">
      <w:pPr>
        <w:pStyle w:val="Arttitle"/>
        <w:rPr>
          <w:lang w:val="fr-CH"/>
        </w:rPr>
      </w:pPr>
      <w:r w:rsidRPr="00B2410C">
        <w:rPr>
          <w:lang w:val="fr-CH"/>
        </w:rPr>
        <w:t>Attribution des bandes de fréquences</w:t>
      </w:r>
    </w:p>
    <w:p w:rsidR="004A6A8C" w:rsidRPr="00B2410C" w:rsidRDefault="006A3B65" w:rsidP="00464B22">
      <w:pPr>
        <w:pStyle w:val="Section1"/>
        <w:keepNext/>
        <w:rPr>
          <w:lang w:val="fr-CH"/>
        </w:rPr>
      </w:pPr>
      <w:r w:rsidRPr="00B2410C">
        <w:rPr>
          <w:lang w:val="fr-CH"/>
        </w:rPr>
        <w:t>Section IV – Tableau d'attribution des bandes de fréquences</w:t>
      </w:r>
      <w:r w:rsidRPr="00B2410C">
        <w:rPr>
          <w:lang w:val="fr-CH"/>
        </w:rPr>
        <w:br/>
      </w:r>
      <w:r w:rsidRPr="00B2410C">
        <w:rPr>
          <w:b w:val="0"/>
          <w:bCs/>
          <w:lang w:val="fr-CH"/>
        </w:rPr>
        <w:t>(Voir le numéro</w:t>
      </w:r>
      <w:r w:rsidRPr="00B2410C">
        <w:rPr>
          <w:lang w:val="fr-CH"/>
        </w:rPr>
        <w:t xml:space="preserve"> 2.1</w:t>
      </w:r>
      <w:r w:rsidRPr="00B2410C">
        <w:rPr>
          <w:b w:val="0"/>
          <w:bCs/>
          <w:lang w:val="fr-CH"/>
        </w:rPr>
        <w:t>)</w:t>
      </w:r>
      <w:r w:rsidRPr="00B2410C">
        <w:rPr>
          <w:b w:val="0"/>
          <w:color w:val="000000"/>
          <w:lang w:val="fr-CH"/>
        </w:rPr>
        <w:br/>
      </w:r>
      <w:r w:rsidRPr="00B2410C">
        <w:rPr>
          <w:b w:val="0"/>
          <w:color w:val="000000"/>
          <w:lang w:val="fr-CH"/>
        </w:rPr>
        <w:br/>
      </w:r>
    </w:p>
    <w:p w:rsidR="004E7EF3" w:rsidRPr="00B2410C" w:rsidRDefault="006A3B65" w:rsidP="00464B22">
      <w:pPr>
        <w:pStyle w:val="Proposal"/>
        <w:rPr>
          <w:lang w:val="fr-CH"/>
        </w:rPr>
      </w:pPr>
      <w:r w:rsidRPr="00B2410C">
        <w:rPr>
          <w:u w:val="single"/>
          <w:lang w:val="fr-CH"/>
        </w:rPr>
        <w:t>NOC</w:t>
      </w:r>
      <w:r w:rsidRPr="00B2410C">
        <w:rPr>
          <w:lang w:val="fr-CH"/>
        </w:rPr>
        <w:tab/>
        <w:t>IRN/61A1/1</w:t>
      </w:r>
    </w:p>
    <w:p w:rsidR="004A6A8C" w:rsidRPr="00B2410C" w:rsidRDefault="006A3B65" w:rsidP="00464B22">
      <w:pPr>
        <w:pStyle w:val="Tabletitle"/>
        <w:rPr>
          <w:color w:val="000000"/>
          <w:lang w:val="fr-CH"/>
        </w:rPr>
      </w:pPr>
      <w:r w:rsidRPr="00B2410C">
        <w:rPr>
          <w:color w:val="000000"/>
          <w:lang w:val="fr-CH"/>
        </w:rPr>
        <w:t>1</w:t>
      </w:r>
      <w:r w:rsidRPr="00B2410C">
        <w:rPr>
          <w:rFonts w:ascii="Tms Rmn" w:hAnsi="Tms Rmn"/>
          <w:color w:val="000000"/>
          <w:sz w:val="12"/>
          <w:lang w:val="fr-CH"/>
        </w:rPr>
        <w:t> </w:t>
      </w:r>
      <w:r w:rsidRPr="00B2410C">
        <w:rPr>
          <w:color w:val="000000"/>
          <w:lang w:val="fr-CH"/>
        </w:rPr>
        <w:t>300-1</w:t>
      </w:r>
      <w:r w:rsidRPr="00B2410C">
        <w:rPr>
          <w:rFonts w:ascii="Tms Rmn" w:hAnsi="Tms Rmn"/>
          <w:color w:val="000000"/>
          <w:sz w:val="12"/>
          <w:lang w:val="fr-CH"/>
        </w:rPr>
        <w:t> </w:t>
      </w:r>
      <w:r w:rsidRPr="00B2410C">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09"/>
        <w:gridCol w:w="109"/>
        <w:gridCol w:w="3119"/>
      </w:tblGrid>
      <w:tr w:rsidR="004A6A8C" w:rsidRPr="00B2410C" w:rsidTr="00D94B99">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lang w:val="fr-CH"/>
              </w:rPr>
            </w:pPr>
            <w:r w:rsidRPr="00B2410C">
              <w:rPr>
                <w:lang w:val="fr-CH"/>
              </w:rPr>
              <w:t>Attribution aux services</w:t>
            </w:r>
          </w:p>
        </w:tc>
      </w:tr>
      <w:tr w:rsidR="004A6A8C" w:rsidRPr="00B2410C" w:rsidTr="00D94B99">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1</w:t>
            </w:r>
          </w:p>
        </w:tc>
        <w:tc>
          <w:tcPr>
            <w:tcW w:w="3118" w:type="dxa"/>
            <w:gridSpan w:val="2"/>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2</w:t>
            </w:r>
          </w:p>
        </w:tc>
        <w:tc>
          <w:tcPr>
            <w:tcW w:w="3119"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3</w:t>
            </w:r>
          </w:p>
        </w:tc>
      </w:tr>
      <w:tr w:rsidR="004A6A8C" w:rsidRPr="00B2410C" w:rsidTr="00D94B99">
        <w:trPr>
          <w:cantSplit/>
          <w:jc w:val="center"/>
        </w:trPr>
        <w:tc>
          <w:tcPr>
            <w:tcW w:w="9356" w:type="dxa"/>
            <w:gridSpan w:val="4"/>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1 427-1 429</w:t>
            </w:r>
            <w:r w:rsidRPr="00B2410C">
              <w:rPr>
                <w:color w:val="000000"/>
                <w:lang w:val="fr-CH"/>
              </w:rPr>
              <w:tab/>
              <w:t>EXPLOITATION SPATIALE (Terre vers espace)</w:t>
            </w:r>
          </w:p>
          <w:p w:rsidR="004A6A8C" w:rsidRPr="00B2410C" w:rsidRDefault="006A3B65" w:rsidP="00464B22">
            <w:pPr>
              <w:pStyle w:val="TableTextS5"/>
              <w:rPr>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t>FIXE</w:t>
            </w:r>
          </w:p>
          <w:p w:rsidR="004A6A8C" w:rsidRPr="00B2410C" w:rsidRDefault="006A3B65" w:rsidP="00464B22">
            <w:pPr>
              <w:pStyle w:val="TableTextS5"/>
              <w:rPr>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t>MOBILE sauf mobile aéronautique</w:t>
            </w:r>
          </w:p>
          <w:p w:rsidR="004A6A8C" w:rsidRPr="00B2410C" w:rsidRDefault="006A3B65" w:rsidP="00464B22">
            <w:pPr>
              <w:pStyle w:val="TableTextS5"/>
              <w:tabs>
                <w:tab w:val="clear" w:pos="170"/>
                <w:tab w:val="clear" w:pos="567"/>
                <w:tab w:val="clear" w:pos="737"/>
                <w:tab w:val="clear" w:pos="3266"/>
              </w:tabs>
              <w:rPr>
                <w:color w:val="000000"/>
                <w:lang w:val="fr-CH"/>
              </w:rPr>
            </w:pPr>
            <w:r w:rsidRPr="00B2410C">
              <w:rPr>
                <w:color w:val="000000"/>
                <w:lang w:val="fr-CH"/>
              </w:rPr>
              <w:tab/>
              <w:t xml:space="preserve">5.338A  </w:t>
            </w:r>
            <w:r w:rsidRPr="00B2410C">
              <w:rPr>
                <w:lang w:val="fr-CH"/>
              </w:rPr>
              <w:t>5.341</w:t>
            </w:r>
          </w:p>
        </w:tc>
      </w:tr>
      <w:tr w:rsidR="004A6A8C" w:rsidRPr="00B2410C" w:rsidTr="00D94B99">
        <w:trPr>
          <w:cantSplit/>
          <w:jc w:val="center"/>
        </w:trPr>
        <w:tc>
          <w:tcPr>
            <w:tcW w:w="3119" w:type="dxa"/>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1 429-1 452</w:t>
            </w:r>
          </w:p>
          <w:p w:rsidR="004A6A8C" w:rsidRPr="00B2410C" w:rsidRDefault="006A3B65" w:rsidP="00464B22">
            <w:pPr>
              <w:pStyle w:val="TableTextS5"/>
              <w:rPr>
                <w:color w:val="000000"/>
                <w:lang w:val="fr-CH"/>
              </w:rPr>
            </w:pPr>
            <w:r w:rsidRPr="00B2410C">
              <w:rPr>
                <w:color w:val="000000"/>
                <w:lang w:val="fr-CH"/>
              </w:rPr>
              <w:t>FIXE</w:t>
            </w:r>
          </w:p>
          <w:p w:rsidR="004A6A8C" w:rsidRPr="00B2410C" w:rsidRDefault="006A3B65" w:rsidP="00464B22">
            <w:pPr>
              <w:pStyle w:val="TableTextS5"/>
              <w:rPr>
                <w:color w:val="000000"/>
                <w:lang w:val="fr-CH"/>
              </w:rPr>
            </w:pPr>
            <w:r w:rsidRPr="00B2410C">
              <w:rPr>
                <w:color w:val="000000"/>
                <w:lang w:val="fr-CH"/>
              </w:rPr>
              <w:t>MOBILE sauf mobile aéronautique</w:t>
            </w:r>
          </w:p>
        </w:tc>
        <w:tc>
          <w:tcPr>
            <w:tcW w:w="6237" w:type="dxa"/>
            <w:gridSpan w:val="3"/>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1 429-1 452</w:t>
            </w:r>
          </w:p>
          <w:p w:rsidR="004A6A8C" w:rsidRPr="00B2410C" w:rsidRDefault="006A3B65" w:rsidP="00464B22">
            <w:pPr>
              <w:pStyle w:val="TableTextS5"/>
              <w:tabs>
                <w:tab w:val="clear" w:pos="170"/>
                <w:tab w:val="clear" w:pos="737"/>
                <w:tab w:val="clear" w:pos="2977"/>
                <w:tab w:val="clear" w:pos="3266"/>
              </w:tabs>
              <w:rPr>
                <w:color w:val="000000"/>
                <w:lang w:val="fr-CH"/>
              </w:rPr>
            </w:pPr>
            <w:r w:rsidRPr="00B2410C">
              <w:rPr>
                <w:color w:val="000000"/>
                <w:lang w:val="fr-CH"/>
              </w:rPr>
              <w:tab/>
              <w:t>FIXE</w:t>
            </w:r>
          </w:p>
          <w:p w:rsidR="004A6A8C" w:rsidRPr="00B2410C" w:rsidRDefault="006A3B65" w:rsidP="00464B22">
            <w:pPr>
              <w:pStyle w:val="TableTextS5"/>
              <w:tabs>
                <w:tab w:val="clear" w:pos="170"/>
                <w:tab w:val="clear" w:pos="737"/>
                <w:tab w:val="clear" w:pos="2977"/>
                <w:tab w:val="clear" w:pos="3266"/>
              </w:tabs>
              <w:rPr>
                <w:color w:val="000000"/>
                <w:lang w:val="fr-CH"/>
              </w:rPr>
            </w:pPr>
            <w:r w:rsidRPr="00B2410C">
              <w:rPr>
                <w:color w:val="000000"/>
                <w:lang w:val="fr-CH"/>
              </w:rPr>
              <w:tab/>
              <w:t xml:space="preserve">MOBILE  </w:t>
            </w:r>
            <w:r w:rsidRPr="00B2410C">
              <w:rPr>
                <w:lang w:val="fr-CH"/>
              </w:rPr>
              <w:t>5.343</w:t>
            </w:r>
          </w:p>
        </w:tc>
      </w:tr>
      <w:tr w:rsidR="004A6A8C" w:rsidRPr="00B2410C" w:rsidTr="00D94B99">
        <w:trPr>
          <w:cantSplit/>
          <w:jc w:val="center"/>
        </w:trPr>
        <w:tc>
          <w:tcPr>
            <w:tcW w:w="3119" w:type="dxa"/>
            <w:tcBorders>
              <w:left w:val="single" w:sz="6" w:space="0" w:color="auto"/>
              <w:bottom w:val="single" w:sz="6" w:space="0" w:color="auto"/>
              <w:right w:val="single" w:sz="6" w:space="0" w:color="auto"/>
            </w:tcBorders>
          </w:tcPr>
          <w:p w:rsidR="004A6A8C" w:rsidRPr="00B2410C" w:rsidRDefault="006A3B65" w:rsidP="00464B22">
            <w:pPr>
              <w:pStyle w:val="TableTextS5"/>
              <w:rPr>
                <w:rStyle w:val="Tablefreq"/>
                <w:color w:val="000000"/>
                <w:lang w:val="fr-CH"/>
              </w:rPr>
            </w:pPr>
            <w:r w:rsidRPr="00B2410C">
              <w:rPr>
                <w:lang w:val="fr-CH"/>
              </w:rPr>
              <w:t>5.338A</w:t>
            </w:r>
            <w:r w:rsidRPr="00B2410C">
              <w:rPr>
                <w:color w:val="000000"/>
                <w:lang w:val="fr-CH"/>
              </w:rPr>
              <w:t xml:space="preserve">  </w:t>
            </w:r>
            <w:r w:rsidRPr="00B2410C">
              <w:rPr>
                <w:lang w:val="fr-CH"/>
              </w:rPr>
              <w:t>5.341</w:t>
            </w:r>
            <w:r w:rsidRPr="00B2410C">
              <w:rPr>
                <w:color w:val="000000"/>
                <w:lang w:val="fr-CH"/>
              </w:rPr>
              <w:t xml:space="preserve">  </w:t>
            </w:r>
            <w:r w:rsidRPr="00B2410C">
              <w:rPr>
                <w:lang w:val="fr-CH"/>
              </w:rPr>
              <w:t>5.342</w:t>
            </w:r>
          </w:p>
        </w:tc>
        <w:tc>
          <w:tcPr>
            <w:tcW w:w="6237" w:type="dxa"/>
            <w:gridSpan w:val="3"/>
            <w:tcBorders>
              <w:left w:val="single" w:sz="6" w:space="0" w:color="auto"/>
              <w:bottom w:val="single" w:sz="6" w:space="0" w:color="auto"/>
              <w:right w:val="single" w:sz="6" w:space="0" w:color="auto"/>
            </w:tcBorders>
          </w:tcPr>
          <w:p w:rsidR="004A6A8C" w:rsidRPr="00B2410C" w:rsidRDefault="006A3B65" w:rsidP="00464B22">
            <w:pPr>
              <w:pStyle w:val="TableTextS5"/>
              <w:tabs>
                <w:tab w:val="clear" w:pos="170"/>
                <w:tab w:val="clear" w:pos="737"/>
                <w:tab w:val="clear" w:pos="2977"/>
                <w:tab w:val="clear" w:pos="3266"/>
              </w:tabs>
              <w:rPr>
                <w:rStyle w:val="Tablefreq"/>
                <w:color w:val="000000"/>
                <w:lang w:val="fr-CH"/>
              </w:rPr>
            </w:pPr>
            <w:r w:rsidRPr="00B2410C">
              <w:rPr>
                <w:color w:val="000000"/>
                <w:lang w:val="fr-CH"/>
              </w:rPr>
              <w:tab/>
            </w:r>
            <w:r w:rsidRPr="00B2410C">
              <w:rPr>
                <w:lang w:val="fr-CH"/>
              </w:rPr>
              <w:t>5.338A</w:t>
            </w:r>
            <w:r w:rsidRPr="00B2410C">
              <w:rPr>
                <w:color w:val="000000"/>
                <w:lang w:val="fr-CH"/>
              </w:rPr>
              <w:t xml:space="preserve">  </w:t>
            </w:r>
            <w:r w:rsidRPr="00B2410C">
              <w:rPr>
                <w:lang w:val="fr-CH"/>
              </w:rPr>
              <w:t>5.341</w:t>
            </w:r>
          </w:p>
        </w:tc>
      </w:tr>
      <w:tr w:rsidR="004A6A8C" w:rsidRPr="00B2410C" w:rsidTr="00D94B99">
        <w:trPr>
          <w:cantSplit/>
          <w:jc w:val="center"/>
        </w:trPr>
        <w:tc>
          <w:tcPr>
            <w:tcW w:w="3119" w:type="dxa"/>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1 452-1 492</w:t>
            </w:r>
          </w:p>
          <w:p w:rsidR="004A6A8C" w:rsidRPr="00B2410C" w:rsidRDefault="006A3B65" w:rsidP="00464B22">
            <w:pPr>
              <w:pStyle w:val="TableTextS5"/>
              <w:rPr>
                <w:color w:val="000000"/>
                <w:lang w:val="fr-CH"/>
              </w:rPr>
            </w:pPr>
            <w:r w:rsidRPr="00B2410C">
              <w:rPr>
                <w:color w:val="000000"/>
                <w:lang w:val="fr-CH"/>
              </w:rPr>
              <w:t>FIXE</w:t>
            </w:r>
          </w:p>
          <w:p w:rsidR="004A6A8C" w:rsidRPr="00B2410C" w:rsidRDefault="006A3B65" w:rsidP="00464B22">
            <w:pPr>
              <w:pStyle w:val="TableTextS5"/>
              <w:rPr>
                <w:color w:val="000000"/>
                <w:lang w:val="fr-CH"/>
              </w:rPr>
            </w:pPr>
            <w:r w:rsidRPr="00B2410C">
              <w:rPr>
                <w:color w:val="000000"/>
                <w:lang w:val="fr-CH"/>
              </w:rPr>
              <w:t>MOBILE sauf mobile aéronautique</w:t>
            </w:r>
          </w:p>
          <w:p w:rsidR="004A6A8C" w:rsidRPr="00B2410C" w:rsidRDefault="006A3B65" w:rsidP="00464B22">
            <w:pPr>
              <w:pStyle w:val="TableTextS5"/>
              <w:rPr>
                <w:color w:val="000000"/>
                <w:lang w:val="fr-CH"/>
              </w:rPr>
            </w:pPr>
            <w:r w:rsidRPr="00B2410C">
              <w:rPr>
                <w:color w:val="000000"/>
                <w:lang w:val="fr-CH"/>
              </w:rPr>
              <w:t>RADIODIFFUSION</w:t>
            </w:r>
          </w:p>
          <w:p w:rsidR="004A6A8C" w:rsidRPr="00B2410C" w:rsidRDefault="006A3B65" w:rsidP="00464B22">
            <w:pPr>
              <w:pStyle w:val="TableTextS5"/>
              <w:tabs>
                <w:tab w:val="clear" w:pos="567"/>
                <w:tab w:val="clear" w:pos="737"/>
                <w:tab w:val="clear" w:pos="2977"/>
                <w:tab w:val="clear" w:pos="3266"/>
                <w:tab w:val="left" w:pos="227"/>
              </w:tabs>
              <w:ind w:left="170" w:right="-113" w:hanging="170"/>
              <w:rPr>
                <w:color w:val="000000"/>
                <w:spacing w:val="-2"/>
                <w:lang w:val="fr-CH"/>
              </w:rPr>
            </w:pPr>
            <w:r w:rsidRPr="00B2410C">
              <w:rPr>
                <w:color w:val="000000"/>
                <w:spacing w:val="-2"/>
                <w:lang w:val="fr-CH"/>
              </w:rPr>
              <w:t xml:space="preserve">RADIODIFFUSION PAR SATELLITE  5.208B  </w:t>
            </w:r>
            <w:r w:rsidRPr="00B2410C">
              <w:rPr>
                <w:lang w:val="fr-CH"/>
              </w:rPr>
              <w:br/>
            </w:r>
            <w:r w:rsidRPr="00B2410C">
              <w:rPr>
                <w:lang w:val="fr-CH"/>
              </w:rPr>
              <w:br/>
              <w:t>5.341</w:t>
            </w:r>
            <w:r w:rsidRPr="00B2410C">
              <w:rPr>
                <w:color w:val="000000"/>
                <w:lang w:val="fr-CH"/>
              </w:rPr>
              <w:t xml:space="preserve">  </w:t>
            </w:r>
            <w:r w:rsidRPr="00B2410C">
              <w:rPr>
                <w:lang w:val="fr-CH"/>
              </w:rPr>
              <w:t>5.342  5.345</w:t>
            </w:r>
          </w:p>
        </w:tc>
        <w:tc>
          <w:tcPr>
            <w:tcW w:w="6237" w:type="dxa"/>
            <w:gridSpan w:val="3"/>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1 452-1 492</w:t>
            </w:r>
          </w:p>
          <w:p w:rsidR="004A6A8C" w:rsidRPr="00B2410C" w:rsidRDefault="006A3B65" w:rsidP="00464B22">
            <w:pPr>
              <w:pStyle w:val="TableTextS5"/>
              <w:tabs>
                <w:tab w:val="clear" w:pos="170"/>
                <w:tab w:val="clear" w:pos="737"/>
                <w:tab w:val="clear" w:pos="2977"/>
                <w:tab w:val="clear" w:pos="3266"/>
              </w:tabs>
              <w:rPr>
                <w:color w:val="000000"/>
                <w:lang w:val="fr-CH"/>
              </w:rPr>
            </w:pPr>
            <w:r w:rsidRPr="00B2410C">
              <w:rPr>
                <w:color w:val="000000"/>
                <w:lang w:val="fr-CH"/>
              </w:rPr>
              <w:tab/>
              <w:t>FIXE</w:t>
            </w:r>
          </w:p>
          <w:p w:rsidR="004A6A8C" w:rsidRPr="00B2410C" w:rsidRDefault="006A3B65" w:rsidP="00464B22">
            <w:pPr>
              <w:pStyle w:val="TableTextS5"/>
              <w:tabs>
                <w:tab w:val="clear" w:pos="170"/>
                <w:tab w:val="clear" w:pos="737"/>
                <w:tab w:val="clear" w:pos="2977"/>
                <w:tab w:val="clear" w:pos="3266"/>
              </w:tabs>
              <w:rPr>
                <w:lang w:val="fr-CH"/>
              </w:rPr>
            </w:pPr>
            <w:r w:rsidRPr="00B2410C">
              <w:rPr>
                <w:color w:val="000000"/>
                <w:lang w:val="fr-CH"/>
              </w:rPr>
              <w:tab/>
              <w:t xml:space="preserve">MOBILE  </w:t>
            </w:r>
            <w:r w:rsidRPr="00B2410C">
              <w:rPr>
                <w:lang w:val="fr-CH"/>
              </w:rPr>
              <w:t>5.343</w:t>
            </w:r>
          </w:p>
          <w:p w:rsidR="004A6A8C" w:rsidRPr="00B2410C" w:rsidRDefault="006A3B65" w:rsidP="00464B22">
            <w:pPr>
              <w:pStyle w:val="TableTextS5"/>
              <w:tabs>
                <w:tab w:val="clear" w:pos="170"/>
                <w:tab w:val="clear" w:pos="737"/>
                <w:tab w:val="clear" w:pos="2977"/>
                <w:tab w:val="clear" w:pos="3266"/>
              </w:tabs>
              <w:ind w:left="567" w:hanging="567"/>
              <w:rPr>
                <w:color w:val="000000"/>
                <w:lang w:val="fr-CH"/>
              </w:rPr>
            </w:pPr>
            <w:r w:rsidRPr="00B2410C">
              <w:rPr>
                <w:color w:val="000000"/>
                <w:lang w:val="fr-CH"/>
              </w:rPr>
              <w:tab/>
              <w:t>RADIODIFFUSION</w:t>
            </w:r>
          </w:p>
          <w:p w:rsidR="004A6A8C" w:rsidRPr="00B2410C" w:rsidRDefault="006A3B65" w:rsidP="00464B22">
            <w:pPr>
              <w:pStyle w:val="TableTextS5"/>
              <w:tabs>
                <w:tab w:val="clear" w:pos="170"/>
                <w:tab w:val="clear" w:pos="737"/>
                <w:tab w:val="clear" w:pos="2977"/>
                <w:tab w:val="clear" w:pos="3266"/>
              </w:tabs>
              <w:ind w:left="567" w:hanging="567"/>
              <w:rPr>
                <w:color w:val="000000"/>
                <w:lang w:val="fr-CH"/>
              </w:rPr>
            </w:pPr>
            <w:r w:rsidRPr="00B2410C">
              <w:rPr>
                <w:color w:val="000000"/>
                <w:lang w:val="fr-CH"/>
              </w:rPr>
              <w:tab/>
              <w:t>RADIODIFFUSION PAR SATELLITE  5.208B</w:t>
            </w:r>
          </w:p>
          <w:p w:rsidR="004A6A8C" w:rsidRPr="00B2410C" w:rsidRDefault="006A3B65" w:rsidP="00464B22">
            <w:pPr>
              <w:pStyle w:val="TableTextS5"/>
              <w:tabs>
                <w:tab w:val="clear" w:pos="170"/>
                <w:tab w:val="clear" w:pos="737"/>
                <w:tab w:val="clear" w:pos="2977"/>
                <w:tab w:val="clear" w:pos="3266"/>
              </w:tabs>
              <w:ind w:left="567" w:hanging="567"/>
              <w:rPr>
                <w:color w:val="000000"/>
                <w:lang w:val="fr-CH"/>
              </w:rPr>
            </w:pPr>
            <w:r w:rsidRPr="00B2410C">
              <w:rPr>
                <w:color w:val="000000"/>
                <w:lang w:val="fr-CH"/>
              </w:rPr>
              <w:br/>
            </w:r>
            <w:r w:rsidRPr="00B2410C">
              <w:rPr>
                <w:color w:val="000000"/>
                <w:lang w:val="fr-CH"/>
              </w:rPr>
              <w:br/>
            </w:r>
            <w:r w:rsidRPr="00B2410C">
              <w:rPr>
                <w:lang w:val="fr-CH"/>
              </w:rPr>
              <w:t>5.341</w:t>
            </w:r>
            <w:r w:rsidRPr="00B2410C">
              <w:rPr>
                <w:color w:val="000000"/>
                <w:lang w:val="fr-CH"/>
              </w:rPr>
              <w:t xml:space="preserve">  </w:t>
            </w:r>
            <w:r w:rsidRPr="00B2410C">
              <w:rPr>
                <w:lang w:val="fr-CH"/>
              </w:rPr>
              <w:t>5.344  5.345</w:t>
            </w:r>
          </w:p>
        </w:tc>
      </w:tr>
      <w:tr w:rsidR="004A6A8C" w:rsidRPr="00B2410C" w:rsidTr="00D94B99">
        <w:trPr>
          <w:cantSplit/>
          <w:jc w:val="center"/>
        </w:trPr>
        <w:tc>
          <w:tcPr>
            <w:tcW w:w="3119" w:type="dxa"/>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1 492-1 518</w:t>
            </w:r>
          </w:p>
          <w:p w:rsidR="004A6A8C" w:rsidRPr="00B2410C" w:rsidRDefault="006A3B65" w:rsidP="00464B22">
            <w:pPr>
              <w:pStyle w:val="TableTextS5"/>
              <w:rPr>
                <w:color w:val="000000"/>
                <w:lang w:val="fr-CH"/>
              </w:rPr>
            </w:pPr>
            <w:r w:rsidRPr="00B2410C">
              <w:rPr>
                <w:color w:val="000000"/>
                <w:lang w:val="fr-CH"/>
              </w:rPr>
              <w:t>FIXE</w:t>
            </w:r>
          </w:p>
          <w:p w:rsidR="004A6A8C" w:rsidRPr="00B2410C" w:rsidRDefault="006A3B65" w:rsidP="00464B22">
            <w:pPr>
              <w:pStyle w:val="TableTextS5"/>
              <w:rPr>
                <w:color w:val="000000"/>
                <w:lang w:val="fr-CH"/>
              </w:rPr>
            </w:pPr>
            <w:r w:rsidRPr="00B2410C">
              <w:rPr>
                <w:color w:val="000000"/>
                <w:lang w:val="fr-CH"/>
              </w:rPr>
              <w:t>MOBILE sauf mobile aéronautique</w:t>
            </w:r>
          </w:p>
        </w:tc>
        <w:tc>
          <w:tcPr>
            <w:tcW w:w="3009" w:type="dxa"/>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1 492-1 518</w:t>
            </w:r>
          </w:p>
          <w:p w:rsidR="004A6A8C" w:rsidRPr="00B2410C" w:rsidRDefault="006A3B65" w:rsidP="00464B22">
            <w:pPr>
              <w:pStyle w:val="TableTextS5"/>
              <w:rPr>
                <w:color w:val="000000"/>
                <w:lang w:val="fr-CH"/>
              </w:rPr>
            </w:pPr>
            <w:r w:rsidRPr="00B2410C">
              <w:rPr>
                <w:color w:val="000000"/>
                <w:lang w:val="fr-CH"/>
              </w:rPr>
              <w:t>FIXE</w:t>
            </w:r>
          </w:p>
          <w:p w:rsidR="004A6A8C" w:rsidRPr="00B2410C" w:rsidRDefault="006A3B65" w:rsidP="00464B22">
            <w:pPr>
              <w:pStyle w:val="TableTextS5"/>
              <w:ind w:left="170" w:hanging="170"/>
              <w:rPr>
                <w:color w:val="000000"/>
                <w:lang w:val="fr-CH"/>
              </w:rPr>
            </w:pPr>
            <w:r w:rsidRPr="00B2410C">
              <w:rPr>
                <w:color w:val="000000"/>
                <w:lang w:val="fr-CH"/>
              </w:rPr>
              <w:t xml:space="preserve">MOBILE  </w:t>
            </w:r>
            <w:r w:rsidRPr="00B2410C">
              <w:rPr>
                <w:rStyle w:val="Artref"/>
                <w:color w:val="000000"/>
                <w:lang w:val="fr-CH"/>
              </w:rPr>
              <w:t>5.343</w:t>
            </w:r>
          </w:p>
        </w:tc>
        <w:tc>
          <w:tcPr>
            <w:tcW w:w="3228" w:type="dxa"/>
            <w:gridSpan w:val="2"/>
            <w:tcBorders>
              <w:top w:val="single" w:sz="6" w:space="0" w:color="auto"/>
              <w:left w:val="single" w:sz="6" w:space="0" w:color="auto"/>
              <w:right w:val="single" w:sz="6" w:space="0" w:color="auto"/>
            </w:tcBorders>
          </w:tcPr>
          <w:p w:rsidR="004A6A8C" w:rsidRPr="00B2410C" w:rsidRDefault="006A3B65" w:rsidP="00464B22">
            <w:pPr>
              <w:pStyle w:val="TableTextS5"/>
              <w:rPr>
                <w:color w:val="000000"/>
                <w:lang w:val="fr-CH"/>
              </w:rPr>
            </w:pPr>
            <w:r w:rsidRPr="00B2410C">
              <w:rPr>
                <w:rStyle w:val="Tablefreq"/>
                <w:lang w:val="fr-CH"/>
              </w:rPr>
              <w:t>1 492-1 518</w:t>
            </w:r>
          </w:p>
          <w:p w:rsidR="004A6A8C" w:rsidRPr="00B2410C" w:rsidRDefault="006A3B65" w:rsidP="00464B22">
            <w:pPr>
              <w:pStyle w:val="TableTextS5"/>
              <w:rPr>
                <w:color w:val="000000"/>
                <w:lang w:val="fr-CH"/>
              </w:rPr>
            </w:pPr>
            <w:r w:rsidRPr="00B2410C">
              <w:rPr>
                <w:color w:val="000000"/>
                <w:lang w:val="fr-CH"/>
              </w:rPr>
              <w:t>FIXE</w:t>
            </w:r>
          </w:p>
          <w:p w:rsidR="004A6A8C" w:rsidRPr="00B2410C" w:rsidRDefault="006A3B65" w:rsidP="00464B22">
            <w:pPr>
              <w:pStyle w:val="TableTextS5"/>
              <w:rPr>
                <w:color w:val="000000"/>
                <w:lang w:val="fr-CH"/>
              </w:rPr>
            </w:pPr>
            <w:r w:rsidRPr="00B2410C">
              <w:rPr>
                <w:color w:val="000000"/>
                <w:lang w:val="fr-CH"/>
              </w:rPr>
              <w:t>MOBILE</w:t>
            </w:r>
          </w:p>
        </w:tc>
      </w:tr>
      <w:tr w:rsidR="004A6A8C" w:rsidRPr="00B2410C" w:rsidTr="00D94B99">
        <w:trPr>
          <w:cantSplit/>
          <w:jc w:val="center"/>
        </w:trPr>
        <w:tc>
          <w:tcPr>
            <w:tcW w:w="3119" w:type="dxa"/>
            <w:tcBorders>
              <w:left w:val="single" w:sz="6" w:space="0" w:color="auto"/>
              <w:bottom w:val="single" w:sz="6" w:space="0" w:color="auto"/>
              <w:right w:val="single" w:sz="6" w:space="0" w:color="auto"/>
            </w:tcBorders>
          </w:tcPr>
          <w:p w:rsidR="004A6A8C" w:rsidRPr="00B2410C" w:rsidRDefault="006A3B65" w:rsidP="00464B22">
            <w:pPr>
              <w:pStyle w:val="TableTextS5"/>
              <w:rPr>
                <w:color w:val="000000"/>
                <w:lang w:val="fr-CH"/>
              </w:rPr>
            </w:pPr>
            <w:r w:rsidRPr="00B2410C">
              <w:rPr>
                <w:lang w:val="fr-CH"/>
              </w:rPr>
              <w:t>5.341</w:t>
            </w:r>
            <w:r w:rsidRPr="00B2410C">
              <w:rPr>
                <w:color w:val="000000"/>
                <w:lang w:val="fr-CH"/>
              </w:rPr>
              <w:t xml:space="preserve">  </w:t>
            </w:r>
            <w:r w:rsidRPr="00B2410C">
              <w:rPr>
                <w:lang w:val="fr-CH"/>
              </w:rPr>
              <w:t>5.342</w:t>
            </w:r>
          </w:p>
        </w:tc>
        <w:tc>
          <w:tcPr>
            <w:tcW w:w="3009" w:type="dxa"/>
            <w:tcBorders>
              <w:left w:val="single" w:sz="6" w:space="0" w:color="auto"/>
              <w:bottom w:val="single" w:sz="6" w:space="0" w:color="auto"/>
              <w:right w:val="single" w:sz="6" w:space="0" w:color="auto"/>
            </w:tcBorders>
          </w:tcPr>
          <w:p w:rsidR="004A6A8C" w:rsidRPr="00B2410C" w:rsidRDefault="006A3B65" w:rsidP="00464B22">
            <w:pPr>
              <w:pStyle w:val="TableTextS5"/>
              <w:rPr>
                <w:color w:val="000000"/>
                <w:lang w:val="fr-CH"/>
              </w:rPr>
            </w:pPr>
            <w:r w:rsidRPr="00B2410C">
              <w:rPr>
                <w:lang w:val="fr-CH"/>
              </w:rPr>
              <w:t>5.341</w:t>
            </w:r>
            <w:r w:rsidRPr="00B2410C">
              <w:rPr>
                <w:color w:val="000000"/>
                <w:lang w:val="fr-CH"/>
              </w:rPr>
              <w:t xml:space="preserve">  </w:t>
            </w:r>
            <w:r w:rsidRPr="00B2410C">
              <w:rPr>
                <w:lang w:val="fr-CH"/>
              </w:rPr>
              <w:t>5.344</w:t>
            </w:r>
          </w:p>
        </w:tc>
        <w:tc>
          <w:tcPr>
            <w:tcW w:w="3228" w:type="dxa"/>
            <w:gridSpan w:val="2"/>
            <w:tcBorders>
              <w:left w:val="single" w:sz="6" w:space="0" w:color="auto"/>
              <w:bottom w:val="single" w:sz="6" w:space="0" w:color="auto"/>
              <w:right w:val="single" w:sz="6" w:space="0" w:color="auto"/>
            </w:tcBorders>
          </w:tcPr>
          <w:p w:rsidR="004A6A8C" w:rsidRPr="00B2410C" w:rsidRDefault="006A3B65" w:rsidP="00464B22">
            <w:pPr>
              <w:pStyle w:val="TableTextS5"/>
              <w:rPr>
                <w:lang w:val="fr-CH"/>
              </w:rPr>
            </w:pPr>
            <w:r w:rsidRPr="00B2410C">
              <w:rPr>
                <w:lang w:val="fr-CH"/>
              </w:rPr>
              <w:t>5.341</w:t>
            </w:r>
          </w:p>
        </w:tc>
      </w:tr>
    </w:tbl>
    <w:p w:rsidR="00C56721" w:rsidRPr="00B2410C" w:rsidRDefault="006A3B65" w:rsidP="00794026">
      <w:pPr>
        <w:pStyle w:val="Reasons"/>
        <w:rPr>
          <w:lang w:val="fr-CH"/>
        </w:rPr>
      </w:pPr>
      <w:r w:rsidRPr="00B2410C">
        <w:rPr>
          <w:b/>
          <w:lang w:val="fr-CH"/>
        </w:rPr>
        <w:t>Motifs:</w:t>
      </w:r>
      <w:r w:rsidRPr="00B2410C">
        <w:rPr>
          <w:lang w:val="fr-CH"/>
        </w:rPr>
        <w:tab/>
      </w:r>
      <w:r w:rsidR="00A50DF6" w:rsidRPr="00B2410C">
        <w:rPr>
          <w:lang w:val="fr-CH"/>
        </w:rPr>
        <w:t>Il ressort des études de l</w:t>
      </w:r>
      <w:r w:rsidR="00794026" w:rsidRPr="00B2410C">
        <w:rPr>
          <w:lang w:val="fr-CH"/>
        </w:rPr>
        <w:t>'</w:t>
      </w:r>
      <w:r w:rsidR="00A50DF6" w:rsidRPr="00B2410C">
        <w:rPr>
          <w:lang w:val="fr-CH"/>
        </w:rPr>
        <w:t>UIT-R que la distance de séparation entre stations fixes et</w:t>
      </w:r>
      <w:r w:rsidR="00794026" w:rsidRPr="00B2410C">
        <w:rPr>
          <w:lang w:val="fr-CH"/>
        </w:rPr>
        <w:t xml:space="preserve"> </w:t>
      </w:r>
      <w:r w:rsidR="00A50DF6" w:rsidRPr="00B2410C">
        <w:rPr>
          <w:lang w:val="fr-CH"/>
        </w:rPr>
        <w:t xml:space="preserve">stations mobiles pour la protection des liaisons fixes ne permettrait pas </w:t>
      </w:r>
      <w:r w:rsidR="00A50DF6" w:rsidRPr="00B2410C">
        <w:rPr>
          <w:color w:val="000000"/>
          <w:lang w:val="fr-CH"/>
        </w:rPr>
        <w:t xml:space="preserve">l'utilisation de fréquences dans le même canal dans les </w:t>
      </w:r>
      <w:r w:rsidR="00770645" w:rsidRPr="00B2410C">
        <w:rPr>
          <w:color w:val="000000"/>
          <w:lang w:val="fr-CH"/>
        </w:rPr>
        <w:t xml:space="preserve">mêmes </w:t>
      </w:r>
      <w:r w:rsidR="004A1F92" w:rsidRPr="00B2410C">
        <w:rPr>
          <w:color w:val="000000"/>
          <w:lang w:val="fr-CH"/>
        </w:rPr>
        <w:t>zones</w:t>
      </w:r>
      <w:r w:rsidR="00A50DF6" w:rsidRPr="00B2410C">
        <w:rPr>
          <w:lang w:val="fr-CH"/>
        </w:rPr>
        <w:t xml:space="preserve">, dans le cas de </w:t>
      </w:r>
      <w:r w:rsidR="00A50DF6" w:rsidRPr="00B2410C">
        <w:rPr>
          <w:color w:val="000000"/>
          <w:lang w:val="fr-CH"/>
        </w:rPr>
        <w:t xml:space="preserve">macrocellules comme dans </w:t>
      </w:r>
      <w:r w:rsidR="004A1F92" w:rsidRPr="00B2410C">
        <w:rPr>
          <w:color w:val="000000"/>
          <w:lang w:val="fr-CH"/>
        </w:rPr>
        <w:t>celui de plus petites cellules. Or, l</w:t>
      </w:r>
      <w:r w:rsidR="00794026" w:rsidRPr="00B2410C">
        <w:rPr>
          <w:color w:val="000000"/>
          <w:lang w:val="fr-CH"/>
        </w:rPr>
        <w:t>'</w:t>
      </w:r>
      <w:r w:rsidR="004A1F92" w:rsidRPr="00B2410C">
        <w:rPr>
          <w:color w:val="000000"/>
          <w:lang w:val="fr-CH"/>
        </w:rPr>
        <w:t>A</w:t>
      </w:r>
      <w:r w:rsidR="00770645" w:rsidRPr="00B2410C">
        <w:rPr>
          <w:color w:val="000000"/>
          <w:lang w:val="fr-CH"/>
        </w:rPr>
        <w:t>dministration iranie</w:t>
      </w:r>
      <w:r w:rsidR="000748BD" w:rsidRPr="00B2410C">
        <w:rPr>
          <w:color w:val="000000"/>
          <w:lang w:val="fr-CH"/>
        </w:rPr>
        <w:t>nne a octroyé plus de 600 licenc</w:t>
      </w:r>
      <w:r w:rsidR="00770645" w:rsidRPr="00B2410C">
        <w:rPr>
          <w:color w:val="000000"/>
          <w:lang w:val="fr-CH"/>
        </w:rPr>
        <w:t>es pour l</w:t>
      </w:r>
      <w:r w:rsidR="00794026" w:rsidRPr="00B2410C">
        <w:rPr>
          <w:color w:val="000000"/>
          <w:lang w:val="fr-CH"/>
        </w:rPr>
        <w:t>'</w:t>
      </w:r>
      <w:r w:rsidR="00770645" w:rsidRPr="00B2410C">
        <w:rPr>
          <w:color w:val="000000"/>
          <w:lang w:val="fr-CH"/>
        </w:rPr>
        <w:t>exploitation de systèmes</w:t>
      </w:r>
      <w:r w:rsidR="004A1F92" w:rsidRPr="00B2410C">
        <w:rPr>
          <w:color w:val="000000"/>
          <w:lang w:val="fr-CH"/>
        </w:rPr>
        <w:t xml:space="preserve"> point à point </w:t>
      </w:r>
      <w:r w:rsidR="00770645" w:rsidRPr="00B2410C">
        <w:rPr>
          <w:color w:val="000000"/>
          <w:lang w:val="fr-CH"/>
        </w:rPr>
        <w:t xml:space="preserve">longue distance de faible capacité dans la bande de fréquences </w:t>
      </w:r>
      <w:r w:rsidR="00022822">
        <w:rPr>
          <w:lang w:val="fr-CH"/>
        </w:rPr>
        <w:t>1 427</w:t>
      </w:r>
      <w:r w:rsidR="00022822">
        <w:rPr>
          <w:lang w:val="fr-CH"/>
        </w:rPr>
        <w:noBreakHyphen/>
      </w:r>
      <w:r w:rsidR="004A1F92" w:rsidRPr="00B2410C">
        <w:rPr>
          <w:lang w:val="fr-CH"/>
        </w:rPr>
        <w:t>1 518 MHz. En outre,</w:t>
      </w:r>
      <w:r w:rsidR="00C56721" w:rsidRPr="00B2410C">
        <w:rPr>
          <w:lang w:val="fr-CH"/>
        </w:rPr>
        <w:t xml:space="preserve"> </w:t>
      </w:r>
      <w:r w:rsidR="00770645" w:rsidRPr="00B2410C">
        <w:rPr>
          <w:color w:val="000000"/>
          <w:lang w:val="fr-CH"/>
        </w:rPr>
        <w:t xml:space="preserve">en </w:t>
      </w:r>
      <w:r w:rsidR="004A1F92" w:rsidRPr="00B2410C">
        <w:rPr>
          <w:color w:val="000000"/>
          <w:lang w:val="fr-CH"/>
        </w:rPr>
        <w:t xml:space="preserve">raison des valeurs comparables </w:t>
      </w:r>
      <w:r w:rsidR="00770645" w:rsidRPr="00B2410C">
        <w:rPr>
          <w:color w:val="000000"/>
          <w:lang w:val="fr-CH"/>
        </w:rPr>
        <w:t>de l'affaiblissement de propagation, qui est peu important</w:t>
      </w:r>
      <w:r w:rsidR="00C56721" w:rsidRPr="00B2410C">
        <w:rPr>
          <w:lang w:val="fr-CH"/>
        </w:rPr>
        <w:t>,</w:t>
      </w:r>
      <w:r w:rsidR="00770645" w:rsidRPr="00B2410C">
        <w:rPr>
          <w:lang w:val="fr-CH"/>
        </w:rPr>
        <w:t xml:space="preserve"> l</w:t>
      </w:r>
      <w:r w:rsidR="00794026" w:rsidRPr="00B2410C">
        <w:rPr>
          <w:lang w:val="fr-CH"/>
        </w:rPr>
        <w:t>'</w:t>
      </w:r>
      <w:r w:rsidR="00770645" w:rsidRPr="00B2410C">
        <w:rPr>
          <w:lang w:val="fr-CH"/>
        </w:rPr>
        <w:t>utilisation de la gamme de fréquences ci-dessus par les administrations des pays voisins po</w:t>
      </w:r>
      <w:r w:rsidR="004A1F92" w:rsidRPr="00B2410C">
        <w:rPr>
          <w:lang w:val="fr-CH"/>
        </w:rPr>
        <w:t>urrait poser des problèmes à l</w:t>
      </w:r>
      <w:r w:rsidR="00794026" w:rsidRPr="00B2410C">
        <w:rPr>
          <w:lang w:val="fr-CH"/>
        </w:rPr>
        <w:t>'</w:t>
      </w:r>
      <w:r w:rsidR="004A1F92" w:rsidRPr="00B2410C">
        <w:rPr>
          <w:lang w:val="fr-CH"/>
        </w:rPr>
        <w:t>A</w:t>
      </w:r>
      <w:r w:rsidR="00770645" w:rsidRPr="00B2410C">
        <w:rPr>
          <w:lang w:val="fr-CH"/>
        </w:rPr>
        <w:t>dministration iranienne, d</w:t>
      </w:r>
      <w:r w:rsidR="00794026" w:rsidRPr="00B2410C">
        <w:rPr>
          <w:lang w:val="fr-CH"/>
        </w:rPr>
        <w:t>'</w:t>
      </w:r>
      <w:r w:rsidR="00770645" w:rsidRPr="00B2410C">
        <w:rPr>
          <w:lang w:val="fr-CH"/>
        </w:rPr>
        <w:t>où la néce</w:t>
      </w:r>
      <w:r w:rsidR="004A1F92" w:rsidRPr="00B2410C">
        <w:rPr>
          <w:lang w:val="fr-CH"/>
        </w:rPr>
        <w:t>ssité d</w:t>
      </w:r>
      <w:r w:rsidR="00794026" w:rsidRPr="00B2410C">
        <w:rPr>
          <w:lang w:val="fr-CH"/>
        </w:rPr>
        <w:t>'</w:t>
      </w:r>
      <w:r w:rsidR="004A1F92" w:rsidRPr="00B2410C">
        <w:rPr>
          <w:lang w:val="fr-CH"/>
        </w:rPr>
        <w:t>effectuer au préalable</w:t>
      </w:r>
      <w:r w:rsidR="00770645" w:rsidRPr="00B2410C">
        <w:rPr>
          <w:lang w:val="fr-CH"/>
        </w:rPr>
        <w:t xml:space="preserve"> une coordination des fréquences</w:t>
      </w:r>
      <w:r w:rsidR="004A1F92" w:rsidRPr="00B2410C">
        <w:rPr>
          <w:lang w:val="fr-CH"/>
        </w:rPr>
        <w:t>.</w:t>
      </w:r>
    </w:p>
    <w:p w:rsidR="00C56721" w:rsidRPr="00B2410C" w:rsidRDefault="00770645" w:rsidP="000748BD">
      <w:pPr>
        <w:rPr>
          <w:lang w:val="fr-CH"/>
        </w:rPr>
      </w:pPr>
      <w:r w:rsidRPr="00B2410C">
        <w:rPr>
          <w:lang w:val="fr-CH"/>
        </w:rPr>
        <w:t>De plus, l</w:t>
      </w:r>
      <w:r w:rsidR="00794026" w:rsidRPr="00B2410C">
        <w:rPr>
          <w:lang w:val="fr-CH"/>
        </w:rPr>
        <w:t>'</w:t>
      </w:r>
      <w:r w:rsidRPr="00B2410C">
        <w:rPr>
          <w:lang w:val="fr-CH"/>
        </w:rPr>
        <w:t>Administration iranienne n</w:t>
      </w:r>
      <w:r w:rsidR="00794026" w:rsidRPr="00B2410C">
        <w:rPr>
          <w:lang w:val="fr-CH"/>
        </w:rPr>
        <w:t>'</w:t>
      </w:r>
      <w:r w:rsidRPr="00B2410C">
        <w:rPr>
          <w:lang w:val="fr-CH"/>
        </w:rPr>
        <w:t>est pas favorable à l</w:t>
      </w:r>
      <w:r w:rsidR="00794026" w:rsidRPr="00B2410C">
        <w:rPr>
          <w:lang w:val="fr-CH"/>
        </w:rPr>
        <w:t>'</w:t>
      </w:r>
      <w:r w:rsidRPr="00B2410C">
        <w:rPr>
          <w:lang w:val="fr-CH"/>
        </w:rPr>
        <w:t>idée d</w:t>
      </w:r>
      <w:r w:rsidR="00794026" w:rsidRPr="00B2410C">
        <w:rPr>
          <w:lang w:val="fr-CH"/>
        </w:rPr>
        <w:t>'</w:t>
      </w:r>
      <w:r w:rsidRPr="00B2410C">
        <w:rPr>
          <w:lang w:val="fr-CH"/>
        </w:rPr>
        <w:t>imposer d</w:t>
      </w:r>
      <w:r w:rsidR="00794026" w:rsidRPr="00B2410C">
        <w:rPr>
          <w:lang w:val="fr-CH"/>
        </w:rPr>
        <w:t>'</w:t>
      </w:r>
      <w:r w:rsidRPr="00B2410C">
        <w:rPr>
          <w:lang w:val="fr-CH"/>
        </w:rPr>
        <w:t>éventue</w:t>
      </w:r>
      <w:r w:rsidR="004A1F92" w:rsidRPr="00B2410C">
        <w:rPr>
          <w:lang w:val="fr-CH"/>
        </w:rPr>
        <w:t>lles restrictions techniques ou</w:t>
      </w:r>
      <w:r w:rsidRPr="00B2410C">
        <w:rPr>
          <w:lang w:val="fr-CH"/>
        </w:rPr>
        <w:t xml:space="preserve"> réglementaires, à titre obligatoire ou facultati</w:t>
      </w:r>
      <w:r w:rsidR="004A1F92" w:rsidRPr="00B2410C">
        <w:rPr>
          <w:lang w:val="fr-CH"/>
        </w:rPr>
        <w:t>f, à l</w:t>
      </w:r>
      <w:r w:rsidR="00794026" w:rsidRPr="00B2410C">
        <w:rPr>
          <w:lang w:val="fr-CH"/>
        </w:rPr>
        <w:t>'</w:t>
      </w:r>
      <w:r w:rsidR="004A1F92" w:rsidRPr="00B2410C">
        <w:rPr>
          <w:lang w:val="fr-CH"/>
        </w:rPr>
        <w:t xml:space="preserve">utilisation actuelle ou </w:t>
      </w:r>
      <w:r w:rsidRPr="00B2410C">
        <w:rPr>
          <w:lang w:val="fr-CH"/>
        </w:rPr>
        <w:t>en projet de la bande de fréquences 1 452-1 492 MHz par les services existants visés dans l</w:t>
      </w:r>
      <w:r w:rsidR="00794026" w:rsidRPr="00B2410C">
        <w:rPr>
          <w:lang w:val="fr-CH"/>
        </w:rPr>
        <w:t>'</w:t>
      </w:r>
      <w:r w:rsidRPr="00B2410C">
        <w:rPr>
          <w:lang w:val="fr-CH"/>
        </w:rPr>
        <w:t>Article 5</w:t>
      </w:r>
      <w:r w:rsidR="004A1F92" w:rsidRPr="00B2410C">
        <w:rPr>
          <w:lang w:val="fr-CH"/>
        </w:rPr>
        <w:t xml:space="preserve"> </w:t>
      </w:r>
      <w:r w:rsidRPr="00B2410C">
        <w:rPr>
          <w:lang w:val="fr-CH"/>
        </w:rPr>
        <w:t>du RR</w:t>
      </w:r>
      <w:r w:rsidR="004A1F92" w:rsidRPr="00B2410C">
        <w:rPr>
          <w:lang w:val="fr-CH"/>
        </w:rPr>
        <w:t>,</w:t>
      </w:r>
      <w:r w:rsidRPr="00B2410C">
        <w:rPr>
          <w:lang w:val="fr-CH"/>
        </w:rPr>
        <w:t xml:space="preserve"> en vue de leur identification pour les IMT.</w:t>
      </w:r>
    </w:p>
    <w:p w:rsidR="004E7EF3" w:rsidRPr="00B2410C" w:rsidRDefault="006A3B65" w:rsidP="00464B22">
      <w:pPr>
        <w:pStyle w:val="Proposal"/>
        <w:rPr>
          <w:lang w:val="fr-CH"/>
        </w:rPr>
      </w:pPr>
      <w:r w:rsidRPr="00B2410C">
        <w:rPr>
          <w:u w:val="single"/>
          <w:lang w:val="fr-CH"/>
        </w:rPr>
        <w:lastRenderedPageBreak/>
        <w:t>NOC</w:t>
      </w:r>
      <w:r w:rsidRPr="00B2410C">
        <w:rPr>
          <w:lang w:val="fr-CH"/>
        </w:rPr>
        <w:tab/>
        <w:t>IRN/61A1/2</w:t>
      </w:r>
    </w:p>
    <w:p w:rsidR="004A6A8C" w:rsidRPr="00B2410C" w:rsidRDefault="006A3B65" w:rsidP="00464B22">
      <w:pPr>
        <w:pStyle w:val="Tabletitle"/>
        <w:rPr>
          <w:color w:val="000000"/>
          <w:lang w:val="fr-CH"/>
        </w:rPr>
      </w:pPr>
      <w:r w:rsidRPr="00B2410C">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9"/>
        <w:gridCol w:w="36"/>
        <w:gridCol w:w="3083"/>
        <w:gridCol w:w="41"/>
        <w:gridCol w:w="3219"/>
      </w:tblGrid>
      <w:tr w:rsidR="004A6A8C" w:rsidRPr="00B2410C" w:rsidTr="00D94B99">
        <w:trPr>
          <w:cantSplit/>
          <w:jc w:val="center"/>
        </w:trPr>
        <w:tc>
          <w:tcPr>
            <w:tcW w:w="9498" w:type="dxa"/>
            <w:gridSpan w:val="5"/>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Attribution aux services</w:t>
            </w:r>
          </w:p>
        </w:tc>
      </w:tr>
      <w:tr w:rsidR="004A6A8C" w:rsidRPr="00B2410C" w:rsidTr="00D94B99">
        <w:trPr>
          <w:cantSplit/>
          <w:jc w:val="center"/>
        </w:trPr>
        <w:tc>
          <w:tcPr>
            <w:tcW w:w="3155" w:type="dxa"/>
            <w:gridSpan w:val="2"/>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1</w:t>
            </w:r>
          </w:p>
        </w:tc>
        <w:tc>
          <w:tcPr>
            <w:tcW w:w="3124" w:type="dxa"/>
            <w:gridSpan w:val="2"/>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2</w:t>
            </w:r>
          </w:p>
        </w:tc>
        <w:tc>
          <w:tcPr>
            <w:tcW w:w="3219"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3</w:t>
            </w:r>
          </w:p>
        </w:tc>
      </w:tr>
      <w:tr w:rsidR="004A6A8C" w:rsidRPr="00B2410C" w:rsidTr="00D94B99">
        <w:tblPrEx>
          <w:tblCellMar>
            <w:left w:w="0" w:type="dxa"/>
            <w:right w:w="0" w:type="dxa"/>
          </w:tblCellMar>
        </w:tblPrEx>
        <w:trPr>
          <w:cantSplit/>
          <w:jc w:val="center"/>
        </w:trPr>
        <w:tc>
          <w:tcPr>
            <w:tcW w:w="3119" w:type="dxa"/>
            <w:tcBorders>
              <w:top w:val="single" w:sz="6" w:space="0" w:color="auto"/>
              <w:left w:val="single" w:sz="6" w:space="0" w:color="auto"/>
              <w:right w:val="single" w:sz="6" w:space="0" w:color="auto"/>
            </w:tcBorders>
          </w:tcPr>
          <w:p w:rsidR="004A6A8C" w:rsidRPr="00B2410C" w:rsidRDefault="006A3B65" w:rsidP="00464B22">
            <w:pPr>
              <w:pStyle w:val="TableTextS5"/>
              <w:spacing w:before="10" w:after="10"/>
              <w:ind w:left="130" w:right="130"/>
              <w:rPr>
                <w:rStyle w:val="Tablefreq"/>
                <w:lang w:val="fr-CH"/>
              </w:rPr>
            </w:pPr>
            <w:r w:rsidRPr="00B2410C">
              <w:rPr>
                <w:rStyle w:val="Tablefreq"/>
                <w:lang w:val="fr-CH"/>
              </w:rPr>
              <w:t>3 300-3 400</w:t>
            </w:r>
          </w:p>
          <w:p w:rsidR="004A6A8C" w:rsidRPr="00B2410C" w:rsidRDefault="006A3B65" w:rsidP="00464B22">
            <w:pPr>
              <w:pStyle w:val="TableTextS5"/>
              <w:spacing w:before="10" w:after="10"/>
              <w:ind w:left="130" w:right="130"/>
              <w:rPr>
                <w:color w:val="000000"/>
                <w:lang w:val="fr-CH"/>
              </w:rPr>
            </w:pPr>
            <w:r w:rsidRPr="00B2410C">
              <w:rPr>
                <w:color w:val="000000"/>
                <w:lang w:val="fr-CH"/>
              </w:rPr>
              <w:t>RADIOLOCALISATION</w:t>
            </w:r>
          </w:p>
        </w:tc>
        <w:tc>
          <w:tcPr>
            <w:tcW w:w="3119" w:type="dxa"/>
            <w:gridSpan w:val="2"/>
            <w:tcBorders>
              <w:top w:val="single" w:sz="6" w:space="0" w:color="auto"/>
              <w:left w:val="single" w:sz="6" w:space="0" w:color="auto"/>
              <w:right w:val="single" w:sz="6" w:space="0" w:color="auto"/>
            </w:tcBorders>
          </w:tcPr>
          <w:p w:rsidR="004A6A8C" w:rsidRPr="00B2410C" w:rsidRDefault="006A3B65" w:rsidP="00464B22">
            <w:pPr>
              <w:pStyle w:val="TableTextS5"/>
              <w:spacing w:before="10" w:after="10"/>
              <w:ind w:left="130" w:right="130"/>
              <w:rPr>
                <w:rStyle w:val="Tablefreq"/>
                <w:lang w:val="fr-CH"/>
              </w:rPr>
            </w:pPr>
            <w:r w:rsidRPr="00B2410C">
              <w:rPr>
                <w:rStyle w:val="Tablefreq"/>
                <w:lang w:val="fr-CH"/>
              </w:rPr>
              <w:t>3 300-3 400</w:t>
            </w:r>
          </w:p>
          <w:p w:rsidR="004A6A8C" w:rsidRPr="00B2410C" w:rsidRDefault="006A3B65" w:rsidP="00464B22">
            <w:pPr>
              <w:pStyle w:val="TableTextS5"/>
              <w:spacing w:before="10" w:after="10"/>
              <w:ind w:left="130" w:right="130"/>
              <w:rPr>
                <w:color w:val="000000"/>
                <w:lang w:val="fr-CH"/>
              </w:rPr>
            </w:pPr>
            <w:r w:rsidRPr="00B2410C">
              <w:rPr>
                <w:color w:val="000000"/>
                <w:lang w:val="fr-CH"/>
              </w:rPr>
              <w:t>RADIOLOCALISATION</w:t>
            </w:r>
          </w:p>
          <w:p w:rsidR="004A6A8C" w:rsidRPr="00B2410C" w:rsidRDefault="006A3B65" w:rsidP="00464B22">
            <w:pPr>
              <w:pStyle w:val="TableTextS5"/>
              <w:spacing w:before="10" w:after="10"/>
              <w:ind w:left="130" w:right="130"/>
              <w:rPr>
                <w:color w:val="000000"/>
                <w:lang w:val="fr-CH"/>
              </w:rPr>
            </w:pPr>
            <w:r w:rsidRPr="00B2410C">
              <w:rPr>
                <w:color w:val="000000"/>
                <w:lang w:val="fr-CH"/>
              </w:rPr>
              <w:t>Amateur</w:t>
            </w:r>
          </w:p>
          <w:p w:rsidR="004A6A8C" w:rsidRPr="00B2410C" w:rsidRDefault="006A3B65" w:rsidP="00464B22">
            <w:pPr>
              <w:pStyle w:val="TableTextS5"/>
              <w:spacing w:before="10" w:after="10"/>
              <w:ind w:left="130" w:right="130"/>
              <w:rPr>
                <w:color w:val="000000"/>
                <w:lang w:val="fr-CH"/>
              </w:rPr>
            </w:pPr>
            <w:r w:rsidRPr="00B2410C">
              <w:rPr>
                <w:color w:val="000000"/>
                <w:lang w:val="fr-CH"/>
              </w:rPr>
              <w:t>Fixe</w:t>
            </w:r>
          </w:p>
          <w:p w:rsidR="004A6A8C" w:rsidRPr="00B2410C" w:rsidRDefault="006A3B65" w:rsidP="00464B22">
            <w:pPr>
              <w:pStyle w:val="TableTextS5"/>
              <w:spacing w:before="10" w:after="10"/>
              <w:ind w:left="130" w:right="130"/>
              <w:rPr>
                <w:color w:val="000000"/>
                <w:lang w:val="fr-CH"/>
              </w:rPr>
            </w:pPr>
            <w:r w:rsidRPr="00B2410C">
              <w:rPr>
                <w:color w:val="000000"/>
                <w:lang w:val="fr-CH"/>
              </w:rPr>
              <w:t>Mobile</w:t>
            </w:r>
          </w:p>
        </w:tc>
        <w:tc>
          <w:tcPr>
            <w:tcW w:w="3260" w:type="dxa"/>
            <w:gridSpan w:val="2"/>
            <w:tcBorders>
              <w:top w:val="single" w:sz="6" w:space="0" w:color="auto"/>
              <w:left w:val="single" w:sz="6" w:space="0" w:color="auto"/>
              <w:right w:val="single" w:sz="6" w:space="0" w:color="auto"/>
            </w:tcBorders>
          </w:tcPr>
          <w:p w:rsidR="004A6A8C" w:rsidRPr="00B2410C" w:rsidRDefault="006A3B65" w:rsidP="00464B22">
            <w:pPr>
              <w:pStyle w:val="TableTextS5"/>
              <w:spacing w:before="10" w:after="10"/>
              <w:ind w:left="130" w:right="130"/>
              <w:rPr>
                <w:rStyle w:val="Tablefreq"/>
                <w:lang w:val="fr-CH"/>
              </w:rPr>
            </w:pPr>
            <w:r w:rsidRPr="00B2410C">
              <w:rPr>
                <w:rStyle w:val="Tablefreq"/>
                <w:lang w:val="fr-CH"/>
              </w:rPr>
              <w:t>3 300-3 400</w:t>
            </w:r>
          </w:p>
          <w:p w:rsidR="004A6A8C" w:rsidRPr="00B2410C" w:rsidRDefault="006A3B65" w:rsidP="00464B22">
            <w:pPr>
              <w:pStyle w:val="TableTextS5"/>
              <w:spacing w:before="10" w:after="10"/>
              <w:ind w:left="130" w:right="130"/>
              <w:rPr>
                <w:color w:val="000000"/>
                <w:lang w:val="fr-CH"/>
              </w:rPr>
            </w:pPr>
            <w:r w:rsidRPr="00B2410C">
              <w:rPr>
                <w:color w:val="000000"/>
                <w:lang w:val="fr-CH"/>
              </w:rPr>
              <w:t>RADIOLOCALISATION</w:t>
            </w:r>
          </w:p>
          <w:p w:rsidR="004A6A8C" w:rsidRPr="00B2410C" w:rsidRDefault="006A3B65" w:rsidP="00464B22">
            <w:pPr>
              <w:pStyle w:val="TableTextS5"/>
              <w:spacing w:before="10" w:after="10"/>
              <w:ind w:left="130" w:right="130"/>
              <w:rPr>
                <w:color w:val="000000"/>
                <w:lang w:val="fr-CH"/>
              </w:rPr>
            </w:pPr>
            <w:r w:rsidRPr="00B2410C">
              <w:rPr>
                <w:color w:val="000000"/>
                <w:lang w:val="fr-CH"/>
              </w:rPr>
              <w:t>Amateur</w:t>
            </w:r>
          </w:p>
        </w:tc>
      </w:tr>
      <w:tr w:rsidR="004A6A8C" w:rsidRPr="00B2410C" w:rsidTr="00D94B99">
        <w:tblPrEx>
          <w:tblCellMar>
            <w:left w:w="0" w:type="dxa"/>
            <w:right w:w="0" w:type="dxa"/>
          </w:tblCellMar>
        </w:tblPrEx>
        <w:trPr>
          <w:cantSplit/>
          <w:jc w:val="center"/>
        </w:trPr>
        <w:tc>
          <w:tcPr>
            <w:tcW w:w="3119" w:type="dxa"/>
            <w:tcBorders>
              <w:left w:val="single" w:sz="6" w:space="0" w:color="auto"/>
              <w:bottom w:val="single" w:sz="6" w:space="0" w:color="auto"/>
              <w:right w:val="single" w:sz="6" w:space="0" w:color="auto"/>
            </w:tcBorders>
          </w:tcPr>
          <w:p w:rsidR="004A6A8C" w:rsidRPr="00B2410C" w:rsidRDefault="006A3B65" w:rsidP="00464B22">
            <w:pPr>
              <w:pStyle w:val="TableTextS5"/>
              <w:spacing w:before="10" w:after="10"/>
              <w:ind w:left="130" w:right="130"/>
              <w:rPr>
                <w:color w:val="000000"/>
                <w:lang w:val="fr-CH"/>
              </w:rPr>
            </w:pPr>
            <w:r w:rsidRPr="00B2410C">
              <w:rPr>
                <w:rStyle w:val="Artref"/>
                <w:color w:val="000000"/>
                <w:lang w:val="fr-CH"/>
              </w:rPr>
              <w:t>5.149</w:t>
            </w:r>
            <w:r w:rsidRPr="00B2410C">
              <w:rPr>
                <w:color w:val="000000"/>
                <w:lang w:val="fr-CH"/>
              </w:rPr>
              <w:t xml:space="preserve">  </w:t>
            </w:r>
            <w:r w:rsidRPr="00B2410C">
              <w:rPr>
                <w:rStyle w:val="Artref"/>
                <w:color w:val="000000"/>
                <w:lang w:val="fr-CH"/>
              </w:rPr>
              <w:t>5.429</w:t>
            </w:r>
            <w:r w:rsidRPr="00B2410C">
              <w:rPr>
                <w:color w:val="000000"/>
                <w:lang w:val="fr-CH"/>
              </w:rPr>
              <w:t xml:space="preserve">  </w:t>
            </w:r>
            <w:r w:rsidRPr="00B2410C">
              <w:rPr>
                <w:rStyle w:val="Artref"/>
                <w:color w:val="000000"/>
                <w:lang w:val="fr-CH"/>
              </w:rPr>
              <w:t>5.430</w:t>
            </w:r>
          </w:p>
        </w:tc>
        <w:tc>
          <w:tcPr>
            <w:tcW w:w="3119" w:type="dxa"/>
            <w:gridSpan w:val="2"/>
            <w:tcBorders>
              <w:left w:val="single" w:sz="6" w:space="0" w:color="auto"/>
              <w:bottom w:val="single" w:sz="6" w:space="0" w:color="auto"/>
              <w:right w:val="single" w:sz="6" w:space="0" w:color="auto"/>
            </w:tcBorders>
          </w:tcPr>
          <w:p w:rsidR="004A6A8C" w:rsidRPr="00B2410C" w:rsidRDefault="006A3B65" w:rsidP="00464B22">
            <w:pPr>
              <w:pStyle w:val="TableTextS5"/>
              <w:spacing w:before="10" w:after="10"/>
              <w:ind w:left="130" w:right="130"/>
              <w:rPr>
                <w:color w:val="000000"/>
                <w:lang w:val="fr-CH"/>
              </w:rPr>
            </w:pPr>
            <w:r w:rsidRPr="00B2410C">
              <w:rPr>
                <w:rStyle w:val="Artref"/>
                <w:color w:val="000000"/>
                <w:lang w:val="fr-CH"/>
              </w:rPr>
              <w:t>5.149</w:t>
            </w:r>
          </w:p>
        </w:tc>
        <w:tc>
          <w:tcPr>
            <w:tcW w:w="3260" w:type="dxa"/>
            <w:gridSpan w:val="2"/>
            <w:tcBorders>
              <w:left w:val="single" w:sz="6" w:space="0" w:color="auto"/>
              <w:bottom w:val="single" w:sz="6" w:space="0" w:color="auto"/>
              <w:right w:val="single" w:sz="6" w:space="0" w:color="auto"/>
            </w:tcBorders>
          </w:tcPr>
          <w:p w:rsidR="004A6A8C" w:rsidRPr="00B2410C" w:rsidRDefault="006A3B65" w:rsidP="00464B22">
            <w:pPr>
              <w:pStyle w:val="TableTextS5"/>
              <w:spacing w:before="10" w:after="10"/>
              <w:ind w:left="130" w:right="130"/>
              <w:rPr>
                <w:color w:val="000000"/>
                <w:lang w:val="fr-CH"/>
              </w:rPr>
            </w:pPr>
            <w:r w:rsidRPr="00B2410C">
              <w:rPr>
                <w:rStyle w:val="Artref"/>
                <w:color w:val="000000"/>
                <w:lang w:val="fr-CH"/>
              </w:rPr>
              <w:t>5.149</w:t>
            </w:r>
            <w:r w:rsidRPr="00B2410C">
              <w:rPr>
                <w:color w:val="000000"/>
                <w:lang w:val="fr-CH"/>
              </w:rPr>
              <w:t xml:space="preserve">  </w:t>
            </w:r>
            <w:r w:rsidRPr="00B2410C">
              <w:rPr>
                <w:rStyle w:val="Artref"/>
                <w:color w:val="000000"/>
                <w:lang w:val="fr-CH"/>
              </w:rPr>
              <w:t>5.429</w:t>
            </w:r>
          </w:p>
        </w:tc>
      </w:tr>
    </w:tbl>
    <w:p w:rsidR="009A47E9" w:rsidRDefault="009A47E9" w:rsidP="009A47E9">
      <w:pPr>
        <w:pStyle w:val="Reasons"/>
      </w:pPr>
      <w:r w:rsidRPr="009A47E9">
        <w:rPr>
          <w:b/>
          <w:bCs/>
        </w:rPr>
        <w:t>Motifs:</w:t>
      </w:r>
      <w:r>
        <w:tab/>
      </w:r>
      <w:r w:rsidRPr="00D17F1A">
        <w:t>Les études menées par l'UIT-R, qui portaient sur le partage entre les stations de base IMT et l'équipement UE ainsi que tous les types concernés de systèmes radar, montrent que le partage des fréquences ne peut pas être assuré dans la même zone géographique et qu'il faut prévoir une grande distance de séparation, ce qui est impossible</w:t>
      </w:r>
      <w:r>
        <w:t>.</w:t>
      </w:r>
    </w:p>
    <w:p w:rsidR="004E7EF3" w:rsidRPr="00B2410C" w:rsidRDefault="006A3B65" w:rsidP="00464B22">
      <w:pPr>
        <w:pStyle w:val="Proposal"/>
        <w:rPr>
          <w:lang w:val="fr-CH"/>
        </w:rPr>
      </w:pPr>
      <w:r w:rsidRPr="00B2410C">
        <w:rPr>
          <w:u w:val="single"/>
          <w:lang w:val="fr-CH"/>
        </w:rPr>
        <w:t>NOC</w:t>
      </w:r>
      <w:r w:rsidRPr="00B2410C">
        <w:rPr>
          <w:lang w:val="fr-CH"/>
        </w:rPr>
        <w:tab/>
        <w:t>IRN/61A1/3</w:t>
      </w:r>
    </w:p>
    <w:p w:rsidR="004A6A8C" w:rsidRPr="00B2410C" w:rsidRDefault="006A3B65" w:rsidP="00464B22">
      <w:pPr>
        <w:pStyle w:val="Tabletitle"/>
        <w:rPr>
          <w:color w:val="000000"/>
          <w:lang w:val="fr-CH"/>
        </w:rPr>
      </w:pPr>
      <w:r w:rsidRPr="00B2410C">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4A6A8C" w:rsidRPr="00B2410C" w:rsidTr="00D94B99">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Attribution aux services</w:t>
            </w:r>
          </w:p>
        </w:tc>
      </w:tr>
      <w:tr w:rsidR="004A6A8C" w:rsidRPr="00B2410C" w:rsidTr="00D94B99">
        <w:trPr>
          <w:cantSplit/>
          <w:jc w:val="center"/>
        </w:trPr>
        <w:tc>
          <w:tcPr>
            <w:tcW w:w="3155"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1</w:t>
            </w:r>
          </w:p>
        </w:tc>
        <w:tc>
          <w:tcPr>
            <w:tcW w:w="3124"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2</w:t>
            </w:r>
          </w:p>
        </w:tc>
        <w:tc>
          <w:tcPr>
            <w:tcW w:w="3219"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rPr>
                <w:color w:val="000000"/>
                <w:lang w:val="fr-CH"/>
              </w:rPr>
            </w:pPr>
            <w:r w:rsidRPr="00B2410C">
              <w:rPr>
                <w:color w:val="000000"/>
                <w:lang w:val="fr-CH"/>
              </w:rPr>
              <w:t>Région 3</w:t>
            </w:r>
          </w:p>
        </w:tc>
      </w:tr>
      <w:tr w:rsidR="004A6A8C" w:rsidRPr="00B2410C" w:rsidTr="00D94B99">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4A6A8C" w:rsidRPr="00B2410C" w:rsidRDefault="006A3B65" w:rsidP="00464B22">
            <w:pPr>
              <w:pStyle w:val="TableTextS5"/>
              <w:spacing w:before="10" w:after="10"/>
              <w:rPr>
                <w:color w:val="000000"/>
                <w:lang w:val="fr-CH"/>
              </w:rPr>
            </w:pPr>
            <w:r w:rsidRPr="00B2410C">
              <w:rPr>
                <w:rStyle w:val="Tablefreq"/>
                <w:lang w:val="fr-CH"/>
              </w:rPr>
              <w:t>4 400-4 500</w:t>
            </w:r>
            <w:r w:rsidRPr="00B2410C">
              <w:rPr>
                <w:color w:val="000000"/>
                <w:lang w:val="fr-CH"/>
              </w:rPr>
              <w:tab/>
              <w:t>FIXE</w:t>
            </w:r>
          </w:p>
          <w:p w:rsidR="004A6A8C" w:rsidRPr="00B2410C" w:rsidRDefault="006A3B65" w:rsidP="00464B22">
            <w:pPr>
              <w:pStyle w:val="TableTextS5"/>
              <w:spacing w:before="10" w:after="10"/>
              <w:rPr>
                <w:b/>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t>MOBILE  5.440A</w:t>
            </w:r>
          </w:p>
        </w:tc>
      </w:tr>
    </w:tbl>
    <w:p w:rsidR="009837D4" w:rsidRPr="00B2410C" w:rsidRDefault="006A3B65" w:rsidP="00794026">
      <w:pPr>
        <w:pStyle w:val="Reasons"/>
        <w:rPr>
          <w:lang w:val="fr-CH"/>
        </w:rPr>
      </w:pPr>
      <w:r w:rsidRPr="00B2410C">
        <w:rPr>
          <w:b/>
          <w:lang w:val="fr-CH"/>
        </w:rPr>
        <w:t>Motifs:</w:t>
      </w:r>
      <w:r w:rsidRPr="00B2410C">
        <w:rPr>
          <w:lang w:val="fr-CH"/>
        </w:rPr>
        <w:tab/>
      </w:r>
      <w:r w:rsidR="004A1F92" w:rsidRPr="00B2410C">
        <w:rPr>
          <w:lang w:val="fr-CH"/>
        </w:rPr>
        <w:t>Il ressort du résumé des</w:t>
      </w:r>
      <w:r w:rsidR="00CE1B61" w:rsidRPr="00B2410C">
        <w:rPr>
          <w:lang w:val="fr-CH"/>
        </w:rPr>
        <w:t xml:space="preserve"> </w:t>
      </w:r>
      <w:r w:rsidR="005D479A" w:rsidRPr="00B2410C">
        <w:rPr>
          <w:lang w:val="fr-CH"/>
        </w:rPr>
        <w:t xml:space="preserve">études de compatibilité entre les systèmes IMT et les systèmes hertziens fixes point à point dans la bande </w:t>
      </w:r>
      <w:r w:rsidR="00CE1B61" w:rsidRPr="00B2410C">
        <w:rPr>
          <w:lang w:val="fr-CH"/>
        </w:rPr>
        <w:t xml:space="preserve">de fréquences </w:t>
      </w:r>
      <w:r w:rsidR="005D479A" w:rsidRPr="00B2410C">
        <w:rPr>
          <w:lang w:val="fr-CH"/>
        </w:rPr>
        <w:t>4 400</w:t>
      </w:r>
      <w:r w:rsidR="005D479A" w:rsidRPr="00B2410C">
        <w:rPr>
          <w:lang w:val="fr-CH"/>
        </w:rPr>
        <w:noBreakHyphen/>
        <w:t>4 990 MHz</w:t>
      </w:r>
      <w:r w:rsidR="00CE1B61" w:rsidRPr="00B2410C">
        <w:rPr>
          <w:color w:val="000000"/>
          <w:lang w:val="fr-CH"/>
        </w:rPr>
        <w:t xml:space="preserve"> qu</w:t>
      </w:r>
      <w:r w:rsidR="00794026" w:rsidRPr="00B2410C">
        <w:rPr>
          <w:color w:val="000000"/>
          <w:lang w:val="fr-CH"/>
        </w:rPr>
        <w:t>'</w:t>
      </w:r>
      <w:r w:rsidR="00CE1B61" w:rsidRPr="00B2410C">
        <w:rPr>
          <w:color w:val="000000"/>
          <w:lang w:val="fr-CH"/>
        </w:rPr>
        <w:t>il faut prévoir de grandes distances de séparation géographique. En cas de brouillages cumulatifs causés par un réseau de stations de base IMT, la distance de séparation requise fait qu'il est plus difficile d'assurer la compatibilité entre s</w:t>
      </w:r>
      <w:r w:rsidR="004A1F92" w:rsidRPr="00B2410C">
        <w:rPr>
          <w:color w:val="000000"/>
          <w:lang w:val="fr-CH"/>
        </w:rPr>
        <w:t xml:space="preserve">ystèmes IMT et systèmes du SF. </w:t>
      </w:r>
      <w:r w:rsidR="004A1F92" w:rsidRPr="00B2410C">
        <w:rPr>
          <w:lang w:val="fr-CH"/>
        </w:rPr>
        <w:t>E</w:t>
      </w:r>
      <w:r w:rsidR="00CE1B61" w:rsidRPr="00B2410C">
        <w:rPr>
          <w:lang w:val="fr-CH"/>
        </w:rPr>
        <w:t>tant</w:t>
      </w:r>
      <w:r w:rsidR="00CE1B61" w:rsidRPr="00B2410C">
        <w:rPr>
          <w:color w:val="000000"/>
          <w:lang w:val="fr-CH"/>
        </w:rPr>
        <w:t xml:space="preserve"> donn</w:t>
      </w:r>
      <w:r w:rsidR="004A1F92" w:rsidRPr="00B2410C">
        <w:rPr>
          <w:color w:val="000000"/>
          <w:lang w:val="fr-CH"/>
        </w:rPr>
        <w:t>é</w:t>
      </w:r>
      <w:r w:rsidR="00CE1B61" w:rsidRPr="00B2410C">
        <w:rPr>
          <w:color w:val="000000"/>
          <w:lang w:val="fr-CH"/>
        </w:rPr>
        <w:t xml:space="preserve"> que la bande de fréquences </w:t>
      </w:r>
      <w:r w:rsidR="004A1F92" w:rsidRPr="00B2410C">
        <w:rPr>
          <w:lang w:val="fr-CH"/>
        </w:rPr>
        <w:t>4 400-</w:t>
      </w:r>
      <w:r w:rsidR="00CE1B61" w:rsidRPr="00B2410C">
        <w:rPr>
          <w:lang w:val="fr-CH"/>
        </w:rPr>
        <w:t xml:space="preserve">4 990 MHz est </w:t>
      </w:r>
      <w:r w:rsidR="004A1F92" w:rsidRPr="00B2410C">
        <w:rPr>
          <w:color w:val="000000"/>
          <w:lang w:val="fr-CH"/>
        </w:rPr>
        <w:t xml:space="preserve">très utilisée </w:t>
      </w:r>
      <w:r w:rsidR="00CE1B61" w:rsidRPr="00B2410C">
        <w:rPr>
          <w:color w:val="000000"/>
          <w:lang w:val="fr-CH"/>
        </w:rPr>
        <w:t>par les</w:t>
      </w:r>
      <w:r w:rsidR="00CE1B61" w:rsidRPr="00B2410C">
        <w:rPr>
          <w:lang w:val="fr-CH"/>
        </w:rPr>
        <w:t xml:space="preserve"> </w:t>
      </w:r>
      <w:r w:rsidR="004A1F92" w:rsidRPr="00B2410C">
        <w:rPr>
          <w:color w:val="000000"/>
          <w:lang w:val="fr-CH"/>
        </w:rPr>
        <w:t>liaisons hyperfréquences, l</w:t>
      </w:r>
      <w:r w:rsidR="00794026" w:rsidRPr="00B2410C">
        <w:rPr>
          <w:color w:val="000000"/>
          <w:lang w:val="fr-CH"/>
        </w:rPr>
        <w:t>'</w:t>
      </w:r>
      <w:r w:rsidR="004A1F92" w:rsidRPr="00B2410C">
        <w:rPr>
          <w:color w:val="000000"/>
          <w:lang w:val="fr-CH"/>
        </w:rPr>
        <w:t>A</w:t>
      </w:r>
      <w:r w:rsidR="00CE1B61" w:rsidRPr="00B2410C">
        <w:rPr>
          <w:color w:val="000000"/>
          <w:lang w:val="fr-CH"/>
        </w:rPr>
        <w:t>dministration iranienn</w:t>
      </w:r>
      <w:r w:rsidR="00464B22" w:rsidRPr="00B2410C">
        <w:rPr>
          <w:color w:val="000000"/>
          <w:lang w:val="fr-CH"/>
        </w:rPr>
        <w:t>e ne peut envisager la mise en oe</w:t>
      </w:r>
      <w:r w:rsidR="00CE1B61" w:rsidRPr="00B2410C">
        <w:rPr>
          <w:color w:val="000000"/>
          <w:lang w:val="fr-CH"/>
        </w:rPr>
        <w:t>uvre de</w:t>
      </w:r>
      <w:r w:rsidR="005614F1" w:rsidRPr="00B2410C">
        <w:rPr>
          <w:lang w:val="fr-CH"/>
        </w:rPr>
        <w:t xml:space="preserve"> </w:t>
      </w:r>
      <w:r w:rsidR="00CE1B61" w:rsidRPr="00B2410C">
        <w:rPr>
          <w:color w:val="000000"/>
          <w:lang w:val="fr-CH"/>
        </w:rPr>
        <w:t>systèmes mobiles à</w:t>
      </w:r>
      <w:r w:rsidR="004A1F92" w:rsidRPr="00B2410C">
        <w:rPr>
          <w:color w:val="000000"/>
          <w:lang w:val="fr-CH"/>
        </w:rPr>
        <w:t xml:space="preserve"> haute densité dans cette bande</w:t>
      </w:r>
      <w:r w:rsidR="00CE1B61" w:rsidRPr="00B2410C">
        <w:rPr>
          <w:color w:val="000000"/>
          <w:lang w:val="fr-CH"/>
        </w:rPr>
        <w:t xml:space="preserve"> de fréquences.</w:t>
      </w:r>
    </w:p>
    <w:p w:rsidR="004E7EF3" w:rsidRPr="00B2410C" w:rsidRDefault="006A3B65" w:rsidP="00464B22">
      <w:pPr>
        <w:pStyle w:val="Proposal"/>
        <w:rPr>
          <w:lang w:val="fr-CH"/>
        </w:rPr>
      </w:pPr>
      <w:r w:rsidRPr="00B2410C">
        <w:rPr>
          <w:u w:val="single"/>
          <w:lang w:val="fr-CH"/>
        </w:rPr>
        <w:t>NOC</w:t>
      </w:r>
      <w:r w:rsidRPr="00B2410C">
        <w:rPr>
          <w:lang w:val="fr-CH"/>
        </w:rPr>
        <w:tab/>
        <w:t>IRN/61A1/4</w:t>
      </w:r>
    </w:p>
    <w:p w:rsidR="004A6A8C" w:rsidRPr="00B2410C" w:rsidRDefault="006A3B65" w:rsidP="00464B22">
      <w:pPr>
        <w:pStyle w:val="Tabletitle"/>
        <w:spacing w:after="80"/>
        <w:rPr>
          <w:color w:val="000000"/>
          <w:lang w:val="fr-CH"/>
        </w:rPr>
      </w:pPr>
      <w:r w:rsidRPr="00B2410C">
        <w:rPr>
          <w:color w:val="000000"/>
          <w:lang w:val="fr-CH"/>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B2410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keepLines/>
              <w:spacing w:before="60" w:after="60"/>
              <w:rPr>
                <w:color w:val="000000"/>
                <w:lang w:val="fr-CH"/>
              </w:rPr>
            </w:pPr>
            <w:r w:rsidRPr="00B2410C">
              <w:rPr>
                <w:color w:val="000000"/>
                <w:lang w:val="fr-CH"/>
              </w:rPr>
              <w:t>Attribution aux services</w:t>
            </w:r>
          </w:p>
        </w:tc>
      </w:tr>
      <w:tr w:rsidR="004A6A8C" w:rsidRPr="00B2410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keepLines/>
              <w:spacing w:before="60" w:after="60"/>
              <w:rPr>
                <w:color w:val="000000"/>
                <w:lang w:val="fr-CH"/>
              </w:rPr>
            </w:pPr>
            <w:r w:rsidRPr="00B2410C">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keepLines/>
              <w:spacing w:before="60" w:after="60"/>
              <w:rPr>
                <w:color w:val="000000"/>
                <w:lang w:val="fr-CH"/>
              </w:rPr>
            </w:pPr>
            <w:r w:rsidRPr="00B2410C">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head"/>
              <w:keepLines/>
              <w:spacing w:before="60" w:after="60"/>
              <w:rPr>
                <w:color w:val="000000"/>
                <w:lang w:val="fr-CH"/>
              </w:rPr>
            </w:pPr>
            <w:r w:rsidRPr="00B2410C">
              <w:rPr>
                <w:color w:val="000000"/>
                <w:lang w:val="fr-CH"/>
              </w:rPr>
              <w:t>Région 3</w:t>
            </w:r>
          </w:p>
        </w:tc>
      </w:tr>
      <w:tr w:rsidR="004A6A8C" w:rsidRPr="00B2410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B2410C" w:rsidRDefault="006A3B65" w:rsidP="00464B22">
            <w:pPr>
              <w:pStyle w:val="TableTextS5"/>
              <w:tabs>
                <w:tab w:val="clear" w:pos="2977"/>
                <w:tab w:val="left" w:pos="2986"/>
              </w:tabs>
              <w:spacing w:before="10" w:after="10"/>
              <w:rPr>
                <w:color w:val="000000"/>
                <w:lang w:val="fr-CH"/>
              </w:rPr>
            </w:pPr>
            <w:r w:rsidRPr="00B2410C">
              <w:rPr>
                <w:rStyle w:val="Tablefreq"/>
                <w:lang w:val="fr-CH"/>
              </w:rPr>
              <w:t>4 800-4 990</w:t>
            </w:r>
            <w:r w:rsidRPr="00B2410C">
              <w:rPr>
                <w:color w:val="000000"/>
                <w:lang w:val="fr-CH"/>
              </w:rPr>
              <w:tab/>
              <w:t>FIXE</w:t>
            </w:r>
          </w:p>
          <w:p w:rsidR="004A6A8C" w:rsidRPr="00B2410C" w:rsidRDefault="006A3B65" w:rsidP="00464B22">
            <w:pPr>
              <w:pStyle w:val="TableTextS5"/>
              <w:tabs>
                <w:tab w:val="clear" w:pos="2977"/>
                <w:tab w:val="left" w:pos="2986"/>
              </w:tabs>
              <w:spacing w:before="10" w:after="10"/>
              <w:rPr>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t xml:space="preserve">MOBILE  </w:t>
            </w:r>
            <w:r w:rsidRPr="00B2410C">
              <w:rPr>
                <w:rStyle w:val="Artref"/>
                <w:color w:val="000000"/>
                <w:lang w:val="fr-CH"/>
              </w:rPr>
              <w:t>5.440A  5.442</w:t>
            </w:r>
          </w:p>
          <w:p w:rsidR="004A6A8C" w:rsidRPr="00B2410C" w:rsidRDefault="006A3B65" w:rsidP="00464B22">
            <w:pPr>
              <w:pStyle w:val="TableTextS5"/>
              <w:tabs>
                <w:tab w:val="clear" w:pos="2977"/>
                <w:tab w:val="left" w:pos="2986"/>
              </w:tabs>
              <w:spacing w:before="10" w:after="10"/>
              <w:rPr>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t>Radioastronomie</w:t>
            </w:r>
          </w:p>
          <w:p w:rsidR="004A6A8C" w:rsidRPr="00B2410C" w:rsidRDefault="006A3B65" w:rsidP="00464B22">
            <w:pPr>
              <w:pStyle w:val="TableTextS5"/>
              <w:tabs>
                <w:tab w:val="clear" w:pos="2977"/>
                <w:tab w:val="left" w:pos="2986"/>
              </w:tabs>
              <w:spacing w:before="10" w:after="10"/>
              <w:rPr>
                <w:color w:val="000000"/>
                <w:lang w:val="fr-CH"/>
              </w:rPr>
            </w:pPr>
            <w:r w:rsidRPr="00B2410C">
              <w:rPr>
                <w:color w:val="000000"/>
                <w:lang w:val="fr-CH"/>
              </w:rPr>
              <w:tab/>
            </w:r>
            <w:r w:rsidRPr="00B2410C">
              <w:rPr>
                <w:color w:val="000000"/>
                <w:lang w:val="fr-CH"/>
              </w:rPr>
              <w:tab/>
            </w:r>
            <w:r w:rsidRPr="00B2410C">
              <w:rPr>
                <w:color w:val="000000"/>
                <w:lang w:val="fr-CH"/>
              </w:rPr>
              <w:tab/>
            </w:r>
            <w:r w:rsidRPr="00B2410C">
              <w:rPr>
                <w:color w:val="000000"/>
                <w:lang w:val="fr-CH"/>
              </w:rPr>
              <w:tab/>
            </w:r>
            <w:r w:rsidRPr="00B2410C">
              <w:rPr>
                <w:rStyle w:val="Artref"/>
                <w:color w:val="000000"/>
                <w:lang w:val="fr-CH"/>
              </w:rPr>
              <w:t>5.149</w:t>
            </w:r>
            <w:r w:rsidRPr="00B2410C">
              <w:rPr>
                <w:color w:val="000000"/>
                <w:lang w:val="fr-CH"/>
              </w:rPr>
              <w:t xml:space="preserve">  </w:t>
            </w:r>
            <w:r w:rsidRPr="00B2410C">
              <w:rPr>
                <w:rStyle w:val="Artref"/>
                <w:color w:val="000000"/>
                <w:lang w:val="fr-CH"/>
              </w:rPr>
              <w:t>5.339</w:t>
            </w:r>
            <w:r w:rsidRPr="00B2410C">
              <w:rPr>
                <w:color w:val="000000"/>
                <w:lang w:val="fr-CH"/>
              </w:rPr>
              <w:t xml:space="preserve">  </w:t>
            </w:r>
            <w:r w:rsidRPr="00B2410C">
              <w:rPr>
                <w:rStyle w:val="Artref"/>
                <w:color w:val="000000"/>
                <w:lang w:val="fr-CH"/>
              </w:rPr>
              <w:t>5.443</w:t>
            </w:r>
          </w:p>
        </w:tc>
      </w:tr>
    </w:tbl>
    <w:p w:rsidR="00794026" w:rsidRPr="00B2410C" w:rsidRDefault="006A3B65" w:rsidP="00794026">
      <w:pPr>
        <w:pStyle w:val="Reasons"/>
        <w:rPr>
          <w:color w:val="000000"/>
          <w:lang w:val="fr-CH"/>
        </w:rPr>
      </w:pPr>
      <w:r w:rsidRPr="00B2410C">
        <w:rPr>
          <w:b/>
          <w:lang w:val="fr-CH"/>
        </w:rPr>
        <w:t>Motifs:</w:t>
      </w:r>
      <w:r w:rsidRPr="00B2410C">
        <w:rPr>
          <w:lang w:val="fr-CH"/>
        </w:rPr>
        <w:tab/>
      </w:r>
      <w:r w:rsidR="00464B22" w:rsidRPr="00B2410C">
        <w:rPr>
          <w:szCs w:val="24"/>
          <w:lang w:val="fr-CH"/>
        </w:rPr>
        <w:t>Il ressort du résumé des</w:t>
      </w:r>
      <w:r w:rsidR="00CE1B61" w:rsidRPr="00B2410C">
        <w:rPr>
          <w:szCs w:val="24"/>
          <w:lang w:val="fr-CH"/>
        </w:rPr>
        <w:t xml:space="preserve"> études de compatibilité entre les systèmes IMT et les systèmes hertziens fixes point à point dans la bande de fréquences </w:t>
      </w:r>
      <w:r w:rsidR="00CE1B61" w:rsidRPr="00B2410C">
        <w:rPr>
          <w:lang w:val="fr-CH"/>
        </w:rPr>
        <w:t>4 400</w:t>
      </w:r>
      <w:r w:rsidR="00CE1B61" w:rsidRPr="00B2410C">
        <w:rPr>
          <w:lang w:val="fr-CH"/>
        </w:rPr>
        <w:noBreakHyphen/>
        <w:t>4 990 MHz</w:t>
      </w:r>
      <w:r w:rsidR="00CE1B61" w:rsidRPr="00B2410C">
        <w:rPr>
          <w:color w:val="000000"/>
          <w:lang w:val="fr-CH"/>
        </w:rPr>
        <w:t xml:space="preserve"> qu</w:t>
      </w:r>
      <w:r w:rsidR="00794026" w:rsidRPr="00B2410C">
        <w:rPr>
          <w:color w:val="000000"/>
          <w:lang w:val="fr-CH"/>
        </w:rPr>
        <w:t>'</w:t>
      </w:r>
      <w:r w:rsidR="00CE1B61" w:rsidRPr="00B2410C">
        <w:rPr>
          <w:color w:val="000000"/>
          <w:lang w:val="fr-CH"/>
        </w:rPr>
        <w:t>il faut prévoir de grandes distances de séparation géographique. En cas de brouillages cumulatifs causés par un réseau de stations de base IMT, la distance de séparation requise fait qu'il est plus difficile d'assurer la compatibilité entre s</w:t>
      </w:r>
      <w:r w:rsidR="00464B22" w:rsidRPr="00B2410C">
        <w:rPr>
          <w:color w:val="000000"/>
          <w:lang w:val="fr-CH"/>
        </w:rPr>
        <w:t>ystèmes IMT et systèmes du SF. Etant donné</w:t>
      </w:r>
      <w:r w:rsidR="00CE1B61" w:rsidRPr="00B2410C">
        <w:rPr>
          <w:color w:val="000000"/>
          <w:lang w:val="fr-CH"/>
        </w:rPr>
        <w:t xml:space="preserve"> que la bande de fréquences </w:t>
      </w:r>
      <w:r w:rsidR="00464B22" w:rsidRPr="00B2410C">
        <w:rPr>
          <w:lang w:val="fr-CH"/>
        </w:rPr>
        <w:t>4 400-</w:t>
      </w:r>
      <w:r w:rsidR="00CE1B61" w:rsidRPr="00B2410C">
        <w:rPr>
          <w:lang w:val="fr-CH"/>
        </w:rPr>
        <w:t xml:space="preserve">4 990 MHz est </w:t>
      </w:r>
      <w:r w:rsidR="00464B22" w:rsidRPr="00B2410C">
        <w:rPr>
          <w:color w:val="000000"/>
          <w:lang w:val="fr-CH"/>
        </w:rPr>
        <w:t>très utilisée</w:t>
      </w:r>
      <w:r w:rsidR="00CE1B61" w:rsidRPr="00B2410C">
        <w:rPr>
          <w:color w:val="000000"/>
          <w:lang w:val="fr-CH"/>
        </w:rPr>
        <w:t xml:space="preserve"> par les</w:t>
      </w:r>
      <w:r w:rsidR="00CE1B61" w:rsidRPr="00B2410C">
        <w:rPr>
          <w:lang w:val="fr-CH"/>
        </w:rPr>
        <w:t xml:space="preserve"> </w:t>
      </w:r>
      <w:r w:rsidR="00CE1B61" w:rsidRPr="00B2410C">
        <w:rPr>
          <w:color w:val="000000"/>
          <w:lang w:val="fr-CH"/>
        </w:rPr>
        <w:t>liaisons hy</w:t>
      </w:r>
      <w:r w:rsidR="00464B22" w:rsidRPr="00B2410C">
        <w:rPr>
          <w:color w:val="000000"/>
          <w:lang w:val="fr-CH"/>
        </w:rPr>
        <w:t>perfréquences, l</w:t>
      </w:r>
      <w:r w:rsidR="00794026" w:rsidRPr="00B2410C">
        <w:rPr>
          <w:color w:val="000000"/>
          <w:lang w:val="fr-CH"/>
        </w:rPr>
        <w:t>'</w:t>
      </w:r>
      <w:r w:rsidR="00464B22" w:rsidRPr="00B2410C">
        <w:rPr>
          <w:color w:val="000000"/>
          <w:lang w:val="fr-CH"/>
        </w:rPr>
        <w:t>A</w:t>
      </w:r>
      <w:r w:rsidR="00CE1B61" w:rsidRPr="00B2410C">
        <w:rPr>
          <w:color w:val="000000"/>
          <w:lang w:val="fr-CH"/>
        </w:rPr>
        <w:t>dministration iranienn</w:t>
      </w:r>
      <w:r w:rsidR="00464B22" w:rsidRPr="00B2410C">
        <w:rPr>
          <w:color w:val="000000"/>
          <w:lang w:val="fr-CH"/>
        </w:rPr>
        <w:t>e ne peut envisager la mise en oe</w:t>
      </w:r>
      <w:r w:rsidR="00CE1B61" w:rsidRPr="00B2410C">
        <w:rPr>
          <w:color w:val="000000"/>
          <w:lang w:val="fr-CH"/>
        </w:rPr>
        <w:t>uvre de</w:t>
      </w:r>
      <w:r w:rsidR="00CE1B61" w:rsidRPr="00B2410C">
        <w:rPr>
          <w:lang w:val="fr-CH"/>
        </w:rPr>
        <w:t xml:space="preserve"> </w:t>
      </w:r>
      <w:r w:rsidR="00CE1B61" w:rsidRPr="00B2410C">
        <w:rPr>
          <w:color w:val="000000"/>
          <w:lang w:val="fr-CH"/>
        </w:rPr>
        <w:t xml:space="preserve">systèmes mobiles à </w:t>
      </w:r>
      <w:r w:rsidR="00464B22" w:rsidRPr="00B2410C">
        <w:rPr>
          <w:color w:val="000000"/>
          <w:lang w:val="fr-CH"/>
        </w:rPr>
        <w:t xml:space="preserve">haute densité dans cette bande </w:t>
      </w:r>
      <w:r w:rsidR="00CE1B61" w:rsidRPr="00B2410C">
        <w:rPr>
          <w:color w:val="000000"/>
          <w:lang w:val="fr-CH"/>
        </w:rPr>
        <w:t>de fréquences.</w:t>
      </w:r>
    </w:p>
    <w:p w:rsidR="00794026" w:rsidRPr="00B2410C" w:rsidRDefault="00794026" w:rsidP="00794026">
      <w:pPr>
        <w:jc w:val="center"/>
        <w:rPr>
          <w:lang w:val="fr-CH"/>
        </w:rPr>
      </w:pPr>
      <w:r w:rsidRPr="00B2410C">
        <w:rPr>
          <w:lang w:val="fr-CH"/>
        </w:rPr>
        <w:t>______________</w:t>
      </w:r>
    </w:p>
    <w:sectPr w:rsidR="00794026" w:rsidRPr="00B2410C">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81C38">
      <w:rPr>
        <w:noProof/>
        <w:lang w:val="en-US"/>
      </w:rPr>
      <w:t>P:\FRA\ITU-R\CONF-R\CMR15\000\061ADD01F.docx</w:t>
    </w:r>
    <w:r>
      <w:fldChar w:fldCharType="end"/>
    </w:r>
    <w:r>
      <w:rPr>
        <w:lang w:val="en-US"/>
      </w:rPr>
      <w:tab/>
    </w:r>
    <w:r>
      <w:fldChar w:fldCharType="begin"/>
    </w:r>
    <w:r>
      <w:instrText xml:space="preserve"> SAVEDATE \@ DD.MM.YY </w:instrText>
    </w:r>
    <w:r>
      <w:fldChar w:fldCharType="separate"/>
    </w:r>
    <w:r w:rsidR="00B81C38">
      <w:rPr>
        <w:noProof/>
      </w:rPr>
      <w:t>23.10.15</w:t>
    </w:r>
    <w:r>
      <w:fldChar w:fldCharType="end"/>
    </w:r>
    <w:r>
      <w:rPr>
        <w:lang w:val="en-US"/>
      </w:rPr>
      <w:tab/>
    </w:r>
    <w:r>
      <w:fldChar w:fldCharType="begin"/>
    </w:r>
    <w:r>
      <w:instrText xml:space="preserve"> PRINTDATE \@ DD.MM.YY </w:instrText>
    </w:r>
    <w:r>
      <w:fldChar w:fldCharType="separate"/>
    </w:r>
    <w:r w:rsidR="00B81C38">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81C38">
      <w:rPr>
        <w:lang w:val="en-US"/>
      </w:rPr>
      <w:t>P:\FRA\ITU-R\CONF-R\CMR15\000\061ADD01F.docx</w:t>
    </w:r>
    <w:r>
      <w:fldChar w:fldCharType="end"/>
    </w:r>
    <w:r w:rsidR="00C56721">
      <w:t xml:space="preserve"> (388280)</w:t>
    </w:r>
    <w:r>
      <w:rPr>
        <w:lang w:val="en-US"/>
      </w:rPr>
      <w:tab/>
    </w:r>
    <w:r>
      <w:fldChar w:fldCharType="begin"/>
    </w:r>
    <w:r>
      <w:instrText xml:space="preserve"> SAVEDATE \@ DD.MM.YY </w:instrText>
    </w:r>
    <w:r>
      <w:fldChar w:fldCharType="separate"/>
    </w:r>
    <w:r w:rsidR="00B81C38">
      <w:t>23.10.15</w:t>
    </w:r>
    <w:r>
      <w:fldChar w:fldCharType="end"/>
    </w:r>
    <w:r>
      <w:rPr>
        <w:lang w:val="en-US"/>
      </w:rPr>
      <w:tab/>
    </w:r>
    <w:r>
      <w:fldChar w:fldCharType="begin"/>
    </w:r>
    <w:r>
      <w:instrText xml:space="preserve"> PRINTDATE \@ DD.MM.YY </w:instrText>
    </w:r>
    <w:r>
      <w:fldChar w:fldCharType="separate"/>
    </w:r>
    <w:r w:rsidR="00B81C38">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81C38">
      <w:rPr>
        <w:lang w:val="en-US"/>
      </w:rPr>
      <w:t>P:\FRA\ITU-R\CONF-R\CMR15\000\061ADD01F.docx</w:t>
    </w:r>
    <w:r>
      <w:fldChar w:fldCharType="end"/>
    </w:r>
    <w:r w:rsidR="00C56721">
      <w:t xml:space="preserve"> (388280)</w:t>
    </w:r>
    <w:r>
      <w:rPr>
        <w:lang w:val="en-US"/>
      </w:rPr>
      <w:tab/>
    </w:r>
    <w:r>
      <w:fldChar w:fldCharType="begin"/>
    </w:r>
    <w:r>
      <w:instrText xml:space="preserve"> SAVEDATE \@ DD.MM.YY </w:instrText>
    </w:r>
    <w:r>
      <w:fldChar w:fldCharType="separate"/>
    </w:r>
    <w:r w:rsidR="00B81C38">
      <w:t>23.10.15</w:t>
    </w:r>
    <w:r>
      <w:fldChar w:fldCharType="end"/>
    </w:r>
    <w:r>
      <w:rPr>
        <w:lang w:val="en-US"/>
      </w:rPr>
      <w:tab/>
    </w:r>
    <w:r>
      <w:fldChar w:fldCharType="begin"/>
    </w:r>
    <w:r>
      <w:instrText xml:space="preserve"> PRINTDATE \@ DD.MM.YY </w:instrText>
    </w:r>
    <w:r>
      <w:fldChar w:fldCharType="separate"/>
    </w:r>
    <w:r w:rsidR="00B81C38">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81C38">
      <w:rPr>
        <w:noProof/>
      </w:rPr>
      <w:t>3</w:t>
    </w:r>
    <w:r>
      <w:fldChar w:fldCharType="end"/>
    </w:r>
  </w:p>
  <w:p w:rsidR="004F1F8E" w:rsidRDefault="004F1F8E" w:rsidP="002C28A4">
    <w:pPr>
      <w:pStyle w:val="Header"/>
    </w:pPr>
    <w:r>
      <w:t>CMR1</w:t>
    </w:r>
    <w:r w:rsidR="002C28A4">
      <w:t>5</w:t>
    </w:r>
    <w:r>
      <w:t>/</w:t>
    </w:r>
    <w:r w:rsidR="006A4B45">
      <w:t>61(Add.1)-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B437C8-3D76-48C4-B4A6-F3D35205F1D6}"/>
    <w:docVar w:name="dgnword-eventsink" w:val="221236048"/>
  </w:docVars>
  <w:rsids>
    <w:rsidRoot w:val="00BB1D82"/>
    <w:rsid w:val="00007EC7"/>
    <w:rsid w:val="00010B43"/>
    <w:rsid w:val="00016648"/>
    <w:rsid w:val="00022822"/>
    <w:rsid w:val="0003522F"/>
    <w:rsid w:val="000748BD"/>
    <w:rsid w:val="00080E2C"/>
    <w:rsid w:val="000A4755"/>
    <w:rsid w:val="000B2E0C"/>
    <w:rsid w:val="000B3D0C"/>
    <w:rsid w:val="001167B9"/>
    <w:rsid w:val="001267A0"/>
    <w:rsid w:val="0015203F"/>
    <w:rsid w:val="00160C64"/>
    <w:rsid w:val="00170112"/>
    <w:rsid w:val="0018169B"/>
    <w:rsid w:val="0019352B"/>
    <w:rsid w:val="00194838"/>
    <w:rsid w:val="001960D0"/>
    <w:rsid w:val="001F17E8"/>
    <w:rsid w:val="00204306"/>
    <w:rsid w:val="00232FD2"/>
    <w:rsid w:val="0026554E"/>
    <w:rsid w:val="00273DDE"/>
    <w:rsid w:val="002A4622"/>
    <w:rsid w:val="002A6F8F"/>
    <w:rsid w:val="002B17E5"/>
    <w:rsid w:val="002C0EBF"/>
    <w:rsid w:val="002C28A4"/>
    <w:rsid w:val="003026CA"/>
    <w:rsid w:val="00315AFE"/>
    <w:rsid w:val="003606A6"/>
    <w:rsid w:val="0036650C"/>
    <w:rsid w:val="00393ACD"/>
    <w:rsid w:val="003A583E"/>
    <w:rsid w:val="003E112B"/>
    <w:rsid w:val="003E1D1C"/>
    <w:rsid w:val="003E7B05"/>
    <w:rsid w:val="00464B22"/>
    <w:rsid w:val="00466211"/>
    <w:rsid w:val="004834A9"/>
    <w:rsid w:val="004A1F92"/>
    <w:rsid w:val="004D01FC"/>
    <w:rsid w:val="004E28C3"/>
    <w:rsid w:val="004E7EF3"/>
    <w:rsid w:val="004F1F8E"/>
    <w:rsid w:val="00512A32"/>
    <w:rsid w:val="0054233B"/>
    <w:rsid w:val="005614F1"/>
    <w:rsid w:val="00586CF2"/>
    <w:rsid w:val="005C3768"/>
    <w:rsid w:val="005C6C3F"/>
    <w:rsid w:val="005D479A"/>
    <w:rsid w:val="00613635"/>
    <w:rsid w:val="0062093D"/>
    <w:rsid w:val="00637ECF"/>
    <w:rsid w:val="00647B59"/>
    <w:rsid w:val="00690C7B"/>
    <w:rsid w:val="006A3B65"/>
    <w:rsid w:val="006A4B45"/>
    <w:rsid w:val="006D4724"/>
    <w:rsid w:val="00701BAE"/>
    <w:rsid w:val="00721F04"/>
    <w:rsid w:val="00730E95"/>
    <w:rsid w:val="007426B9"/>
    <w:rsid w:val="00764342"/>
    <w:rsid w:val="00770645"/>
    <w:rsid w:val="00774362"/>
    <w:rsid w:val="00786598"/>
    <w:rsid w:val="00794026"/>
    <w:rsid w:val="007A04E8"/>
    <w:rsid w:val="007F74F3"/>
    <w:rsid w:val="00851625"/>
    <w:rsid w:val="00863C0A"/>
    <w:rsid w:val="008A3120"/>
    <w:rsid w:val="008C2B1E"/>
    <w:rsid w:val="008D41BE"/>
    <w:rsid w:val="008D58D3"/>
    <w:rsid w:val="00923064"/>
    <w:rsid w:val="00930FFD"/>
    <w:rsid w:val="00936D25"/>
    <w:rsid w:val="00941EA5"/>
    <w:rsid w:val="00964700"/>
    <w:rsid w:val="00966C16"/>
    <w:rsid w:val="009837D4"/>
    <w:rsid w:val="0098732F"/>
    <w:rsid w:val="009A045F"/>
    <w:rsid w:val="009A47E9"/>
    <w:rsid w:val="009C7E7C"/>
    <w:rsid w:val="00A00473"/>
    <w:rsid w:val="00A03C9B"/>
    <w:rsid w:val="00A37105"/>
    <w:rsid w:val="00A50DF6"/>
    <w:rsid w:val="00A606C3"/>
    <w:rsid w:val="00A60C26"/>
    <w:rsid w:val="00A83B09"/>
    <w:rsid w:val="00A84541"/>
    <w:rsid w:val="00AE36A0"/>
    <w:rsid w:val="00B00294"/>
    <w:rsid w:val="00B2410C"/>
    <w:rsid w:val="00B64FD0"/>
    <w:rsid w:val="00B81C38"/>
    <w:rsid w:val="00BA5BD0"/>
    <w:rsid w:val="00BB1D82"/>
    <w:rsid w:val="00BF26E7"/>
    <w:rsid w:val="00C53FCA"/>
    <w:rsid w:val="00C56721"/>
    <w:rsid w:val="00C76BAF"/>
    <w:rsid w:val="00C814B9"/>
    <w:rsid w:val="00CD516F"/>
    <w:rsid w:val="00CE1B61"/>
    <w:rsid w:val="00D119A7"/>
    <w:rsid w:val="00D17F1A"/>
    <w:rsid w:val="00D25FBA"/>
    <w:rsid w:val="00D32B28"/>
    <w:rsid w:val="00D42954"/>
    <w:rsid w:val="00D66EAC"/>
    <w:rsid w:val="00D730DF"/>
    <w:rsid w:val="00D772F0"/>
    <w:rsid w:val="00D77BDC"/>
    <w:rsid w:val="00DC402B"/>
    <w:rsid w:val="00DE0932"/>
    <w:rsid w:val="00DF12D9"/>
    <w:rsid w:val="00E03A27"/>
    <w:rsid w:val="00E049F1"/>
    <w:rsid w:val="00E33FD9"/>
    <w:rsid w:val="00E37A25"/>
    <w:rsid w:val="00E537FF"/>
    <w:rsid w:val="00E6539B"/>
    <w:rsid w:val="00E70A31"/>
    <w:rsid w:val="00EA3F38"/>
    <w:rsid w:val="00EA5AB6"/>
    <w:rsid w:val="00EC7615"/>
    <w:rsid w:val="00ED16AA"/>
    <w:rsid w:val="00EF662E"/>
    <w:rsid w:val="00F148F1"/>
    <w:rsid w:val="00FA3BBF"/>
    <w:rsid w:val="00FC41F8"/>
    <w:rsid w:val="00FD7E1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C1FDC8A-6CAA-4DB3-A902-3AB4D86A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65F3932C-50D5-4489-972C-27175E24BCDC}">
  <ds:schemaRef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32a1a8c5-2265-4ebc-b7a0-2071e2c5c9bb"/>
    <ds:schemaRef ds:uri="http://purl.org/dc/terms/"/>
    <ds:schemaRef ds:uri="http://schemas.microsoft.com/office/infopath/2007/PartnerControls"/>
    <ds:schemaRef ds:uri="996b2e75-67fd-4955-a3b0-5ab9934cb5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937</Words>
  <Characters>4991</Characters>
  <Application>Microsoft Office Word</Application>
  <DocSecurity>0</DocSecurity>
  <Lines>163</Lines>
  <Paragraphs>101</Paragraphs>
  <ScaleCrop>false</ScaleCrop>
  <HeadingPairs>
    <vt:vector size="2" baseType="variant">
      <vt:variant>
        <vt:lpstr>Title</vt:lpstr>
      </vt:variant>
      <vt:variant>
        <vt:i4>1</vt:i4>
      </vt:variant>
    </vt:vector>
  </HeadingPairs>
  <TitlesOfParts>
    <vt:vector size="1" baseType="lpstr">
      <vt:lpstr>R15-WRC15-C-0061!A1!MSW-F</vt:lpstr>
    </vt:vector>
  </TitlesOfParts>
  <Manager>Secrétariat général - Pool</Manager>
  <Company>Union internationale des télécommunications (UIT)</Company>
  <LinksUpToDate>false</LinksUpToDate>
  <CharactersWithSpaces>5891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R15-WRC15-C-0061!A1!MSW-F</dc:title>
  <dc:subject>Conférence mondiale des radiocommunications - 2015</dc:subject>
  <dc:creator>Documents Proposals Manager (DPM)</dc:creator>
  <cp:keywords>DPM_v5.2015.10.15_prod</cp:keywords>
  <dc:description/>
  <cp:lastModifiedBy>Jones, Jacqueline</cp:lastModifiedBy>
  <cp:revision>12</cp:revision>
  <cp:lastPrinted>2015-10-23T13:29:00Z</cp:lastPrinted>
  <dcterms:created xsi:type="dcterms:W3CDTF">2015-10-21T09:41:00Z</dcterms:created>
  <dcterms:modified xsi:type="dcterms:W3CDTF">2015-10-23T13:30:00Z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