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E70263">
        <w:trPr>
          <w:cantSplit/>
        </w:trPr>
        <w:tc>
          <w:tcPr>
            <w:tcW w:w="6911" w:type="dxa"/>
          </w:tcPr>
          <w:p w:rsidR="00A066F1" w:rsidRPr="00E70263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E70263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E70263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E70263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E70263" w:rsidRDefault="00636FB2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E70263">
              <w:rPr>
                <w:noProof/>
                <w:lang w:eastAsia="zh-CN"/>
              </w:rPr>
              <w:drawing>
                <wp:inline distT="0" distB="0" distL="0" distR="0">
                  <wp:extent cx="1247775" cy="9334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E70263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E70263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E70263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E70263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E70263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E70263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E70263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E70263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E70263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E70263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:rsidR="00A066F1" w:rsidRPr="00E70263" w:rsidRDefault="00E55816" w:rsidP="00636FB2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E70263">
              <w:rPr>
                <w:rFonts w:ascii="Verdana" w:hAnsi="Verdana"/>
                <w:b/>
                <w:sz w:val="20"/>
              </w:rPr>
              <w:t>Addendum 1 to</w:t>
            </w:r>
            <w:r w:rsidRPr="00E70263">
              <w:rPr>
                <w:rFonts w:ascii="Verdana" w:hAnsi="Verdana"/>
                <w:b/>
                <w:sz w:val="20"/>
              </w:rPr>
              <w:br/>
              <w:t xml:space="preserve">Document </w:t>
            </w:r>
            <w:r w:rsidR="00636FB2" w:rsidRPr="00E70263">
              <w:rPr>
                <w:rFonts w:ascii="Verdana" w:hAnsi="Verdana"/>
                <w:b/>
                <w:sz w:val="20"/>
              </w:rPr>
              <w:t>61</w:t>
            </w:r>
            <w:r w:rsidR="00A066F1" w:rsidRPr="00E70263">
              <w:rPr>
                <w:rFonts w:ascii="Verdana" w:hAnsi="Verdana"/>
                <w:b/>
                <w:sz w:val="20"/>
              </w:rPr>
              <w:t>-</w:t>
            </w:r>
            <w:r w:rsidR="005E10C9" w:rsidRPr="00E70263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E70263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E70263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</w:tcPr>
          <w:p w:rsidR="00A066F1" w:rsidRPr="00E70263" w:rsidRDefault="00636FB2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E70263">
              <w:rPr>
                <w:rFonts w:ascii="Verdana" w:hAnsi="Verdana"/>
                <w:b/>
                <w:sz w:val="20"/>
              </w:rPr>
              <w:t>14</w:t>
            </w:r>
            <w:r w:rsidR="00420873" w:rsidRPr="00E70263">
              <w:rPr>
                <w:rFonts w:ascii="Verdana" w:hAnsi="Verdana"/>
                <w:b/>
                <w:sz w:val="20"/>
              </w:rPr>
              <w:t xml:space="preserve"> October 2015</w:t>
            </w:r>
          </w:p>
        </w:tc>
      </w:tr>
      <w:tr w:rsidR="00A066F1" w:rsidRPr="00E70263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E70263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E70263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E70263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E70263" w:rsidTr="009F07E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E70263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E70263" w:rsidTr="009F07E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70263" w:rsidRDefault="00884D60" w:rsidP="00E55816">
            <w:pPr>
              <w:pStyle w:val="Source"/>
            </w:pPr>
            <w:r w:rsidRPr="00E70263">
              <w:t>Iran (Islamic Republic of)</w:t>
            </w:r>
          </w:p>
        </w:tc>
      </w:tr>
      <w:tr w:rsidR="00E55816" w:rsidRPr="00E70263" w:rsidTr="009F07E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70263" w:rsidRDefault="007D5320" w:rsidP="00E55816">
            <w:pPr>
              <w:pStyle w:val="Title1"/>
            </w:pPr>
            <w:r w:rsidRPr="00E70263">
              <w:t>Proposals for the work of the conference</w:t>
            </w:r>
          </w:p>
        </w:tc>
      </w:tr>
      <w:tr w:rsidR="00E55816" w:rsidRPr="00E70263" w:rsidTr="009F07E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E70263" w:rsidRDefault="00E55816" w:rsidP="00E55816">
            <w:pPr>
              <w:pStyle w:val="Title2"/>
            </w:pPr>
          </w:p>
        </w:tc>
      </w:tr>
      <w:tr w:rsidR="00A538A6" w:rsidRPr="00E70263" w:rsidTr="009F07E8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E70263" w:rsidRDefault="004B13CB" w:rsidP="004B13CB">
            <w:pPr>
              <w:pStyle w:val="Agendaitem"/>
              <w:rPr>
                <w:lang w:val="en-GB"/>
              </w:rPr>
            </w:pPr>
            <w:r w:rsidRPr="00E70263">
              <w:rPr>
                <w:lang w:val="en-GB"/>
              </w:rPr>
              <w:t>Agenda item 1.1</w:t>
            </w:r>
          </w:p>
        </w:tc>
      </w:tr>
    </w:tbl>
    <w:p w:rsidR="009F07E8" w:rsidRPr="00E70263" w:rsidRDefault="009F07E8" w:rsidP="009F07E8">
      <w:pPr>
        <w:overflowPunct/>
        <w:autoSpaceDE/>
        <w:autoSpaceDN/>
        <w:adjustRightInd/>
        <w:textAlignment w:val="auto"/>
      </w:pPr>
      <w:bookmarkStart w:id="8" w:name="dbreak"/>
      <w:bookmarkEnd w:id="6"/>
      <w:bookmarkEnd w:id="7"/>
      <w:bookmarkEnd w:id="8"/>
      <w:r w:rsidRPr="00E70263">
        <w:t>1.1</w:t>
      </w:r>
      <w:r w:rsidRPr="00E70263">
        <w:tab/>
        <w:t xml:space="preserve">to consider additional spectrum allocations to the mobile service on a primary basis and identification of additional frequency bands for International Mobile Telecommunications (IMT) and related regulatory provisions, to facilitate the development of terrestrial mobile broadband applications, in accordance with Resolution </w:t>
      </w:r>
      <w:r w:rsidRPr="00E70263">
        <w:rPr>
          <w:b/>
          <w:bCs/>
        </w:rPr>
        <w:t>233 (WRC</w:t>
      </w:r>
      <w:r w:rsidRPr="00E70263">
        <w:rPr>
          <w:b/>
          <w:bCs/>
        </w:rPr>
        <w:noBreakHyphen/>
        <w:t>12)</w:t>
      </w:r>
      <w:r w:rsidRPr="00E70263">
        <w:t>;</w:t>
      </w:r>
    </w:p>
    <w:p w:rsidR="00241FA2" w:rsidRPr="00E70263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DB4632" w:rsidRPr="00E70263" w:rsidRDefault="00DB4632" w:rsidP="00F1491D">
      <w:pPr>
        <w:pStyle w:val="Headingb"/>
        <w:rPr>
          <w:lang w:val="en-GB"/>
        </w:rPr>
      </w:pPr>
      <w:r w:rsidRPr="00E70263">
        <w:rPr>
          <w:lang w:val="en-GB"/>
        </w:rPr>
        <w:t>Introduction</w:t>
      </w:r>
    </w:p>
    <w:p w:rsidR="00DB4632" w:rsidRPr="00E70263" w:rsidRDefault="00DB4632" w:rsidP="00F1491D">
      <w:pPr>
        <w:rPr>
          <w:spacing w:val="-1"/>
          <w:szCs w:val="24"/>
        </w:rPr>
      </w:pPr>
      <w:r w:rsidRPr="00E70263">
        <w:t xml:space="preserve">ITU-R Study Group JTG 4-5-6-7 was concluded the technical and regulatory studies and corresponding methods on 19 different frequency bands to response agenda item 1.1 of WRC-15 in accordance with </w:t>
      </w:r>
      <w:r w:rsidRPr="00E70263">
        <w:rPr>
          <w:rFonts w:ascii="Palatino Linotype" w:eastAsia="Palatino Linotype" w:hAnsi="Palatino Linotype" w:cs="Palatino Linotype"/>
          <w:szCs w:val="24"/>
        </w:rPr>
        <w:t>R</w:t>
      </w:r>
      <w:r w:rsidRPr="00E70263">
        <w:rPr>
          <w:rFonts w:ascii="Palatino Linotype" w:eastAsia="Palatino Linotype" w:hAnsi="Palatino Linotype" w:cs="Palatino Linotype"/>
          <w:spacing w:val="-2"/>
          <w:szCs w:val="24"/>
        </w:rPr>
        <w:t>e</w:t>
      </w:r>
      <w:r w:rsidRPr="00E70263">
        <w:rPr>
          <w:rFonts w:ascii="Palatino Linotype" w:eastAsia="Palatino Linotype" w:hAnsi="Palatino Linotype" w:cs="Palatino Linotype"/>
          <w:szCs w:val="24"/>
        </w:rPr>
        <w:t>solution</w:t>
      </w:r>
      <w:r w:rsidRPr="00E70263">
        <w:rPr>
          <w:rFonts w:ascii="Palatino Linotype" w:eastAsia="Palatino Linotype" w:hAnsi="Palatino Linotype" w:cs="Palatino Linotype"/>
          <w:spacing w:val="-12"/>
          <w:szCs w:val="24"/>
        </w:rPr>
        <w:t xml:space="preserve"> </w:t>
      </w:r>
      <w:r w:rsidRPr="00E70263">
        <w:rPr>
          <w:szCs w:val="24"/>
        </w:rPr>
        <w:t>233</w:t>
      </w:r>
      <w:r w:rsidRPr="00E70263">
        <w:rPr>
          <w:spacing w:val="-11"/>
          <w:szCs w:val="24"/>
        </w:rPr>
        <w:t xml:space="preserve"> </w:t>
      </w:r>
      <w:r w:rsidRPr="00E70263">
        <w:rPr>
          <w:szCs w:val="24"/>
        </w:rPr>
        <w:t>(W</w:t>
      </w:r>
      <w:r w:rsidRPr="00E70263">
        <w:rPr>
          <w:spacing w:val="-2"/>
          <w:szCs w:val="24"/>
        </w:rPr>
        <w:t>R</w:t>
      </w:r>
      <w:r w:rsidRPr="00E70263">
        <w:rPr>
          <w:szCs w:val="24"/>
        </w:rPr>
        <w:t>C</w:t>
      </w:r>
      <w:r w:rsidRPr="00E70263">
        <w:rPr>
          <w:spacing w:val="-1"/>
          <w:szCs w:val="24"/>
        </w:rPr>
        <w:t>-</w:t>
      </w:r>
      <w:r w:rsidRPr="00E70263">
        <w:rPr>
          <w:szCs w:val="24"/>
        </w:rPr>
        <w:t>12</w:t>
      </w:r>
      <w:r w:rsidRPr="00E70263">
        <w:rPr>
          <w:spacing w:val="-1"/>
          <w:szCs w:val="24"/>
        </w:rPr>
        <w:t xml:space="preserve">). The </w:t>
      </w:r>
      <w:r w:rsidR="000B2D80" w:rsidRPr="00E70263">
        <w:rPr>
          <w:spacing w:val="-1"/>
          <w:szCs w:val="24"/>
        </w:rPr>
        <w:t>R</w:t>
      </w:r>
      <w:r w:rsidRPr="00E70263">
        <w:rPr>
          <w:spacing w:val="-1"/>
          <w:szCs w:val="24"/>
        </w:rPr>
        <w:t xml:space="preserve">eport of </w:t>
      </w:r>
      <w:r w:rsidR="000B2D80" w:rsidRPr="00E70263">
        <w:rPr>
          <w:spacing w:val="-1"/>
          <w:szCs w:val="24"/>
        </w:rPr>
        <w:t>the CPM</w:t>
      </w:r>
      <w:r w:rsidRPr="00E70263">
        <w:rPr>
          <w:spacing w:val="-1"/>
          <w:szCs w:val="24"/>
        </w:rPr>
        <w:t xml:space="preserve"> includes </w:t>
      </w:r>
      <w:r w:rsidRPr="00E70263">
        <w:t>proposed</w:t>
      </w:r>
      <w:r w:rsidRPr="00E70263">
        <w:rPr>
          <w:spacing w:val="-1"/>
          <w:szCs w:val="24"/>
        </w:rPr>
        <w:t xml:space="preserve"> methods and cross-references to supporting materials.</w:t>
      </w:r>
    </w:p>
    <w:p w:rsidR="00DB4632" w:rsidRPr="00E70263" w:rsidRDefault="00DB4632" w:rsidP="00F1491D">
      <w:r w:rsidRPr="00E70263">
        <w:t>The administration of Islamic Republic of Iran was participating in the all relevant regional and JTG 4-5-6-7 meeting</w:t>
      </w:r>
      <w:r w:rsidR="00E91D9A" w:rsidRPr="00E70263">
        <w:t>s</w:t>
      </w:r>
      <w:r w:rsidRPr="00E70263">
        <w:t xml:space="preserve"> and endorsed APT common proposals in the frequency bands 470-694/698 MHz, 1 518-1 525, 1 695-1 710, 2 700-2 900 MHz, 3 400-3 600 MHz, 3 600-3 700 MHz, 3 700-3 800 MHz, 3 800-4 200 MHz, 4 500-4 800 MHz, 5 350-5 470 MHz, 5 725-5 850 MHz and 5 925-6 425 MHz. </w:t>
      </w:r>
    </w:p>
    <w:p w:rsidR="00DB4632" w:rsidRPr="00E70263" w:rsidRDefault="00B460E4" w:rsidP="00F1491D">
      <w:r w:rsidRPr="00E70263">
        <w:t>The f</w:t>
      </w:r>
      <w:r w:rsidR="00DB4632" w:rsidRPr="00E70263">
        <w:t>ollowing proposal</w:t>
      </w:r>
      <w:r w:rsidRPr="00E70263">
        <w:t>s are</w:t>
      </w:r>
      <w:r w:rsidR="00DB4632" w:rsidRPr="00E70263">
        <w:t xml:space="preserve"> provided for frequency bands 1 427-1 452 MHz, 1 452-1 492 MHz, 1 492-1 518 MHz, 3 300-3 400 MHz, 4 400-4 500 and 4 800-4 990 MHz. </w:t>
      </w:r>
    </w:p>
    <w:p w:rsidR="001B5373" w:rsidRPr="00E70263" w:rsidRDefault="001B5373" w:rsidP="00F1491D">
      <w:pPr>
        <w:pStyle w:val="Headingb"/>
        <w:rPr>
          <w:lang w:val="en-GB"/>
        </w:rPr>
      </w:pPr>
      <w:r w:rsidRPr="00E70263">
        <w:rPr>
          <w:lang w:val="en-GB"/>
        </w:rPr>
        <w:t>Proposals</w:t>
      </w:r>
    </w:p>
    <w:p w:rsidR="00187BD9" w:rsidRPr="00E70263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70263">
        <w:br w:type="page"/>
      </w:r>
    </w:p>
    <w:p w:rsidR="009F07E8" w:rsidRPr="00E70263" w:rsidRDefault="009F07E8" w:rsidP="009F07E8">
      <w:pPr>
        <w:pStyle w:val="ArtNo"/>
      </w:pPr>
      <w:bookmarkStart w:id="9" w:name="_Toc327956582"/>
      <w:r w:rsidRPr="00E70263">
        <w:lastRenderedPageBreak/>
        <w:t xml:space="preserve">ARTICLE </w:t>
      </w:r>
      <w:r w:rsidRPr="00E70263">
        <w:rPr>
          <w:rStyle w:val="href"/>
          <w:rFonts w:eastAsia="SimSun"/>
          <w:color w:val="000000"/>
        </w:rPr>
        <w:t>5</w:t>
      </w:r>
      <w:bookmarkEnd w:id="9"/>
    </w:p>
    <w:p w:rsidR="009F07E8" w:rsidRPr="00E70263" w:rsidRDefault="009F07E8" w:rsidP="009F07E8">
      <w:pPr>
        <w:pStyle w:val="Arttitle"/>
      </w:pPr>
      <w:bookmarkStart w:id="10" w:name="_Toc327956583"/>
      <w:r w:rsidRPr="00E70263">
        <w:t>Frequency allocations</w:t>
      </w:r>
      <w:bookmarkEnd w:id="10"/>
    </w:p>
    <w:p w:rsidR="009F07E8" w:rsidRPr="00E70263" w:rsidRDefault="009F07E8" w:rsidP="009F07E8">
      <w:pPr>
        <w:pStyle w:val="Section1"/>
        <w:keepNext/>
      </w:pPr>
      <w:r w:rsidRPr="00E70263">
        <w:t>Section IV – Table of Frequency Allocations</w:t>
      </w:r>
      <w:r w:rsidRPr="00E70263">
        <w:br/>
      </w:r>
      <w:r w:rsidRPr="00E70263">
        <w:rPr>
          <w:b w:val="0"/>
          <w:bCs/>
        </w:rPr>
        <w:t xml:space="preserve">(See No. </w:t>
      </w:r>
      <w:r w:rsidRPr="00E70263">
        <w:t>2.1</w:t>
      </w:r>
      <w:r w:rsidRPr="00E70263">
        <w:rPr>
          <w:b w:val="0"/>
          <w:bCs/>
        </w:rPr>
        <w:t>)</w:t>
      </w:r>
      <w:r w:rsidRPr="00E70263">
        <w:rPr>
          <w:b w:val="0"/>
          <w:bCs/>
        </w:rPr>
        <w:br/>
      </w:r>
      <w:r w:rsidRPr="00E70263">
        <w:br/>
      </w:r>
    </w:p>
    <w:p w:rsidR="00790083" w:rsidRPr="00E70263" w:rsidRDefault="009F07E8" w:rsidP="000B2D80">
      <w:pPr>
        <w:pStyle w:val="Proposal"/>
      </w:pPr>
      <w:r w:rsidRPr="00E70263">
        <w:rPr>
          <w:u w:val="single"/>
        </w:rPr>
        <w:t>NOC</w:t>
      </w:r>
      <w:r w:rsidRPr="00E70263">
        <w:tab/>
        <w:t>IRN/</w:t>
      </w:r>
      <w:r w:rsidR="000B2D80" w:rsidRPr="00E70263">
        <w:t>61</w:t>
      </w:r>
      <w:r w:rsidRPr="00E70263">
        <w:t>A1/1</w:t>
      </w:r>
    </w:p>
    <w:p w:rsidR="009F07E8" w:rsidRPr="00E70263" w:rsidRDefault="009F07E8" w:rsidP="009F07E8">
      <w:pPr>
        <w:pStyle w:val="Tabletitle"/>
      </w:pPr>
      <w:r w:rsidRPr="00E70263">
        <w:t>1 300-1 525 MHz</w:t>
      </w:r>
    </w:p>
    <w:tbl>
      <w:tblPr>
        <w:tblW w:w="930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12"/>
        <w:gridCol w:w="3087"/>
        <w:gridCol w:w="7"/>
        <w:gridCol w:w="3095"/>
      </w:tblGrid>
      <w:tr w:rsidR="009F07E8" w:rsidRPr="00E70263" w:rsidTr="009F07E8">
        <w:trPr>
          <w:cantSplit/>
          <w:jc w:val="center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head"/>
            </w:pPr>
            <w:r w:rsidRPr="00E70263">
              <w:t>Allocation to services</w:t>
            </w:r>
          </w:p>
        </w:tc>
      </w:tr>
      <w:tr w:rsidR="009F07E8" w:rsidRPr="00E70263" w:rsidTr="009F07E8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head"/>
            </w:pPr>
            <w:r w:rsidRPr="00E70263">
              <w:t>Region 1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head"/>
            </w:pPr>
            <w:r w:rsidRPr="00E70263">
              <w:t>Region 2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head"/>
            </w:pPr>
            <w:r w:rsidRPr="00E70263">
              <w:t>Region 3</w:t>
            </w:r>
          </w:p>
        </w:tc>
      </w:tr>
      <w:tr w:rsidR="009F07E8" w:rsidRPr="00E70263" w:rsidTr="009F07E8">
        <w:trPr>
          <w:cantSplit/>
          <w:jc w:val="center"/>
        </w:trPr>
        <w:tc>
          <w:tcPr>
            <w:tcW w:w="9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E70263">
              <w:rPr>
                <w:rStyle w:val="Tablefreq"/>
              </w:rPr>
              <w:t>1 427-1 429</w:t>
            </w:r>
            <w:r w:rsidRPr="00E70263">
              <w:rPr>
                <w:color w:val="000000"/>
              </w:rPr>
              <w:tab/>
              <w:t>SPACE OPERATION (Earth-to-space)</w:t>
            </w:r>
          </w:p>
          <w:p w:rsidR="009F07E8" w:rsidRPr="00E70263" w:rsidRDefault="009F07E8" w:rsidP="009F07E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E70263">
              <w:rPr>
                <w:color w:val="000000"/>
              </w:rPr>
              <w:tab/>
              <w:t>FIXED</w:t>
            </w:r>
          </w:p>
          <w:p w:rsidR="009F07E8" w:rsidRPr="00E70263" w:rsidRDefault="009F07E8" w:rsidP="009F07E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</w:rPr>
            </w:pPr>
            <w:r w:rsidRPr="00E70263">
              <w:rPr>
                <w:color w:val="000000"/>
              </w:rPr>
              <w:tab/>
              <w:t>MOBILE except aeronautical mobile</w:t>
            </w:r>
          </w:p>
          <w:p w:rsidR="009F07E8" w:rsidRPr="00E70263" w:rsidRDefault="009F07E8" w:rsidP="009F07E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b/>
                <w:color w:val="000000"/>
              </w:rPr>
            </w:pPr>
            <w:r w:rsidRPr="00E70263">
              <w:rPr>
                <w:color w:val="000000"/>
              </w:rPr>
              <w:tab/>
            </w:r>
            <w:r w:rsidRPr="00E70263">
              <w:rPr>
                <w:rStyle w:val="Artref"/>
                <w:color w:val="000000"/>
              </w:rPr>
              <w:t>5.338A  5.341</w:t>
            </w:r>
          </w:p>
        </w:tc>
      </w:tr>
      <w:tr w:rsidR="009F07E8" w:rsidRPr="00E70263" w:rsidTr="009F07E8">
        <w:trPr>
          <w:cantSplit/>
          <w:trHeight w:val="1382"/>
          <w:jc w:val="center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TextS5"/>
              <w:spacing w:line="220" w:lineRule="exact"/>
              <w:rPr>
                <w:rStyle w:val="Tablefreq"/>
              </w:rPr>
            </w:pPr>
            <w:r w:rsidRPr="00E70263">
              <w:rPr>
                <w:rStyle w:val="Tablefreq"/>
              </w:rPr>
              <w:t>1 429-1 452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rPr>
                <w:color w:val="000000"/>
              </w:rPr>
            </w:pPr>
            <w:r w:rsidRPr="00E70263">
              <w:rPr>
                <w:color w:val="000000"/>
              </w:rPr>
              <w:t>FIXED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ind w:left="170" w:hanging="170"/>
              <w:rPr>
                <w:color w:val="000000"/>
              </w:rPr>
            </w:pPr>
            <w:r w:rsidRPr="00E70263">
              <w:rPr>
                <w:color w:val="000000"/>
              </w:rPr>
              <w:t>MOBILE except aeronautical</w:t>
            </w:r>
            <w:r w:rsidRPr="00E70263">
              <w:rPr>
                <w:color w:val="000000"/>
              </w:rPr>
              <w:br/>
              <w:t>mobile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rPr>
                <w:color w:val="000000"/>
              </w:rPr>
            </w:pPr>
            <w:r w:rsidRPr="00E70263">
              <w:rPr>
                <w:rStyle w:val="Artref"/>
                <w:color w:val="000000"/>
              </w:rPr>
              <w:t>5.338A</w:t>
            </w:r>
            <w:r w:rsidRPr="00E70263">
              <w:t xml:space="preserve">  </w:t>
            </w:r>
            <w:r w:rsidRPr="00E70263">
              <w:rPr>
                <w:rStyle w:val="Artref"/>
                <w:color w:val="000000"/>
              </w:rPr>
              <w:t>5.341</w:t>
            </w:r>
            <w:r w:rsidRPr="00E70263">
              <w:t xml:space="preserve">  </w:t>
            </w:r>
            <w:r w:rsidRPr="00E70263">
              <w:rPr>
                <w:rStyle w:val="Artref"/>
                <w:color w:val="000000"/>
              </w:rPr>
              <w:t>5.342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TextS5"/>
              <w:spacing w:line="220" w:lineRule="exact"/>
              <w:rPr>
                <w:rStyle w:val="Tablefreq"/>
              </w:rPr>
            </w:pPr>
            <w:r w:rsidRPr="00E70263">
              <w:rPr>
                <w:rStyle w:val="Tablefreq"/>
              </w:rPr>
              <w:t>1 429-1 452</w:t>
            </w:r>
          </w:p>
          <w:p w:rsidR="009F07E8" w:rsidRPr="00E70263" w:rsidRDefault="009F07E8" w:rsidP="009F07E8">
            <w:pPr>
              <w:pStyle w:val="TableTextS5"/>
              <w:tabs>
                <w:tab w:val="clear" w:pos="567"/>
                <w:tab w:val="left" w:pos="459"/>
              </w:tabs>
              <w:spacing w:line="220" w:lineRule="exact"/>
              <w:ind w:left="907" w:hanging="448"/>
              <w:rPr>
                <w:color w:val="000000"/>
              </w:rPr>
            </w:pPr>
            <w:r w:rsidRPr="00E70263">
              <w:rPr>
                <w:color w:val="000000"/>
              </w:rPr>
              <w:t>FIXED</w:t>
            </w:r>
          </w:p>
          <w:p w:rsidR="009F07E8" w:rsidRPr="00E70263" w:rsidRDefault="009F07E8" w:rsidP="009F07E8">
            <w:pPr>
              <w:pStyle w:val="TableTextS5"/>
              <w:tabs>
                <w:tab w:val="clear" w:pos="567"/>
                <w:tab w:val="left" w:pos="459"/>
              </w:tabs>
              <w:spacing w:line="220" w:lineRule="exact"/>
              <w:ind w:left="907" w:hanging="448"/>
              <w:rPr>
                <w:color w:val="000000"/>
              </w:rPr>
            </w:pPr>
            <w:r w:rsidRPr="00E70263">
              <w:rPr>
                <w:color w:val="000000"/>
              </w:rPr>
              <w:t xml:space="preserve">MOBILE  </w:t>
            </w:r>
            <w:r w:rsidRPr="00E70263">
              <w:rPr>
                <w:rStyle w:val="Artref"/>
                <w:color w:val="000000"/>
              </w:rPr>
              <w:t>5.343</w:t>
            </w:r>
            <w:r w:rsidRPr="00E70263">
              <w:rPr>
                <w:rStyle w:val="Artref"/>
                <w:color w:val="000000"/>
              </w:rPr>
              <w:br/>
            </w:r>
          </w:p>
          <w:p w:rsidR="009F07E8" w:rsidRPr="00E70263" w:rsidRDefault="009F07E8" w:rsidP="009F07E8">
            <w:pPr>
              <w:pStyle w:val="TableTextS5"/>
              <w:tabs>
                <w:tab w:val="clear" w:pos="567"/>
                <w:tab w:val="left" w:pos="459"/>
              </w:tabs>
              <w:spacing w:line="220" w:lineRule="exact"/>
              <w:ind w:left="907" w:hanging="448"/>
              <w:rPr>
                <w:color w:val="000000"/>
              </w:rPr>
            </w:pPr>
            <w:r w:rsidRPr="00E70263">
              <w:rPr>
                <w:color w:val="000000"/>
              </w:rPr>
              <w:t>5.338A</w:t>
            </w:r>
            <w:r w:rsidRPr="00E70263">
              <w:rPr>
                <w:rStyle w:val="Artref"/>
                <w:color w:val="000000"/>
              </w:rPr>
              <w:t xml:space="preserve">  5.341</w:t>
            </w:r>
          </w:p>
        </w:tc>
      </w:tr>
      <w:tr w:rsidR="009F07E8" w:rsidRPr="00E70263" w:rsidTr="009F07E8">
        <w:trPr>
          <w:cantSplit/>
          <w:trHeight w:val="2062"/>
          <w:jc w:val="center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TextS5"/>
              <w:spacing w:line="220" w:lineRule="exact"/>
              <w:rPr>
                <w:rStyle w:val="Tablefreq"/>
              </w:rPr>
            </w:pPr>
            <w:r w:rsidRPr="00E70263">
              <w:rPr>
                <w:rStyle w:val="Tablefreq"/>
              </w:rPr>
              <w:t>1 452-1 492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rPr>
                <w:color w:val="000000"/>
              </w:rPr>
            </w:pPr>
            <w:r w:rsidRPr="00E70263">
              <w:rPr>
                <w:color w:val="000000"/>
              </w:rPr>
              <w:t>FIXED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ind w:left="170" w:hanging="170"/>
              <w:rPr>
                <w:color w:val="000000"/>
              </w:rPr>
            </w:pPr>
            <w:r w:rsidRPr="00E70263">
              <w:rPr>
                <w:color w:val="000000"/>
              </w:rPr>
              <w:t>MOBILE except aeronautical</w:t>
            </w:r>
            <w:r w:rsidRPr="00E70263">
              <w:rPr>
                <w:color w:val="000000"/>
              </w:rPr>
              <w:br/>
              <w:t>mobile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ind w:left="170" w:hanging="170"/>
              <w:rPr>
                <w:color w:val="000000"/>
              </w:rPr>
            </w:pPr>
            <w:r w:rsidRPr="00E70263">
              <w:rPr>
                <w:color w:val="000000"/>
              </w:rPr>
              <w:t>BROADCASTING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ind w:left="170" w:hanging="170"/>
              <w:rPr>
                <w:color w:val="000000"/>
              </w:rPr>
            </w:pPr>
            <w:r w:rsidRPr="00E70263">
              <w:rPr>
                <w:color w:val="000000"/>
              </w:rPr>
              <w:t xml:space="preserve">BROADCASTING-SATELLITE  </w:t>
            </w:r>
            <w:r w:rsidRPr="00E70263">
              <w:rPr>
                <w:rStyle w:val="Artref"/>
                <w:color w:val="000000"/>
              </w:rPr>
              <w:t xml:space="preserve">5.208B 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rPr>
                <w:color w:val="000000"/>
              </w:rPr>
            </w:pPr>
            <w:r w:rsidRPr="00E70263">
              <w:rPr>
                <w:rStyle w:val="Artref"/>
                <w:color w:val="000000"/>
              </w:rPr>
              <w:t>5.341</w:t>
            </w:r>
            <w:r w:rsidRPr="00E70263">
              <w:t xml:space="preserve">  </w:t>
            </w:r>
            <w:r w:rsidRPr="00E70263">
              <w:rPr>
                <w:rStyle w:val="Artref"/>
                <w:color w:val="000000"/>
              </w:rPr>
              <w:t>5.342  5.345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TextS5"/>
              <w:spacing w:line="220" w:lineRule="exact"/>
              <w:rPr>
                <w:rStyle w:val="Tablefreq"/>
              </w:rPr>
            </w:pPr>
            <w:r w:rsidRPr="00E70263">
              <w:rPr>
                <w:rStyle w:val="Tablefreq"/>
              </w:rPr>
              <w:t>1 452-1 492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ind w:left="907" w:hanging="448"/>
              <w:rPr>
                <w:color w:val="000000"/>
              </w:rPr>
            </w:pPr>
            <w:r w:rsidRPr="00E70263">
              <w:rPr>
                <w:color w:val="000000"/>
              </w:rPr>
              <w:t>FIXED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ind w:left="907" w:hanging="448"/>
              <w:rPr>
                <w:color w:val="000000"/>
              </w:rPr>
            </w:pPr>
            <w:r w:rsidRPr="00E70263">
              <w:rPr>
                <w:color w:val="000000"/>
              </w:rPr>
              <w:t xml:space="preserve">MOBILE  </w:t>
            </w:r>
            <w:r w:rsidRPr="00E70263">
              <w:rPr>
                <w:rStyle w:val="Artref"/>
                <w:color w:val="000000"/>
              </w:rPr>
              <w:t>5.343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ind w:left="907" w:hanging="448"/>
              <w:rPr>
                <w:color w:val="000000"/>
              </w:rPr>
            </w:pPr>
            <w:r w:rsidRPr="00E70263">
              <w:rPr>
                <w:color w:val="000000"/>
              </w:rPr>
              <w:t xml:space="preserve">BROADCASTING  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ind w:left="907" w:hanging="448"/>
              <w:rPr>
                <w:color w:val="000000"/>
              </w:rPr>
            </w:pPr>
            <w:r w:rsidRPr="00E70263">
              <w:rPr>
                <w:color w:val="000000"/>
              </w:rPr>
              <w:t>BROADCASTING-SATELLITE  5.208B</w:t>
            </w:r>
          </w:p>
          <w:p w:rsidR="009F07E8" w:rsidRPr="00E70263" w:rsidRDefault="009F07E8" w:rsidP="009F07E8">
            <w:pPr>
              <w:pStyle w:val="TableTextS5"/>
              <w:spacing w:line="220" w:lineRule="exact"/>
              <w:ind w:left="459"/>
              <w:rPr>
                <w:color w:val="000000"/>
              </w:rPr>
            </w:pPr>
            <w:r w:rsidRPr="00E70263">
              <w:rPr>
                <w:rStyle w:val="Artref"/>
                <w:color w:val="000000"/>
              </w:rPr>
              <w:br/>
            </w:r>
            <w:r w:rsidRPr="00E70263">
              <w:rPr>
                <w:rStyle w:val="Artref"/>
                <w:color w:val="000000"/>
              </w:rPr>
              <w:br/>
              <w:t>5.341</w:t>
            </w:r>
            <w:r w:rsidRPr="00E70263">
              <w:rPr>
                <w:color w:val="000000"/>
              </w:rPr>
              <w:t xml:space="preserve">  </w:t>
            </w:r>
            <w:r w:rsidRPr="00E70263">
              <w:rPr>
                <w:rStyle w:val="Artref"/>
                <w:color w:val="000000"/>
              </w:rPr>
              <w:t>5.344  5.345</w:t>
            </w:r>
          </w:p>
        </w:tc>
      </w:tr>
      <w:tr w:rsidR="009F07E8" w:rsidRPr="00E70263" w:rsidTr="009F07E8">
        <w:trPr>
          <w:cantSplit/>
          <w:jc w:val="center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TextS5"/>
              <w:rPr>
                <w:rStyle w:val="Tablefreq"/>
              </w:rPr>
            </w:pPr>
            <w:r w:rsidRPr="00E70263">
              <w:rPr>
                <w:rStyle w:val="Tablefreq"/>
              </w:rPr>
              <w:t>1 492-1 518</w:t>
            </w:r>
          </w:p>
          <w:p w:rsidR="009F07E8" w:rsidRPr="00E70263" w:rsidRDefault="009F07E8" w:rsidP="009F07E8">
            <w:pPr>
              <w:pStyle w:val="TableTextS5"/>
              <w:rPr>
                <w:color w:val="000000"/>
              </w:rPr>
            </w:pPr>
            <w:r w:rsidRPr="00E70263">
              <w:rPr>
                <w:color w:val="000000"/>
              </w:rPr>
              <w:t>FIXED</w:t>
            </w:r>
          </w:p>
          <w:p w:rsidR="009F07E8" w:rsidRPr="00E70263" w:rsidRDefault="009F07E8" w:rsidP="009F07E8">
            <w:pPr>
              <w:pStyle w:val="TableTextS5"/>
              <w:ind w:left="170" w:hanging="170"/>
              <w:rPr>
                <w:color w:val="000000"/>
              </w:rPr>
            </w:pPr>
            <w:r w:rsidRPr="00E70263">
              <w:rPr>
                <w:color w:val="000000"/>
              </w:rPr>
              <w:t>MOBILE except aeronautical mobile</w:t>
            </w:r>
          </w:p>
          <w:p w:rsidR="009F07E8" w:rsidRPr="00E70263" w:rsidRDefault="009F07E8" w:rsidP="009F07E8">
            <w:pPr>
              <w:pStyle w:val="TableTextS5"/>
              <w:ind w:left="170" w:hanging="170"/>
              <w:rPr>
                <w:color w:val="000000"/>
              </w:rPr>
            </w:pPr>
            <w:r w:rsidRPr="00E70263">
              <w:rPr>
                <w:rStyle w:val="Artref"/>
                <w:color w:val="000000"/>
              </w:rPr>
              <w:t>5.341</w:t>
            </w:r>
            <w:r w:rsidRPr="00E70263">
              <w:t xml:space="preserve">  </w:t>
            </w:r>
            <w:r w:rsidRPr="00E70263">
              <w:rPr>
                <w:rStyle w:val="Artref"/>
                <w:color w:val="000000"/>
              </w:rPr>
              <w:t>5.342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TextS5"/>
              <w:rPr>
                <w:rStyle w:val="Tablefreq"/>
              </w:rPr>
            </w:pPr>
            <w:r w:rsidRPr="00E70263">
              <w:rPr>
                <w:rStyle w:val="Tablefreq"/>
              </w:rPr>
              <w:t>1 492-1 518</w:t>
            </w:r>
          </w:p>
          <w:p w:rsidR="009F07E8" w:rsidRPr="00E70263" w:rsidRDefault="009F07E8" w:rsidP="009F07E8">
            <w:pPr>
              <w:pStyle w:val="TableTextS5"/>
              <w:rPr>
                <w:color w:val="000000"/>
              </w:rPr>
            </w:pPr>
            <w:r w:rsidRPr="00E70263">
              <w:rPr>
                <w:color w:val="000000"/>
              </w:rPr>
              <w:t>FIXED</w:t>
            </w:r>
          </w:p>
          <w:p w:rsidR="009F07E8" w:rsidRPr="00E70263" w:rsidRDefault="009F07E8" w:rsidP="009F07E8">
            <w:pPr>
              <w:pStyle w:val="TableTextS5"/>
              <w:rPr>
                <w:rStyle w:val="Artref"/>
                <w:color w:val="000000"/>
              </w:rPr>
            </w:pPr>
            <w:r w:rsidRPr="00E70263">
              <w:rPr>
                <w:color w:val="000000"/>
              </w:rPr>
              <w:t xml:space="preserve">MOBILE  </w:t>
            </w:r>
            <w:r w:rsidRPr="00E70263">
              <w:rPr>
                <w:rStyle w:val="Artref"/>
                <w:color w:val="000000"/>
              </w:rPr>
              <w:t>5.343</w:t>
            </w:r>
            <w:r w:rsidRPr="00E70263">
              <w:rPr>
                <w:rStyle w:val="Artref"/>
                <w:color w:val="000000"/>
              </w:rPr>
              <w:br/>
            </w:r>
          </w:p>
          <w:p w:rsidR="009F07E8" w:rsidRPr="00E70263" w:rsidRDefault="009F07E8" w:rsidP="009F07E8">
            <w:pPr>
              <w:pStyle w:val="TableTextS5"/>
            </w:pPr>
            <w:r w:rsidRPr="00E70263">
              <w:rPr>
                <w:rStyle w:val="Artref"/>
                <w:color w:val="000000"/>
              </w:rPr>
              <w:t>5.341</w:t>
            </w:r>
            <w:r w:rsidRPr="00E70263">
              <w:t xml:space="preserve">  </w:t>
            </w:r>
            <w:r w:rsidRPr="00E70263">
              <w:rPr>
                <w:rStyle w:val="Artref"/>
                <w:color w:val="000000"/>
              </w:rPr>
              <w:t>5.344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TextS5"/>
              <w:rPr>
                <w:rStyle w:val="Tablefreq"/>
              </w:rPr>
            </w:pPr>
            <w:r w:rsidRPr="00E70263">
              <w:rPr>
                <w:rStyle w:val="Tablefreq"/>
              </w:rPr>
              <w:t>1 492-1 518</w:t>
            </w:r>
          </w:p>
          <w:p w:rsidR="009F07E8" w:rsidRPr="00E70263" w:rsidRDefault="009F07E8" w:rsidP="009F07E8">
            <w:pPr>
              <w:pStyle w:val="TableTextS5"/>
              <w:rPr>
                <w:color w:val="000000"/>
              </w:rPr>
            </w:pPr>
            <w:r w:rsidRPr="00E70263">
              <w:rPr>
                <w:color w:val="000000"/>
              </w:rPr>
              <w:t>FIXED</w:t>
            </w:r>
          </w:p>
          <w:p w:rsidR="009F07E8" w:rsidRPr="00E70263" w:rsidRDefault="009F07E8" w:rsidP="009F07E8">
            <w:pPr>
              <w:pStyle w:val="TableTextS5"/>
              <w:rPr>
                <w:color w:val="000000"/>
              </w:rPr>
            </w:pPr>
            <w:r w:rsidRPr="00E70263">
              <w:rPr>
                <w:color w:val="000000"/>
              </w:rPr>
              <w:t>MOBILE</w:t>
            </w:r>
            <w:r w:rsidRPr="00E70263">
              <w:rPr>
                <w:color w:val="000000"/>
              </w:rPr>
              <w:br/>
            </w:r>
          </w:p>
          <w:p w:rsidR="009F07E8" w:rsidRPr="00E70263" w:rsidRDefault="009F07E8" w:rsidP="009F07E8">
            <w:pPr>
              <w:pStyle w:val="TableTextS5"/>
              <w:rPr>
                <w:color w:val="000000"/>
              </w:rPr>
            </w:pPr>
            <w:r w:rsidRPr="00E70263">
              <w:rPr>
                <w:rStyle w:val="Artref"/>
                <w:color w:val="000000"/>
              </w:rPr>
              <w:t>5.341</w:t>
            </w:r>
          </w:p>
        </w:tc>
      </w:tr>
    </w:tbl>
    <w:p w:rsidR="00EC5D51" w:rsidRPr="00E70263" w:rsidRDefault="009F07E8" w:rsidP="00F1491D">
      <w:pPr>
        <w:pStyle w:val="Reasons"/>
      </w:pPr>
      <w:r w:rsidRPr="00E70263">
        <w:rPr>
          <w:b/>
        </w:rPr>
        <w:t>Reasons:</w:t>
      </w:r>
      <w:r w:rsidR="00EC5D51" w:rsidRPr="00E70263">
        <w:rPr>
          <w:b/>
        </w:rPr>
        <w:t xml:space="preserve"> </w:t>
      </w:r>
      <w:r w:rsidR="00EC5D51" w:rsidRPr="00E70263">
        <w:t>The ITU-R studies concluded that the separation distance between fixed and mobile stations for protection of fixed links would not permit co-channel utilization of spectrum in common areas either in case of macro-cells or smaller cells. From the other side, this administration has issued more than 600 licen</w:t>
      </w:r>
      <w:r w:rsidR="00F1491D" w:rsidRPr="00E70263">
        <w:t>c</w:t>
      </w:r>
      <w:r w:rsidR="00EC5D51" w:rsidRPr="00E70263">
        <w:t>es for low</w:t>
      </w:r>
      <w:r w:rsidR="00F1491D" w:rsidRPr="00E70263">
        <w:t>-</w:t>
      </w:r>
      <w:r w:rsidR="00EC5D51" w:rsidRPr="00E70263">
        <w:t>capacity long</w:t>
      </w:r>
      <w:r w:rsidR="00F1491D" w:rsidRPr="00E70263">
        <w:t>-</w:t>
      </w:r>
      <w:r w:rsidR="00EC5D51" w:rsidRPr="00E70263">
        <w:t>haul point-to-point systems in frequency band 1 427-1 518 MHz. Moreover due to the comparable low propagation loss, use of above frequency range by neighbo</w:t>
      </w:r>
      <w:r w:rsidR="00E70263">
        <w:t>u</w:t>
      </w:r>
      <w:bookmarkStart w:id="11" w:name="_GoBack"/>
      <w:bookmarkEnd w:id="11"/>
      <w:r w:rsidR="00EC5D51" w:rsidRPr="00E70263">
        <w:t>r administrations may draw concerns of this administration and requires advance frequency coordination.</w:t>
      </w:r>
    </w:p>
    <w:p w:rsidR="00790083" w:rsidRPr="00E70263" w:rsidRDefault="00EC5D51" w:rsidP="00F1491D">
      <w:pPr>
        <w:pStyle w:val="Reasons"/>
      </w:pPr>
      <w:r w:rsidRPr="00E70263">
        <w:t>This administration also does not support imposing any additional obligatory/optional technical or regulatory restriction on existing or planned use of the frequency band 1 452-1 492 MHz by current RR Article 5 services for its identification to IMT.</w:t>
      </w:r>
    </w:p>
    <w:p w:rsidR="00790083" w:rsidRPr="00E70263" w:rsidRDefault="009F07E8" w:rsidP="000B2D80">
      <w:pPr>
        <w:pStyle w:val="Proposal"/>
      </w:pPr>
      <w:r w:rsidRPr="00E70263">
        <w:rPr>
          <w:u w:val="single"/>
        </w:rPr>
        <w:lastRenderedPageBreak/>
        <w:t>NOC</w:t>
      </w:r>
      <w:r w:rsidRPr="00E70263">
        <w:tab/>
        <w:t>IRN/</w:t>
      </w:r>
      <w:r w:rsidR="000B2D80" w:rsidRPr="00E70263">
        <w:t>61</w:t>
      </w:r>
      <w:r w:rsidRPr="00E70263">
        <w:t>A1/2</w:t>
      </w:r>
    </w:p>
    <w:p w:rsidR="009F07E8" w:rsidRPr="00E70263" w:rsidRDefault="009F07E8" w:rsidP="009F07E8">
      <w:pPr>
        <w:pStyle w:val="Tabletitle"/>
      </w:pPr>
      <w:r w:rsidRPr="00E70263"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93"/>
        <w:gridCol w:w="3109"/>
        <w:gridCol w:w="3101"/>
      </w:tblGrid>
      <w:tr w:rsidR="009F07E8" w:rsidRPr="00E70263" w:rsidTr="009F07E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head"/>
            </w:pPr>
            <w:r w:rsidRPr="00E70263">
              <w:t>Allocation to services</w:t>
            </w:r>
          </w:p>
        </w:tc>
      </w:tr>
      <w:tr w:rsidR="009F07E8" w:rsidRPr="00E70263" w:rsidTr="009F07E8">
        <w:trPr>
          <w:cantSplit/>
          <w:jc w:val="center"/>
        </w:trPr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head"/>
            </w:pPr>
            <w:r w:rsidRPr="00E70263">
              <w:t>Region 1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head"/>
            </w:pPr>
            <w:r w:rsidRPr="00E70263"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head"/>
            </w:pPr>
            <w:r w:rsidRPr="00E70263">
              <w:t>Region 3</w:t>
            </w:r>
          </w:p>
        </w:tc>
      </w:tr>
      <w:tr w:rsidR="009F07E8" w:rsidRPr="00E70263" w:rsidTr="009F07E8">
        <w:trPr>
          <w:cantSplit/>
          <w:jc w:val="center"/>
        </w:trPr>
        <w:tc>
          <w:tcPr>
            <w:tcW w:w="30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TextS5"/>
              <w:spacing w:before="20" w:after="20" w:line="220" w:lineRule="exact"/>
              <w:ind w:left="170" w:hanging="170"/>
              <w:rPr>
                <w:rStyle w:val="Tablefreq"/>
              </w:rPr>
            </w:pPr>
            <w:r w:rsidRPr="00E70263">
              <w:rPr>
                <w:rStyle w:val="Tablefreq"/>
              </w:rPr>
              <w:t>3 300-3 400</w:t>
            </w:r>
          </w:p>
          <w:p w:rsidR="009F07E8" w:rsidRPr="00E70263" w:rsidRDefault="009F07E8" w:rsidP="009F07E8">
            <w:pPr>
              <w:pStyle w:val="TableTextS5"/>
            </w:pPr>
            <w:r w:rsidRPr="00E70263">
              <w:rPr>
                <w:color w:val="000000"/>
              </w:rPr>
              <w:t>RADIOLOCATION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TextS5"/>
              <w:spacing w:before="20" w:after="20" w:line="220" w:lineRule="exact"/>
              <w:ind w:left="170" w:hanging="170"/>
              <w:rPr>
                <w:rStyle w:val="Tablefreq"/>
              </w:rPr>
            </w:pPr>
            <w:r w:rsidRPr="00E70263">
              <w:rPr>
                <w:rStyle w:val="Tablefreq"/>
              </w:rPr>
              <w:t>3 300-3 400</w:t>
            </w:r>
          </w:p>
          <w:p w:rsidR="009F07E8" w:rsidRPr="00E70263" w:rsidRDefault="009F07E8" w:rsidP="009F07E8">
            <w:pPr>
              <w:pStyle w:val="TableTextS5"/>
              <w:spacing w:before="20" w:after="20" w:line="220" w:lineRule="exact"/>
              <w:ind w:left="170" w:hanging="170"/>
              <w:rPr>
                <w:color w:val="000000"/>
              </w:rPr>
            </w:pPr>
            <w:r w:rsidRPr="00E70263">
              <w:rPr>
                <w:color w:val="000000"/>
              </w:rPr>
              <w:t>RADIOLOCATION</w:t>
            </w:r>
          </w:p>
          <w:p w:rsidR="009F07E8" w:rsidRPr="00E70263" w:rsidRDefault="009F07E8" w:rsidP="009F07E8">
            <w:pPr>
              <w:pStyle w:val="TableTextS5"/>
              <w:spacing w:before="20" w:after="20" w:line="220" w:lineRule="exact"/>
              <w:ind w:left="170" w:hanging="170"/>
              <w:rPr>
                <w:color w:val="000000"/>
              </w:rPr>
            </w:pPr>
            <w:r w:rsidRPr="00E70263">
              <w:rPr>
                <w:color w:val="000000"/>
              </w:rPr>
              <w:t>Amateur</w:t>
            </w:r>
          </w:p>
          <w:p w:rsidR="009F07E8" w:rsidRPr="00E70263" w:rsidRDefault="009F07E8" w:rsidP="009F07E8">
            <w:pPr>
              <w:pStyle w:val="TableTextS5"/>
              <w:spacing w:before="20" w:after="20" w:line="220" w:lineRule="exact"/>
              <w:ind w:left="170" w:hanging="170"/>
              <w:rPr>
                <w:color w:val="000000"/>
              </w:rPr>
            </w:pPr>
            <w:r w:rsidRPr="00E70263">
              <w:rPr>
                <w:color w:val="000000"/>
              </w:rPr>
              <w:t>Fixed</w:t>
            </w:r>
          </w:p>
          <w:p w:rsidR="009F07E8" w:rsidRPr="00E70263" w:rsidRDefault="009F07E8" w:rsidP="009F07E8">
            <w:pPr>
              <w:pStyle w:val="TableTextS5"/>
            </w:pPr>
            <w:r w:rsidRPr="00E70263">
              <w:rPr>
                <w:color w:val="000000"/>
              </w:rPr>
              <w:t>Mobile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TextS5"/>
              <w:spacing w:before="20" w:after="20" w:line="220" w:lineRule="exact"/>
              <w:ind w:left="170" w:hanging="170"/>
              <w:rPr>
                <w:rStyle w:val="Tablefreq"/>
              </w:rPr>
            </w:pPr>
            <w:r w:rsidRPr="00E70263">
              <w:rPr>
                <w:rStyle w:val="Tablefreq"/>
              </w:rPr>
              <w:t>3 300-3 400</w:t>
            </w:r>
          </w:p>
          <w:p w:rsidR="009F07E8" w:rsidRPr="00E70263" w:rsidRDefault="009F07E8" w:rsidP="009F07E8">
            <w:pPr>
              <w:pStyle w:val="TableTextS5"/>
              <w:spacing w:before="20" w:after="20" w:line="220" w:lineRule="exact"/>
              <w:ind w:left="170" w:hanging="170"/>
              <w:rPr>
                <w:color w:val="000000"/>
              </w:rPr>
            </w:pPr>
            <w:r w:rsidRPr="00E70263">
              <w:rPr>
                <w:color w:val="000000"/>
              </w:rPr>
              <w:t>RADIOLOCATION</w:t>
            </w:r>
          </w:p>
          <w:p w:rsidR="009F07E8" w:rsidRPr="00E70263" w:rsidRDefault="009F07E8" w:rsidP="009F07E8">
            <w:pPr>
              <w:pStyle w:val="TableTextS5"/>
              <w:spacing w:before="0"/>
            </w:pPr>
            <w:r w:rsidRPr="00E70263">
              <w:rPr>
                <w:color w:val="000000"/>
              </w:rPr>
              <w:t>Amateur</w:t>
            </w:r>
          </w:p>
        </w:tc>
      </w:tr>
      <w:tr w:rsidR="009F07E8" w:rsidRPr="00E70263" w:rsidTr="009F07E8">
        <w:trPr>
          <w:cantSplit/>
          <w:jc w:val="center"/>
        </w:trPr>
        <w:tc>
          <w:tcPr>
            <w:tcW w:w="30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TextS5"/>
            </w:pPr>
            <w:r w:rsidRPr="00E70263">
              <w:rPr>
                <w:rStyle w:val="Artref"/>
                <w:color w:val="000000"/>
              </w:rPr>
              <w:t>5.149</w:t>
            </w:r>
            <w:r w:rsidRPr="00E70263">
              <w:rPr>
                <w:color w:val="000000"/>
              </w:rPr>
              <w:t xml:space="preserve">  </w:t>
            </w:r>
            <w:r w:rsidRPr="00E70263">
              <w:rPr>
                <w:rStyle w:val="Artref"/>
                <w:color w:val="000000"/>
              </w:rPr>
              <w:t>5.429</w:t>
            </w:r>
            <w:r w:rsidRPr="00E70263">
              <w:rPr>
                <w:color w:val="000000"/>
              </w:rPr>
              <w:t xml:space="preserve">  </w:t>
            </w:r>
            <w:r w:rsidRPr="00E70263">
              <w:rPr>
                <w:rStyle w:val="Artref"/>
                <w:color w:val="000000"/>
              </w:rPr>
              <w:t>5.430</w:t>
            </w:r>
          </w:p>
        </w:tc>
        <w:tc>
          <w:tcPr>
            <w:tcW w:w="31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TextS5"/>
            </w:pPr>
            <w:r w:rsidRPr="00E70263">
              <w:rPr>
                <w:rStyle w:val="Artref"/>
                <w:color w:val="000000"/>
              </w:rPr>
              <w:t>5.149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TextS5"/>
            </w:pPr>
            <w:r w:rsidRPr="00E70263">
              <w:rPr>
                <w:rStyle w:val="Artref"/>
                <w:color w:val="000000"/>
              </w:rPr>
              <w:t>5.149</w:t>
            </w:r>
            <w:r w:rsidRPr="00E70263">
              <w:rPr>
                <w:color w:val="000000"/>
              </w:rPr>
              <w:t xml:space="preserve">  </w:t>
            </w:r>
            <w:r w:rsidRPr="00E70263">
              <w:rPr>
                <w:rStyle w:val="Artref"/>
                <w:color w:val="000000"/>
              </w:rPr>
              <w:t>5.429</w:t>
            </w:r>
          </w:p>
        </w:tc>
      </w:tr>
    </w:tbl>
    <w:p w:rsidR="004B1C65" w:rsidRPr="00E70263" w:rsidRDefault="009F07E8" w:rsidP="00F1491D">
      <w:pPr>
        <w:pStyle w:val="Reasons"/>
      </w:pPr>
      <w:r w:rsidRPr="00E70263">
        <w:rPr>
          <w:b/>
        </w:rPr>
        <w:t>Reasons:</w:t>
      </w:r>
      <w:r w:rsidR="004B1C65" w:rsidRPr="00E70263">
        <w:rPr>
          <w:rFonts w:ascii="TimesNewRoman" w:hAnsi="TimesNewRoman" w:cs="TimesNewRoman"/>
          <w:szCs w:val="24"/>
          <w:lang w:eastAsia="zh-CN"/>
        </w:rPr>
        <w:t xml:space="preserve"> The studies conducted in ITU-R were between IMT base stations and UE and all relevant types of radar systems</w:t>
      </w:r>
      <w:r w:rsidR="004B1C65" w:rsidRPr="00E70263">
        <w:t xml:space="preserve"> shows impossibility of frequency sharing in same geographical area and a large separation distance is necessary which is impractical.</w:t>
      </w:r>
    </w:p>
    <w:p w:rsidR="00790083" w:rsidRPr="00E70263" w:rsidRDefault="009F07E8" w:rsidP="000B2D80">
      <w:pPr>
        <w:pStyle w:val="Proposal"/>
      </w:pPr>
      <w:r w:rsidRPr="00E70263">
        <w:rPr>
          <w:u w:val="single"/>
        </w:rPr>
        <w:t>NOC</w:t>
      </w:r>
      <w:r w:rsidR="000B2D80" w:rsidRPr="00E70263">
        <w:tab/>
        <w:t>IRN/61</w:t>
      </w:r>
      <w:r w:rsidRPr="00E70263">
        <w:t>A1/3</w:t>
      </w:r>
    </w:p>
    <w:p w:rsidR="009F07E8" w:rsidRPr="00E70263" w:rsidRDefault="009F07E8" w:rsidP="009F07E8">
      <w:pPr>
        <w:pStyle w:val="Tabletitle"/>
      </w:pPr>
      <w:r w:rsidRPr="00E70263">
        <w:t>2 700-4 800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93"/>
        <w:gridCol w:w="3109"/>
        <w:gridCol w:w="3101"/>
      </w:tblGrid>
      <w:tr w:rsidR="009F07E8" w:rsidRPr="00E70263" w:rsidTr="009F07E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head"/>
            </w:pPr>
            <w:r w:rsidRPr="00E70263">
              <w:t>Allocation to services</w:t>
            </w:r>
          </w:p>
        </w:tc>
      </w:tr>
      <w:tr w:rsidR="009F07E8" w:rsidRPr="00E70263" w:rsidTr="009F07E8">
        <w:trPr>
          <w:cantSplit/>
          <w:jc w:val="center"/>
        </w:trPr>
        <w:tc>
          <w:tcPr>
            <w:tcW w:w="3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head"/>
            </w:pPr>
            <w:r w:rsidRPr="00E70263">
              <w:t>Region 1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head"/>
            </w:pPr>
            <w:r w:rsidRPr="00E70263">
              <w:t>Region 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head"/>
            </w:pPr>
            <w:r w:rsidRPr="00E70263">
              <w:t>Region 3</w:t>
            </w:r>
          </w:p>
        </w:tc>
      </w:tr>
      <w:tr w:rsidR="009F07E8" w:rsidRPr="00E70263" w:rsidTr="009F07E8">
        <w:trPr>
          <w:cantSplit/>
          <w:jc w:val="center"/>
        </w:trPr>
        <w:tc>
          <w:tcPr>
            <w:tcW w:w="93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7E8" w:rsidRPr="00E70263" w:rsidRDefault="009F07E8" w:rsidP="009F07E8">
            <w:pPr>
              <w:pStyle w:val="TableTextS5"/>
            </w:pPr>
            <w:r w:rsidRPr="00E70263">
              <w:rPr>
                <w:rStyle w:val="Tablefreq"/>
              </w:rPr>
              <w:t>4 400-4 500</w:t>
            </w:r>
            <w:r w:rsidRPr="00E70263">
              <w:rPr>
                <w:b/>
                <w:color w:val="000000"/>
              </w:rPr>
              <w:tab/>
            </w:r>
            <w:r w:rsidRPr="00E70263">
              <w:t>FIXED</w:t>
            </w:r>
          </w:p>
          <w:p w:rsidR="009F07E8" w:rsidRPr="00E70263" w:rsidRDefault="009F07E8" w:rsidP="009F07E8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left" w:pos="2986"/>
              </w:tabs>
              <w:spacing w:before="20" w:after="20" w:line="220" w:lineRule="exact"/>
              <w:ind w:left="567" w:hanging="567"/>
              <w:rPr>
                <w:rStyle w:val="Tablefreq"/>
                <w:color w:val="000000"/>
              </w:rPr>
            </w:pPr>
            <w:r w:rsidRPr="00E70263">
              <w:rPr>
                <w:color w:val="000000"/>
              </w:rPr>
              <w:tab/>
            </w:r>
            <w:r w:rsidRPr="00E70263">
              <w:rPr>
                <w:color w:val="000000"/>
              </w:rPr>
              <w:tab/>
              <w:t>MOBILE  5.440A</w:t>
            </w:r>
          </w:p>
        </w:tc>
      </w:tr>
    </w:tbl>
    <w:p w:rsidR="004B1C65" w:rsidRPr="00E70263" w:rsidRDefault="009F07E8" w:rsidP="004D0034">
      <w:pPr>
        <w:pStyle w:val="Reasons"/>
      </w:pPr>
      <w:r w:rsidRPr="00E70263">
        <w:rPr>
          <w:b/>
        </w:rPr>
        <w:t>Reasons:</w:t>
      </w:r>
      <w:r w:rsidR="004B1C65" w:rsidRPr="00E70263">
        <w:t xml:space="preserve"> Summary of ITU-R compatibility studies between </w:t>
      </w:r>
      <w:r w:rsidR="004B1C65" w:rsidRPr="00E70263">
        <w:rPr>
          <w:rFonts w:ascii="TimesNewRoman" w:hAnsi="TimesNewRoman" w:cs="TimesNewRoman"/>
          <w:szCs w:val="24"/>
          <w:lang w:eastAsia="zh-CN"/>
        </w:rPr>
        <w:t>IMT systems and point-to-point fixed wireless systems</w:t>
      </w:r>
      <w:r w:rsidR="004B1C65" w:rsidRPr="00E70263">
        <w:t xml:space="preserve"> in the frequency band 4 400 to 4 990 MHz shows a large geographical separation distance requires. </w:t>
      </w:r>
      <w:r w:rsidR="004B1C65" w:rsidRPr="00E70263">
        <w:rPr>
          <w:rFonts w:ascii="TimesNewRoman" w:hAnsi="TimesNewRoman" w:cs="TimesNewRoman"/>
          <w:szCs w:val="24"/>
          <w:lang w:eastAsia="zh-CN"/>
        </w:rPr>
        <w:t xml:space="preserve">In the case of aggregate interference from a network of IMT base stations, the required separation distance increases the difficulty of compatibility between IMT systems and FS systems. Since </w:t>
      </w:r>
      <w:r w:rsidR="004B1C65" w:rsidRPr="00E70263">
        <w:t>the frequency band 4 400 to 4 990 MHz was heavily utilized by microwave links, this administration could not envisage any high</w:t>
      </w:r>
      <w:r w:rsidR="004D0034" w:rsidRPr="00E70263">
        <w:t>-</w:t>
      </w:r>
      <w:r w:rsidR="004B1C65" w:rsidRPr="00E70263">
        <w:t>density mobile systems in this frequency band.</w:t>
      </w:r>
    </w:p>
    <w:p w:rsidR="00790083" w:rsidRPr="00E70263" w:rsidRDefault="009F07E8" w:rsidP="000B2D80">
      <w:pPr>
        <w:pStyle w:val="Proposal"/>
      </w:pPr>
      <w:r w:rsidRPr="00E70263">
        <w:rPr>
          <w:u w:val="single"/>
        </w:rPr>
        <w:t>NOC</w:t>
      </w:r>
      <w:r w:rsidR="000B2D80" w:rsidRPr="00E70263">
        <w:tab/>
        <w:t>IRN/61</w:t>
      </w:r>
      <w:r w:rsidRPr="00E70263">
        <w:t>A1/4</w:t>
      </w:r>
    </w:p>
    <w:p w:rsidR="009F07E8" w:rsidRPr="00E70263" w:rsidRDefault="009F07E8" w:rsidP="009F07E8">
      <w:pPr>
        <w:pStyle w:val="Tabletitle"/>
      </w:pPr>
      <w:r w:rsidRPr="00E70263">
        <w:t>4 800-5 570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2"/>
      </w:tblGrid>
      <w:tr w:rsidR="009F07E8" w:rsidRPr="00E70263" w:rsidTr="009F07E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7E8" w:rsidRPr="00E70263" w:rsidRDefault="009F07E8" w:rsidP="009F07E8">
            <w:pPr>
              <w:pStyle w:val="Tablehead"/>
            </w:pPr>
            <w:r w:rsidRPr="00E70263">
              <w:t>Allocation to services</w:t>
            </w:r>
          </w:p>
        </w:tc>
      </w:tr>
      <w:tr w:rsidR="009F07E8" w:rsidRPr="00E70263" w:rsidTr="009F07E8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7E8" w:rsidRPr="00E70263" w:rsidRDefault="009F07E8" w:rsidP="009F07E8">
            <w:pPr>
              <w:pStyle w:val="Tablehead"/>
            </w:pPr>
            <w:r w:rsidRPr="00E70263">
              <w:t>Region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7E8" w:rsidRPr="00E70263" w:rsidRDefault="009F07E8" w:rsidP="009F07E8">
            <w:pPr>
              <w:pStyle w:val="Tablehead"/>
            </w:pPr>
            <w:r w:rsidRPr="00E70263">
              <w:t>Region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F07E8" w:rsidRPr="00E70263" w:rsidRDefault="009F07E8" w:rsidP="009F07E8">
            <w:pPr>
              <w:pStyle w:val="Tablehead"/>
            </w:pPr>
            <w:r w:rsidRPr="00E70263">
              <w:t>Region 3</w:t>
            </w:r>
          </w:p>
        </w:tc>
      </w:tr>
      <w:tr w:rsidR="009F07E8" w:rsidRPr="00E70263" w:rsidTr="009F07E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7E8" w:rsidRPr="00E70263" w:rsidRDefault="009F07E8" w:rsidP="009F07E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</w:rPr>
            </w:pPr>
            <w:r w:rsidRPr="00E70263">
              <w:rPr>
                <w:rStyle w:val="Tablefreq"/>
              </w:rPr>
              <w:t>4 800-4 990</w:t>
            </w:r>
            <w:r w:rsidRPr="00E70263">
              <w:rPr>
                <w:color w:val="000000"/>
              </w:rPr>
              <w:tab/>
              <w:t>FIXED</w:t>
            </w:r>
          </w:p>
          <w:p w:rsidR="009F07E8" w:rsidRPr="00E70263" w:rsidRDefault="009F07E8" w:rsidP="009F07E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</w:rPr>
            </w:pPr>
            <w:r w:rsidRPr="00E70263">
              <w:rPr>
                <w:color w:val="000000"/>
              </w:rPr>
              <w:tab/>
              <w:t xml:space="preserve">MOBILE  </w:t>
            </w:r>
            <w:r w:rsidRPr="00E70263">
              <w:rPr>
                <w:rStyle w:val="Artref"/>
                <w:color w:val="000000"/>
              </w:rPr>
              <w:t xml:space="preserve">5.440A 5.442  </w:t>
            </w:r>
          </w:p>
          <w:p w:rsidR="009F07E8" w:rsidRPr="00E70263" w:rsidRDefault="009F07E8" w:rsidP="009F07E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</w:rPr>
            </w:pPr>
            <w:r w:rsidRPr="00E70263">
              <w:rPr>
                <w:color w:val="000000"/>
              </w:rPr>
              <w:tab/>
              <w:t>Radio astronomy</w:t>
            </w:r>
          </w:p>
          <w:p w:rsidR="009F07E8" w:rsidRPr="00E70263" w:rsidRDefault="009F07E8" w:rsidP="009F07E8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60" w:after="60" w:line="210" w:lineRule="exact"/>
              <w:rPr>
                <w:color w:val="000000"/>
              </w:rPr>
            </w:pPr>
            <w:r w:rsidRPr="00E70263">
              <w:rPr>
                <w:color w:val="000000"/>
              </w:rPr>
              <w:tab/>
            </w:r>
            <w:r w:rsidRPr="00E70263">
              <w:rPr>
                <w:rStyle w:val="Artref"/>
                <w:color w:val="000000"/>
              </w:rPr>
              <w:t>5.149</w:t>
            </w:r>
            <w:r w:rsidRPr="00E70263">
              <w:rPr>
                <w:color w:val="000000"/>
              </w:rPr>
              <w:t xml:space="preserve">  </w:t>
            </w:r>
            <w:r w:rsidRPr="00E70263">
              <w:rPr>
                <w:rStyle w:val="Artref"/>
                <w:color w:val="000000"/>
              </w:rPr>
              <w:t>5.339</w:t>
            </w:r>
            <w:r w:rsidRPr="00E70263">
              <w:rPr>
                <w:color w:val="000000"/>
              </w:rPr>
              <w:t xml:space="preserve">  </w:t>
            </w:r>
            <w:r w:rsidRPr="00E70263">
              <w:rPr>
                <w:rStyle w:val="Artref"/>
                <w:color w:val="000000"/>
              </w:rPr>
              <w:t>5.443</w:t>
            </w:r>
          </w:p>
        </w:tc>
      </w:tr>
    </w:tbl>
    <w:p w:rsidR="00D925E1" w:rsidRPr="00E70263" w:rsidRDefault="009F07E8" w:rsidP="00F1491D">
      <w:pPr>
        <w:pStyle w:val="Reasons"/>
      </w:pPr>
      <w:r w:rsidRPr="00E70263">
        <w:rPr>
          <w:b/>
        </w:rPr>
        <w:t>Reasons:</w:t>
      </w:r>
      <w:r w:rsidRPr="00E70263">
        <w:tab/>
      </w:r>
      <w:r w:rsidR="00D925E1" w:rsidRPr="00E70263">
        <w:t xml:space="preserve">Summary of ITU-R compatibility studies between </w:t>
      </w:r>
      <w:r w:rsidR="00D925E1" w:rsidRPr="00E70263">
        <w:rPr>
          <w:rFonts w:ascii="TimesNewRoman" w:hAnsi="TimesNewRoman" w:cs="TimesNewRoman"/>
          <w:szCs w:val="24"/>
          <w:lang w:eastAsia="zh-CN"/>
        </w:rPr>
        <w:t>IMT systems and point-to-point fixed wireless systems</w:t>
      </w:r>
      <w:r w:rsidR="00D925E1" w:rsidRPr="00E70263">
        <w:t xml:space="preserve"> in the frequency band 4 400 to 4 990 MHz shows a large geographical separation distance requires. </w:t>
      </w:r>
      <w:r w:rsidR="00D925E1" w:rsidRPr="00E70263">
        <w:rPr>
          <w:rFonts w:ascii="TimesNewRoman" w:hAnsi="TimesNewRoman" w:cs="TimesNewRoman"/>
          <w:szCs w:val="24"/>
          <w:lang w:eastAsia="zh-CN"/>
        </w:rPr>
        <w:t xml:space="preserve">In the case of aggregate interference from a network of IMT base stations, the required separation distance increases the difficulty of compatibility between IMT systems and FS systems. Since </w:t>
      </w:r>
      <w:r w:rsidR="00D925E1" w:rsidRPr="00E70263">
        <w:t>the frequency band 4 400 to 4 990 MHz was heavily utilized by microwave links, this administration could not envisage any high</w:t>
      </w:r>
      <w:r w:rsidR="00F1491D" w:rsidRPr="00E70263">
        <w:t>-</w:t>
      </w:r>
      <w:r w:rsidR="00D925E1" w:rsidRPr="00E70263">
        <w:t>density mobile systems in this frequency band.</w:t>
      </w:r>
    </w:p>
    <w:p w:rsidR="00F1491D" w:rsidRPr="00E70263" w:rsidRDefault="00F1491D" w:rsidP="0032202E">
      <w:pPr>
        <w:pStyle w:val="Reasons"/>
      </w:pPr>
    </w:p>
    <w:p w:rsidR="00F1491D" w:rsidRPr="00E70263" w:rsidRDefault="00F1491D">
      <w:pPr>
        <w:jc w:val="center"/>
      </w:pPr>
      <w:r w:rsidRPr="00E70263">
        <w:t>______________</w:t>
      </w:r>
    </w:p>
    <w:sectPr w:rsidR="00F1491D" w:rsidRPr="00E70263" w:rsidSect="00790083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8F" w:rsidRDefault="00012F8F">
      <w:r>
        <w:separator/>
      </w:r>
    </w:p>
  </w:endnote>
  <w:endnote w:type="continuationSeparator" w:id="0">
    <w:p w:rsidR="00012F8F" w:rsidRDefault="00012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790083">
    <w:pPr>
      <w:framePr w:wrap="around" w:vAnchor="text" w:hAnchor="margin" w:xAlign="right" w:y="1"/>
    </w:pPr>
    <w:r>
      <w:fldChar w:fldCharType="begin"/>
    </w:r>
    <w:r w:rsidR="00E45D05">
      <w:instrText xml:space="preserve">PAGE  </w:instrText>
    </w:r>
    <w:r>
      <w:fldChar w:fldCharType="end"/>
    </w:r>
  </w:p>
  <w:p w:rsidR="00E45D05" w:rsidRPr="0041348E" w:rsidRDefault="00790083">
    <w:pPr>
      <w:ind w:right="360"/>
      <w:rPr>
        <w:lang w:val="en-US"/>
      </w:rPr>
    </w:pPr>
    <w:r>
      <w:fldChar w:fldCharType="begin"/>
    </w:r>
    <w:r w:rsidR="00E45D05" w:rsidRPr="0041348E">
      <w:rPr>
        <w:lang w:val="en-US"/>
      </w:rPr>
      <w:instrText xml:space="preserve"> FILENAME \p  \* MERGEFORMAT </w:instrText>
    </w:r>
    <w:r>
      <w:fldChar w:fldCharType="separate"/>
    </w:r>
    <w:r w:rsidR="00B460E4">
      <w:rPr>
        <w:noProof/>
        <w:lang w:val="en-US"/>
      </w:rPr>
      <w:t>Y:\APP\BR\POOL\WRC-15\DOC (Contributions)\1-100\061ADD01E.docx</w:t>
    </w:r>
    <w:r>
      <w:fldChar w:fldCharType="end"/>
    </w:r>
    <w:r w:rsidR="00E45D05" w:rsidRPr="0041348E">
      <w:rPr>
        <w:lang w:val="en-US"/>
      </w:rPr>
      <w:tab/>
    </w:r>
    <w:r>
      <w:fldChar w:fldCharType="begin"/>
    </w:r>
    <w:r w:rsidR="00E45D05">
      <w:instrText xml:space="preserve"> SAVEDATE \@ DD.MM.YY </w:instrText>
    </w:r>
    <w:r>
      <w:fldChar w:fldCharType="separate"/>
    </w:r>
    <w:r w:rsidR="004B32A9">
      <w:rPr>
        <w:noProof/>
      </w:rPr>
      <w:t>16.10.15</w:t>
    </w:r>
    <w:r>
      <w:fldChar w:fldCharType="end"/>
    </w:r>
    <w:r w:rsidR="00E45D05" w:rsidRPr="0041348E">
      <w:rPr>
        <w:lang w:val="en-US"/>
      </w:rPr>
      <w:tab/>
    </w:r>
    <w:r>
      <w:fldChar w:fldCharType="begin"/>
    </w:r>
    <w:r w:rsidR="00E45D05">
      <w:instrText xml:space="preserve"> PRINTDATE \@ DD.MM.YY </w:instrText>
    </w:r>
    <w:r>
      <w:fldChar w:fldCharType="separate"/>
    </w:r>
    <w:r w:rsidR="00B460E4">
      <w:rPr>
        <w:noProof/>
      </w:rPr>
      <w:t>16.10.15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D" w:rsidRDefault="00F1491D" w:rsidP="00F1491D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P:\ENG\ITU-R\CONF-R\CMR15\000\061ADD01E.docx</w:t>
    </w:r>
    <w:r>
      <w:fldChar w:fldCharType="end"/>
    </w:r>
    <w:r>
      <w:t xml:space="preserve"> (388280)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18.10.15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91D" w:rsidRDefault="00F1491D">
    <w:pPr>
      <w:pStyle w:val="Footer"/>
    </w:pPr>
    <w:fldSimple w:instr=" FILENAME \p  \* MERGEFORMAT ">
      <w:r>
        <w:t>P:\ENG\ITU-R\CONF-R\CMR15\000\061ADD01E.docx</w:t>
      </w:r>
    </w:fldSimple>
    <w:r>
      <w:t xml:space="preserve"> (388280)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18.10.15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8F" w:rsidRDefault="00012F8F">
      <w:r>
        <w:rPr>
          <w:b/>
        </w:rPr>
        <w:t>_______________</w:t>
      </w:r>
    </w:p>
  </w:footnote>
  <w:footnote w:type="continuationSeparator" w:id="0">
    <w:p w:rsidR="00012F8F" w:rsidRDefault="00012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790083" w:rsidP="00187BD9">
    <w:pPr>
      <w:pStyle w:val="Header"/>
    </w:pPr>
    <w:r>
      <w:fldChar w:fldCharType="begin"/>
    </w:r>
    <w:r w:rsidR="00A066F1">
      <w:instrText xml:space="preserve"> PAGE  \* MERGEFORMAT </w:instrText>
    </w:r>
    <w:r>
      <w:fldChar w:fldCharType="separate"/>
    </w:r>
    <w:r w:rsidR="00E70263">
      <w:rPr>
        <w:noProof/>
      </w:rPr>
      <w:t>3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2" w:name="OLE_LINK1"/>
    <w:bookmarkStart w:id="13" w:name="OLE_LINK2"/>
    <w:bookmarkStart w:id="14" w:name="OLE_LINK3"/>
    <w:bookmarkEnd w:id="12"/>
    <w:bookmarkEnd w:id="13"/>
    <w:bookmarkEnd w:id="14"/>
    <w:r w:rsidR="000B2D80">
      <w:t>61(Add1)</w:t>
    </w:r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12F8F"/>
    <w:rsid w:val="00022A29"/>
    <w:rsid w:val="000355FD"/>
    <w:rsid w:val="00051E39"/>
    <w:rsid w:val="000705F2"/>
    <w:rsid w:val="00077239"/>
    <w:rsid w:val="00086491"/>
    <w:rsid w:val="00091346"/>
    <w:rsid w:val="0009706C"/>
    <w:rsid w:val="000B2D80"/>
    <w:rsid w:val="000D154B"/>
    <w:rsid w:val="000F73FF"/>
    <w:rsid w:val="00114CF7"/>
    <w:rsid w:val="001163BA"/>
    <w:rsid w:val="00123B68"/>
    <w:rsid w:val="00126F2E"/>
    <w:rsid w:val="00146F6F"/>
    <w:rsid w:val="001663EA"/>
    <w:rsid w:val="00187BD9"/>
    <w:rsid w:val="00190B55"/>
    <w:rsid w:val="001B5373"/>
    <w:rsid w:val="001C3B5F"/>
    <w:rsid w:val="001D058F"/>
    <w:rsid w:val="002009EA"/>
    <w:rsid w:val="00202CA0"/>
    <w:rsid w:val="00216B6D"/>
    <w:rsid w:val="0022623D"/>
    <w:rsid w:val="00241FA2"/>
    <w:rsid w:val="00271316"/>
    <w:rsid w:val="002B349C"/>
    <w:rsid w:val="002D58BE"/>
    <w:rsid w:val="002E2F9D"/>
    <w:rsid w:val="0031475F"/>
    <w:rsid w:val="0034465D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464"/>
    <w:rsid w:val="004969AD"/>
    <w:rsid w:val="004A26C4"/>
    <w:rsid w:val="004B13CB"/>
    <w:rsid w:val="004B1C65"/>
    <w:rsid w:val="004B32A9"/>
    <w:rsid w:val="004D0034"/>
    <w:rsid w:val="004D26EA"/>
    <w:rsid w:val="004D2BFB"/>
    <w:rsid w:val="004D5D5C"/>
    <w:rsid w:val="0050139F"/>
    <w:rsid w:val="0055140B"/>
    <w:rsid w:val="00571422"/>
    <w:rsid w:val="005964AB"/>
    <w:rsid w:val="005C099A"/>
    <w:rsid w:val="005C31A5"/>
    <w:rsid w:val="005C547A"/>
    <w:rsid w:val="005E10C9"/>
    <w:rsid w:val="005E290B"/>
    <w:rsid w:val="005E61DD"/>
    <w:rsid w:val="006023DF"/>
    <w:rsid w:val="00616219"/>
    <w:rsid w:val="00636FB2"/>
    <w:rsid w:val="00657DE0"/>
    <w:rsid w:val="006845CB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083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944B1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9F07E8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82FA0"/>
    <w:rsid w:val="00A93B85"/>
    <w:rsid w:val="00AA0B18"/>
    <w:rsid w:val="00AA3C65"/>
    <w:rsid w:val="00AA666F"/>
    <w:rsid w:val="00AB1BD7"/>
    <w:rsid w:val="00B019B1"/>
    <w:rsid w:val="00B460E4"/>
    <w:rsid w:val="00B639E9"/>
    <w:rsid w:val="00B817CD"/>
    <w:rsid w:val="00B81A7D"/>
    <w:rsid w:val="00B94AD0"/>
    <w:rsid w:val="00BA177A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C39D8"/>
    <w:rsid w:val="00CE388F"/>
    <w:rsid w:val="00CE5E47"/>
    <w:rsid w:val="00CF020F"/>
    <w:rsid w:val="00CF2B5B"/>
    <w:rsid w:val="00D14CE0"/>
    <w:rsid w:val="00D15A55"/>
    <w:rsid w:val="00D268B3"/>
    <w:rsid w:val="00D54009"/>
    <w:rsid w:val="00D5651D"/>
    <w:rsid w:val="00D57A34"/>
    <w:rsid w:val="00D648AE"/>
    <w:rsid w:val="00D74898"/>
    <w:rsid w:val="00D801ED"/>
    <w:rsid w:val="00D925E1"/>
    <w:rsid w:val="00D936BC"/>
    <w:rsid w:val="00D96530"/>
    <w:rsid w:val="00DB4632"/>
    <w:rsid w:val="00DC5618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70263"/>
    <w:rsid w:val="00E91D9A"/>
    <w:rsid w:val="00E976C1"/>
    <w:rsid w:val="00EA12E5"/>
    <w:rsid w:val="00EB55C6"/>
    <w:rsid w:val="00EC5D51"/>
    <w:rsid w:val="00EF1932"/>
    <w:rsid w:val="00F02766"/>
    <w:rsid w:val="00F05BD4"/>
    <w:rsid w:val="00F1491D"/>
    <w:rsid w:val="00F6155B"/>
    <w:rsid w:val="00F65C19"/>
    <w:rsid w:val="00FD18DA"/>
    <w:rsid w:val="00FD2546"/>
    <w:rsid w:val="00FD772E"/>
    <w:rsid w:val="00FE55EB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."/>
  <w15:chartTrackingRefBased/>
  <w15:docId w15:val="{CF801E39-DFB7-4B3E-9962-7E977F4E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eastAsia="en-US"/>
    </w:rPr>
  </w:style>
  <w:style w:type="paragraph" w:styleId="Heading1">
    <w:name w:val="heading 1"/>
    <w:basedOn w:val="Normal"/>
    <w:next w:val="Normal"/>
    <w:qFormat/>
    <w:rsid w:val="00790083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90083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90083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90083"/>
    <w:pPr>
      <w:outlineLvl w:val="3"/>
    </w:pPr>
  </w:style>
  <w:style w:type="paragraph" w:styleId="Heading5">
    <w:name w:val="heading 5"/>
    <w:basedOn w:val="Heading4"/>
    <w:next w:val="Normal"/>
    <w:qFormat/>
    <w:rsid w:val="00790083"/>
    <w:pPr>
      <w:outlineLvl w:val="4"/>
    </w:pPr>
  </w:style>
  <w:style w:type="paragraph" w:styleId="Heading6">
    <w:name w:val="heading 6"/>
    <w:basedOn w:val="Heading4"/>
    <w:next w:val="Normal"/>
    <w:qFormat/>
    <w:rsid w:val="00790083"/>
    <w:pPr>
      <w:outlineLvl w:val="5"/>
    </w:pPr>
  </w:style>
  <w:style w:type="paragraph" w:styleId="Heading7">
    <w:name w:val="heading 7"/>
    <w:basedOn w:val="Heading6"/>
    <w:next w:val="Normal"/>
    <w:qFormat/>
    <w:rsid w:val="00790083"/>
    <w:pPr>
      <w:outlineLvl w:val="6"/>
    </w:pPr>
  </w:style>
  <w:style w:type="paragraph" w:styleId="Heading8">
    <w:name w:val="heading 8"/>
    <w:basedOn w:val="Heading6"/>
    <w:next w:val="Normal"/>
    <w:qFormat/>
    <w:rsid w:val="00790083"/>
    <w:pPr>
      <w:outlineLvl w:val="7"/>
    </w:pPr>
  </w:style>
  <w:style w:type="paragraph" w:styleId="Heading9">
    <w:name w:val="heading 9"/>
    <w:basedOn w:val="Heading6"/>
    <w:next w:val="Normal"/>
    <w:qFormat/>
    <w:rsid w:val="007900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="Calibr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>R15-WRC15-C-5506!A1!MSW-E</DPM_x0020_File_x0020_name>
    <DPM_x0020_Author xmlns="32a1a8c5-2265-4ebc-b7a0-2071e2c5c9bb">Conference Proposals Interface (CPI)</DPM_x0020_Author>
    <DPM_x0020_Version xmlns="32a1a8c5-2265-4ebc-b7a0-2071e2c5c9bb">CPI_5.2015.9.11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0F63-5B3C-4264-AD8F-3048510DB870}">
  <ds:schemaRefs>
    <ds:schemaRef ds:uri="http://schemas.openxmlformats.org/package/2006/metadata/core-properties"/>
    <ds:schemaRef ds:uri="996b2e75-67fd-4955-a3b0-5ab9934cb50b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BF49E1-EFEB-4944-91E2-3001131E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6</TotalTime>
  <Pages>3</Pages>
  <Words>771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R15-WRC15-C-5506!A1!MSW-E</vt:lpstr>
    </vt:vector>
  </TitlesOfParts>
  <Manager>General Secretariat - Pool</Manager>
  <Company>International Telecommunication Union (ITU)</Company>
  <LinksUpToDate>false</LinksUpToDate>
  <CharactersWithSpaces>5046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R15-WRC15-C-5506!A1!MSW-E</dc:title>
  <dc:subject>World Radiocommunication Conference - 2015</dc:subject>
  <dc:creator>Conference Proposals Interface (CPI)</dc:creator>
  <cp:keywords>CPI_5.2015.9.11</cp:keywords>
  <dc:description>Uploaded on 2015.07.06</dc:description>
  <cp:lastModifiedBy>Turnbull, Karen</cp:lastModifiedBy>
  <cp:revision>6</cp:revision>
  <cp:lastPrinted>2015-10-16T12:21:00Z</cp:lastPrinted>
  <dcterms:created xsi:type="dcterms:W3CDTF">2015-10-18T14:33:00Z</dcterms:created>
  <dcterms:modified xsi:type="dcterms:W3CDTF">2015-10-18T14:39:00Z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  <property fmtid="{D5CDD505-2E9C-101B-9397-08002B2CF9AE}" pid="11" name="_dlc_DocId">
    <vt:lpwstr>CJDSJNEQ73FR-44-23</vt:lpwstr>
  </property>
  <property fmtid="{D5CDD505-2E9C-101B-9397-08002B2CF9AE}" pid="12" name="_dlc_DocIdUrl">
    <vt:lpwstr>http://spdev11/en/gmpcs/_layouts/DocIdRedir.aspx?ID=CJDSJNEQ73FR-44-23, CJDSJNEQ73FR-44-23</vt:lpwstr>
  </property>
</Properties>
</file>