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622560">
        <w:trPr>
          <w:cantSplit/>
        </w:trPr>
        <w:tc>
          <w:tcPr>
            <w:tcW w:w="6911" w:type="dxa"/>
          </w:tcPr>
          <w:p w:rsidR="00622560" w:rsidRPr="00566240" w:rsidRDefault="00B711CC" w:rsidP="0087777E">
            <w:pPr>
              <w:spacing w:before="400" w:after="48"/>
              <w:rPr>
                <w:rFonts w:ascii="Verdana" w:hAnsi="Verdana"/>
                <w:b/>
                <w:bCs/>
                <w:position w:val="6"/>
                <w:lang w:eastAsia="zh-CN"/>
              </w:rPr>
            </w:pPr>
            <w:bookmarkStart w:id="0" w:name="dtemplate"/>
            <w:bookmarkStart w:id="1" w:name="dorlang" w:colFirst="1" w:colLast="1"/>
            <w:bookmarkEnd w:id="0"/>
            <w:r w:rsidRPr="00566240">
              <w:rPr>
                <w:rFonts w:ascii="SimSun" w:hAnsi="SimSun" w:hint="eastAsia"/>
                <w:b/>
                <w:bCs/>
                <w:sz w:val="26"/>
                <w:szCs w:val="26"/>
                <w:lang w:eastAsia="zh-CN"/>
              </w:rPr>
              <w:t>世界无线电通信大会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（</w:t>
            </w:r>
            <w:r w:rsidRPr="00566240"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WRC-</w:t>
            </w:r>
            <w:r>
              <w:rPr>
                <w:rFonts w:ascii="Verdana" w:hAnsi="Verdana" w:cs="Arial"/>
                <w:b/>
                <w:bCs/>
                <w:sz w:val="26"/>
                <w:szCs w:val="26"/>
                <w:lang w:eastAsia="zh-CN"/>
              </w:rPr>
              <w:t>15</w:t>
            </w:r>
            <w:r w:rsidRPr="00566240">
              <w:rPr>
                <w:rFonts w:ascii="Verdana" w:hAnsi="SimSun"/>
                <w:b/>
                <w:bCs/>
                <w:sz w:val="26"/>
                <w:szCs w:val="26"/>
                <w:lang w:eastAsia="zh-CN"/>
              </w:rPr>
              <w:t>）</w:t>
            </w:r>
            <w:r w:rsidRPr="00566240">
              <w:rPr>
                <w:rFonts w:ascii="Verdana" w:hAnsi="Verdana" w:cs="Times"/>
                <w:b/>
                <w:bCs/>
                <w:position w:val="6"/>
                <w:sz w:val="26"/>
                <w:szCs w:val="26"/>
                <w:lang w:eastAsia="zh-CN"/>
              </w:rPr>
              <w:br/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2015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年</w:t>
            </w:r>
            <w:r w:rsidRPr="00162D00">
              <w:rPr>
                <w:rFonts w:ascii="Verdana" w:hAnsi="Verdana"/>
                <w:b/>
                <w:bCs/>
                <w:smallCaps/>
                <w:sz w:val="20"/>
                <w:lang w:eastAsia="zh-CN"/>
              </w:rPr>
              <w:t>11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月</w:t>
            </w:r>
            <w:r w:rsidRPr="00162D00">
              <w:rPr>
                <w:rFonts w:ascii="Verdana" w:hAnsi="Verdana" w:cstheme="minorHAnsi"/>
                <w:b/>
                <w:bCs/>
                <w:smallCaps/>
                <w:sz w:val="20"/>
                <w:lang w:eastAsia="zh-CN"/>
              </w:rPr>
              <w:t>2-27</w:t>
            </w:r>
            <w:r w:rsidRPr="00162D00">
              <w:rPr>
                <w:rFonts w:ascii="SimSun" w:hAnsi="SimSun" w:hint="eastAsia"/>
                <w:b/>
                <w:bCs/>
                <w:smallCaps/>
                <w:sz w:val="20"/>
                <w:lang w:eastAsia="zh-CN"/>
              </w:rPr>
              <w:t>日</w:t>
            </w:r>
            <w:r w:rsidRPr="00162D00">
              <w:rPr>
                <w:rFonts w:ascii="SimSun" w:hAnsi="SimSun" w:cs="SimSun" w:hint="eastAsia"/>
                <w:b/>
                <w:smallCaps/>
                <w:sz w:val="20"/>
                <w:lang w:eastAsia="zh-CN"/>
              </w:rPr>
              <w:t>，</w:t>
            </w:r>
            <w:r w:rsidRPr="00162D00">
              <w:rPr>
                <w:rFonts w:ascii="SimSun" w:hAnsi="SimSun" w:hint="eastAsia"/>
                <w:b/>
                <w:bCs/>
                <w:sz w:val="20"/>
                <w:lang w:eastAsia="zh-CN"/>
              </w:rPr>
              <w:t>日内瓦</w:t>
            </w:r>
          </w:p>
        </w:tc>
        <w:tc>
          <w:tcPr>
            <w:tcW w:w="3120" w:type="dxa"/>
          </w:tcPr>
          <w:p w:rsidR="00622560" w:rsidRPr="00622560" w:rsidRDefault="00B711CC" w:rsidP="0087777E">
            <w:pPr>
              <w:spacing w:before="0"/>
              <w:jc w:val="right"/>
              <w:rPr>
                <w:rFonts w:ascii="Verdana" w:hAnsi="Verdana"/>
                <w:sz w:val="20"/>
              </w:rPr>
            </w:pPr>
            <w:bookmarkStart w:id="2" w:name="ditulogo"/>
            <w:bookmarkEnd w:id="2"/>
            <w:r>
              <w:rPr>
                <w:noProof/>
                <w:lang w:val="en-US" w:eastAsia="zh-CN"/>
              </w:rPr>
              <w:drawing>
                <wp:inline distT="0" distB="0" distL="0" distR="0" wp14:anchorId="435908D3" wp14:editId="49B45FE4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2560" w:rsidRPr="00617BE4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622560" w:rsidRPr="00617BE4" w:rsidRDefault="00B711CC" w:rsidP="0087777E">
            <w:pPr>
              <w:spacing w:after="48"/>
              <w:rPr>
                <w:b/>
                <w:smallCaps/>
                <w:szCs w:val="24"/>
              </w:rPr>
            </w:pPr>
            <w:bookmarkStart w:id="3" w:name="dhead"/>
            <w:r w:rsidRPr="00904437">
              <w:rPr>
                <w:rFonts w:hAnsi="SimSun" w:hint="eastAsia"/>
                <w:b/>
                <w:bCs/>
                <w:szCs w:val="24"/>
              </w:rPr>
              <w:t>国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际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电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信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联</w:t>
            </w:r>
            <w:r w:rsidRPr="00904437">
              <w:rPr>
                <w:rFonts w:hAnsi="SimSun" w:hint="eastAsia"/>
                <w:b/>
                <w:bCs/>
                <w:szCs w:val="24"/>
              </w:rPr>
              <w:t xml:space="preserve"> </w:t>
            </w:r>
            <w:r w:rsidRPr="00904437">
              <w:rPr>
                <w:rFonts w:hAnsi="SimSun" w:hint="eastAsia"/>
                <w:b/>
                <w:bCs/>
                <w:szCs w:val="24"/>
              </w:rPr>
              <w:t>盟</w:t>
            </w:r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622560" w:rsidRPr="00622560" w:rsidRDefault="00622560" w:rsidP="0087777E">
            <w:pPr>
              <w:spacing w:before="0"/>
              <w:rPr>
                <w:rFonts w:ascii="Verdana" w:hAnsi="Verdana"/>
                <w:sz w:val="20"/>
                <w:szCs w:val="24"/>
              </w:rPr>
            </w:pPr>
          </w:p>
        </w:tc>
      </w:tr>
      <w:tr w:rsidR="00622560" w:rsidRPr="00C324A8" w:rsidTr="00622560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622560" w:rsidRPr="00CB4E5A" w:rsidRDefault="00622560" w:rsidP="0087777E">
            <w:pPr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622560" w:rsidRPr="00CB4E5A" w:rsidRDefault="00622560" w:rsidP="0087777E">
            <w:pPr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622560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622560" w:rsidRPr="00A466E6" w:rsidRDefault="000273B7" w:rsidP="0087777E">
            <w:pPr>
              <w:spacing w:before="0"/>
              <w:rPr>
                <w:rFonts w:ascii="Verdana" w:hAnsi="Verdana"/>
                <w:b/>
                <w:sz w:val="20"/>
              </w:rPr>
            </w:pPr>
            <w:proofErr w:type="spellStart"/>
            <w:r w:rsidRPr="00A466E6">
              <w:rPr>
                <w:rFonts w:ascii="Verdana" w:hAnsi="Verdana"/>
                <w:b/>
                <w:sz w:val="20"/>
              </w:rPr>
              <w:t>全体会议</w:t>
            </w:r>
            <w:proofErr w:type="spellEnd"/>
          </w:p>
        </w:tc>
        <w:tc>
          <w:tcPr>
            <w:tcW w:w="3120" w:type="dxa"/>
            <w:shd w:val="clear" w:color="auto" w:fill="auto"/>
          </w:tcPr>
          <w:p w:rsidR="00622560" w:rsidRPr="00622560" w:rsidRDefault="000273B7" w:rsidP="0087777E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 w:cs="Traditional Arabic"/>
                <w:b/>
                <w:sz w:val="20"/>
              </w:rPr>
              <w:t>文件</w:t>
            </w:r>
            <w:proofErr w:type="spellEnd"/>
            <w:r w:rsidR="00DB2647">
              <w:rPr>
                <w:rFonts w:ascii="Verdana" w:hAnsi="Verdana" w:cs="Traditional Arabic"/>
                <w:b/>
                <w:sz w:val="20"/>
              </w:rPr>
              <w:t xml:space="preserve"> 61</w:t>
            </w:r>
            <w:r>
              <w:rPr>
                <w:rFonts w:ascii="Verdana" w:hAnsi="Verdana" w:cs="Traditional Arabic"/>
                <w:b/>
                <w:sz w:val="20"/>
              </w:rPr>
              <w:t>(Add.1)</w:t>
            </w:r>
            <w:r w:rsidR="00622560" w:rsidRPr="00622560">
              <w:rPr>
                <w:rFonts w:ascii="Verdana" w:hAnsi="Verdana"/>
                <w:b/>
                <w:sz w:val="20"/>
              </w:rPr>
              <w:t>-</w:t>
            </w:r>
            <w:r w:rsidRPr="000273B7">
              <w:rPr>
                <w:rFonts w:ascii="Verdana" w:hAnsi="Verdana"/>
                <w:b/>
                <w:sz w:val="20"/>
              </w:rPr>
              <w:t>C</w:t>
            </w:r>
          </w:p>
        </w:tc>
      </w:tr>
      <w:bookmarkEnd w:id="1"/>
      <w:bookmarkEnd w:id="3"/>
      <w:tr w:rsidR="008221A4" w:rsidRPr="00C324A8" w:rsidTr="00622560">
        <w:trPr>
          <w:cantSplit/>
          <w:trHeight w:val="23"/>
        </w:trPr>
        <w:tc>
          <w:tcPr>
            <w:tcW w:w="6911" w:type="dxa"/>
            <w:shd w:val="clear" w:color="auto" w:fill="auto"/>
          </w:tcPr>
          <w:p w:rsidR="008221A4" w:rsidRPr="00C324A8" w:rsidRDefault="008221A4" w:rsidP="0087777E">
            <w:pPr>
              <w:spacing w:before="0"/>
              <w:rPr>
                <w:rFonts w:ascii="Verdana" w:hAnsi="Verdana"/>
                <w:b/>
                <w:smallCaps/>
                <w:sz w:val="20"/>
              </w:rPr>
            </w:pPr>
          </w:p>
        </w:tc>
        <w:tc>
          <w:tcPr>
            <w:tcW w:w="3120" w:type="dxa"/>
            <w:shd w:val="clear" w:color="auto" w:fill="auto"/>
          </w:tcPr>
          <w:p w:rsidR="008221A4" w:rsidRPr="00622560" w:rsidRDefault="008221A4" w:rsidP="0087777E">
            <w:pPr>
              <w:spacing w:before="0"/>
              <w:rPr>
                <w:rFonts w:ascii="Verdana" w:hAnsi="Verdana"/>
                <w:sz w:val="20"/>
              </w:rPr>
            </w:pPr>
            <w:r w:rsidRPr="000273B7">
              <w:rPr>
                <w:rFonts w:ascii="Verdana" w:hAnsi="Verdana"/>
                <w:b/>
                <w:bCs/>
                <w:sz w:val="20"/>
              </w:rPr>
              <w:t>2015</w:t>
            </w:r>
            <w:r w:rsidRPr="000273B7">
              <w:rPr>
                <w:rFonts w:ascii="Verdana" w:hAnsi="Verdana"/>
                <w:b/>
                <w:bCs/>
                <w:sz w:val="20"/>
              </w:rPr>
              <w:t>年</w:t>
            </w:r>
            <w:r w:rsidRPr="000273B7">
              <w:rPr>
                <w:rFonts w:ascii="Verdana" w:hAnsi="Verdana"/>
                <w:b/>
                <w:bCs/>
                <w:sz w:val="20"/>
              </w:rPr>
              <w:t>10</w:t>
            </w:r>
            <w:r w:rsidRPr="000273B7">
              <w:rPr>
                <w:rFonts w:ascii="Verdana" w:hAnsi="Verdana"/>
                <w:b/>
                <w:bCs/>
                <w:sz w:val="20"/>
              </w:rPr>
              <w:t>月</w:t>
            </w:r>
            <w:r w:rsidR="003B1B54">
              <w:rPr>
                <w:rFonts w:ascii="Verdana" w:hAnsi="Verdana" w:hint="eastAsia"/>
                <w:b/>
                <w:bCs/>
                <w:sz w:val="20"/>
                <w:lang w:eastAsia="zh-CN"/>
              </w:rPr>
              <w:t>1</w:t>
            </w:r>
            <w:r w:rsidRPr="000273B7">
              <w:rPr>
                <w:rFonts w:ascii="Verdana" w:hAnsi="Verdana"/>
                <w:b/>
                <w:bCs/>
                <w:sz w:val="20"/>
              </w:rPr>
              <w:t>4</w:t>
            </w:r>
            <w:r w:rsidRPr="000273B7">
              <w:rPr>
                <w:rFonts w:ascii="Verdana" w:hAnsi="Verdana"/>
                <w:b/>
                <w:bCs/>
                <w:sz w:val="20"/>
              </w:rPr>
              <w:t>日</w:t>
            </w:r>
          </w:p>
        </w:tc>
      </w:tr>
      <w:tr w:rsidR="008221A4" w:rsidRPr="00C324A8" w:rsidTr="00622560">
        <w:trPr>
          <w:cantSplit/>
          <w:trHeight w:val="23"/>
        </w:trPr>
        <w:tc>
          <w:tcPr>
            <w:tcW w:w="6911" w:type="dxa"/>
          </w:tcPr>
          <w:p w:rsidR="008221A4" w:rsidRPr="00CB4E5A" w:rsidRDefault="008221A4" w:rsidP="0087777E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  <w:tc>
          <w:tcPr>
            <w:tcW w:w="3120" w:type="dxa"/>
          </w:tcPr>
          <w:p w:rsidR="008221A4" w:rsidRPr="00622560" w:rsidRDefault="008221A4" w:rsidP="0087777E">
            <w:pPr>
              <w:spacing w:before="0"/>
              <w:rPr>
                <w:rFonts w:ascii="Verdana" w:hAnsi="Verdana"/>
                <w:sz w:val="20"/>
              </w:rPr>
            </w:pPr>
            <w:proofErr w:type="spellStart"/>
            <w:r w:rsidRPr="000273B7">
              <w:rPr>
                <w:rFonts w:ascii="Verdana" w:hAnsi="Verdana"/>
                <w:b/>
                <w:bCs/>
                <w:sz w:val="20"/>
              </w:rPr>
              <w:t>原文：英文</w:t>
            </w:r>
            <w:proofErr w:type="spellEnd"/>
          </w:p>
        </w:tc>
      </w:tr>
      <w:tr w:rsidR="008221A4" w:rsidRPr="00C324A8" w:rsidTr="00FE20CB">
        <w:trPr>
          <w:cantSplit/>
          <w:trHeight w:val="23"/>
        </w:trPr>
        <w:tc>
          <w:tcPr>
            <w:tcW w:w="10031" w:type="dxa"/>
            <w:gridSpan w:val="2"/>
          </w:tcPr>
          <w:p w:rsidR="008221A4" w:rsidRDefault="008221A4" w:rsidP="0087777E">
            <w:pPr>
              <w:spacing w:before="0"/>
              <w:rPr>
                <w:rFonts w:ascii="Verdana" w:hAnsi="Verdana"/>
                <w:b/>
                <w:bCs/>
                <w:sz w:val="20"/>
              </w:rPr>
            </w:pP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7777E">
            <w:pPr>
              <w:pStyle w:val="Source"/>
              <w:rPr>
                <w:lang w:eastAsia="zh-CN"/>
              </w:rPr>
            </w:pPr>
            <w:bookmarkStart w:id="4" w:name="dsource" w:colFirst="0" w:colLast="0"/>
            <w:r w:rsidRPr="000273B7">
              <w:rPr>
                <w:lang w:eastAsia="zh-CN"/>
              </w:rPr>
              <w:t>伊朗（伊斯兰共和国）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920456" w:rsidP="0087777E">
            <w:pPr>
              <w:pStyle w:val="Title1"/>
            </w:pPr>
            <w:bookmarkStart w:id="5" w:name="dtitle1" w:colFirst="0" w:colLast="0"/>
            <w:bookmarkEnd w:id="4"/>
            <w:r>
              <w:rPr>
                <w:rFonts w:hint="eastAsia"/>
                <w:lang w:eastAsia="zh-CN"/>
              </w:rPr>
              <w:t>有</w:t>
            </w:r>
            <w:r>
              <w:rPr>
                <w:lang w:eastAsia="zh-CN"/>
              </w:rPr>
              <w:t>关大会工作的提案</w:t>
            </w:r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7777E">
            <w:pPr>
              <w:pStyle w:val="Title2"/>
            </w:pPr>
            <w:bookmarkStart w:id="6" w:name="dtitle2" w:colFirst="0" w:colLast="0"/>
            <w:bookmarkStart w:id="7" w:name="_GoBack"/>
            <w:bookmarkEnd w:id="5"/>
            <w:bookmarkEnd w:id="7"/>
          </w:p>
        </w:tc>
      </w:tr>
      <w:tr w:rsidR="008221A4">
        <w:trPr>
          <w:cantSplit/>
        </w:trPr>
        <w:tc>
          <w:tcPr>
            <w:tcW w:w="10031" w:type="dxa"/>
            <w:gridSpan w:val="2"/>
          </w:tcPr>
          <w:p w:rsidR="008221A4" w:rsidRDefault="008221A4" w:rsidP="0087777E">
            <w:pPr>
              <w:pStyle w:val="Agendaitem"/>
            </w:pPr>
            <w:bookmarkStart w:id="8" w:name="dtitle3" w:colFirst="0" w:colLast="0"/>
            <w:bookmarkEnd w:id="6"/>
            <w:r w:rsidRPr="000273B7">
              <w:t>议项</w:t>
            </w:r>
            <w:r w:rsidRPr="000273B7">
              <w:t>1.1</w:t>
            </w:r>
          </w:p>
        </w:tc>
      </w:tr>
    </w:tbl>
    <w:bookmarkEnd w:id="8"/>
    <w:p w:rsidR="008B60D0" w:rsidRPr="00111152" w:rsidRDefault="007F5DA9" w:rsidP="0087777E">
      <w:pPr>
        <w:pStyle w:val="Normalaftertitle0"/>
        <w:rPr>
          <w:lang w:eastAsia="zh-CN"/>
        </w:rPr>
      </w:pPr>
      <w:r w:rsidRPr="009C33AA">
        <w:rPr>
          <w:lang w:eastAsia="zh-CN"/>
        </w:rPr>
        <w:t>1.1</w:t>
      </w:r>
      <w:r w:rsidRPr="009C33AA">
        <w:rPr>
          <w:lang w:eastAsia="zh-CN"/>
        </w:rPr>
        <w:tab/>
      </w:r>
      <w:r w:rsidRPr="009C33AA">
        <w:rPr>
          <w:rFonts w:hint="eastAsia"/>
          <w:lang w:eastAsia="zh-CN"/>
        </w:rPr>
        <w:t>根据第</w:t>
      </w:r>
      <w:r w:rsidRPr="009C33AA">
        <w:rPr>
          <w:b/>
          <w:bCs/>
          <w:lang w:eastAsia="zh-CN"/>
        </w:rPr>
        <w:t>233</w:t>
      </w:r>
      <w:r w:rsidRPr="009C33AA">
        <w:rPr>
          <w:rFonts w:hint="eastAsia"/>
          <w:lang w:eastAsia="zh-CN"/>
        </w:rPr>
        <w:t>号决议</w:t>
      </w:r>
      <w:r w:rsidRPr="009C33AA">
        <w:rPr>
          <w:rFonts w:hint="eastAsia"/>
          <w:b/>
          <w:bCs/>
          <w:lang w:eastAsia="zh-CN"/>
        </w:rPr>
        <w:t>（</w:t>
      </w:r>
      <w:r w:rsidRPr="009C33AA">
        <w:rPr>
          <w:b/>
          <w:bCs/>
          <w:lang w:eastAsia="zh-CN"/>
        </w:rPr>
        <w:t>WRC-12</w:t>
      </w:r>
      <w:r w:rsidRPr="009C33AA">
        <w:rPr>
          <w:rFonts w:hint="eastAsia"/>
          <w:b/>
          <w:bCs/>
          <w:lang w:eastAsia="zh-CN"/>
        </w:rPr>
        <w:t>）</w:t>
      </w:r>
      <w:r w:rsidRPr="009C33AA">
        <w:rPr>
          <w:rFonts w:hint="eastAsia"/>
          <w:lang w:eastAsia="zh-CN"/>
        </w:rPr>
        <w:t>，审议为作为主要业务的移动业务做出附加频谱划分，并确定国际移动通信（</w:t>
      </w:r>
      <w:r w:rsidRPr="009C33AA">
        <w:rPr>
          <w:lang w:eastAsia="zh-CN"/>
        </w:rPr>
        <w:t>IMT</w:t>
      </w:r>
      <w:r w:rsidRPr="009C33AA">
        <w:rPr>
          <w:rFonts w:hint="eastAsia"/>
          <w:lang w:eastAsia="zh-CN"/>
        </w:rPr>
        <w:t>）的附加频段及相关规则条款，以促进地面移动宽带应用的发展；</w:t>
      </w:r>
    </w:p>
    <w:p w:rsidR="00622560" w:rsidRDefault="00622560" w:rsidP="0087777E">
      <w:pPr>
        <w:rPr>
          <w:lang w:eastAsia="zh-CN"/>
        </w:rPr>
      </w:pPr>
    </w:p>
    <w:p w:rsidR="004C2F52" w:rsidRDefault="004349BC" w:rsidP="0087777E">
      <w:pPr>
        <w:pStyle w:val="Headingb"/>
        <w:rPr>
          <w:lang w:val="en-US" w:eastAsia="zh-CN"/>
        </w:rPr>
      </w:pPr>
      <w:r>
        <w:rPr>
          <w:rFonts w:hint="eastAsia"/>
          <w:lang w:val="en-US" w:eastAsia="zh-CN"/>
        </w:rPr>
        <w:t>引言</w:t>
      </w:r>
    </w:p>
    <w:p w:rsidR="004349BC" w:rsidRDefault="00BE3D80" w:rsidP="0087777E">
      <w:pPr>
        <w:ind w:firstLineChars="200" w:firstLine="480"/>
        <w:rPr>
          <w:color w:val="222222"/>
          <w:szCs w:val="24"/>
          <w:lang w:eastAsia="zh-CN"/>
        </w:rPr>
      </w:pPr>
      <w:r>
        <w:rPr>
          <w:rFonts w:hint="eastAsia"/>
          <w:color w:val="222222"/>
          <w:szCs w:val="24"/>
          <w:lang w:eastAsia="zh-CN"/>
        </w:rPr>
        <w:t>为回应</w:t>
      </w:r>
      <w:r w:rsidR="00BD4066">
        <w:rPr>
          <w:rFonts w:hint="eastAsia"/>
          <w:color w:val="222222"/>
          <w:szCs w:val="24"/>
          <w:lang w:eastAsia="zh-CN"/>
        </w:rPr>
        <w:t>WRC-15</w:t>
      </w:r>
      <w:r w:rsidR="00BD4066">
        <w:rPr>
          <w:rFonts w:hint="eastAsia"/>
          <w:color w:val="222222"/>
          <w:szCs w:val="24"/>
          <w:lang w:eastAsia="zh-CN"/>
        </w:rPr>
        <w:t>的议项</w:t>
      </w:r>
      <w:r w:rsidR="00BD4066">
        <w:rPr>
          <w:rFonts w:hint="eastAsia"/>
          <w:color w:val="222222"/>
          <w:szCs w:val="24"/>
          <w:lang w:eastAsia="zh-CN"/>
        </w:rPr>
        <w:t>1.1</w:t>
      </w:r>
      <w:r w:rsidR="00BD4066">
        <w:rPr>
          <w:rFonts w:hint="eastAsia"/>
          <w:color w:val="222222"/>
          <w:szCs w:val="24"/>
          <w:lang w:eastAsia="zh-CN"/>
        </w:rPr>
        <w:t>，</w:t>
      </w:r>
      <w:r>
        <w:rPr>
          <w:rFonts w:hint="eastAsia"/>
          <w:color w:val="222222"/>
          <w:szCs w:val="24"/>
          <w:lang w:eastAsia="zh-CN"/>
        </w:rPr>
        <w:t>根据第</w:t>
      </w:r>
      <w:r>
        <w:rPr>
          <w:rFonts w:hint="eastAsia"/>
          <w:color w:val="222222"/>
          <w:szCs w:val="24"/>
          <w:lang w:eastAsia="zh-CN"/>
        </w:rPr>
        <w:t>233</w:t>
      </w:r>
      <w:r>
        <w:rPr>
          <w:rFonts w:hint="eastAsia"/>
          <w:color w:val="222222"/>
          <w:szCs w:val="24"/>
          <w:lang w:eastAsia="zh-CN"/>
        </w:rPr>
        <w:t>号决议（</w:t>
      </w:r>
      <w:r>
        <w:rPr>
          <w:rFonts w:hint="eastAsia"/>
          <w:color w:val="222222"/>
          <w:szCs w:val="24"/>
          <w:lang w:eastAsia="zh-CN"/>
        </w:rPr>
        <w:t>WRC-12</w:t>
      </w:r>
      <w:r>
        <w:rPr>
          <w:rFonts w:hint="eastAsia"/>
          <w:color w:val="222222"/>
          <w:szCs w:val="24"/>
          <w:lang w:eastAsia="zh-CN"/>
        </w:rPr>
        <w:t>），</w:t>
      </w:r>
      <w:r w:rsidR="004349BC" w:rsidRPr="00820A8F">
        <w:rPr>
          <w:color w:val="222222"/>
          <w:szCs w:val="24"/>
          <w:lang w:eastAsia="zh-CN"/>
        </w:rPr>
        <w:t>ITU-R</w:t>
      </w:r>
      <w:r w:rsidR="004349BC">
        <w:rPr>
          <w:rFonts w:hint="eastAsia"/>
          <w:color w:val="222222"/>
          <w:szCs w:val="24"/>
          <w:lang w:eastAsia="zh-CN"/>
        </w:rPr>
        <w:t>研究组联合任务组</w:t>
      </w:r>
      <w:r w:rsidR="004349BC">
        <w:rPr>
          <w:rFonts w:hint="eastAsia"/>
          <w:color w:val="222222"/>
          <w:szCs w:val="24"/>
          <w:lang w:eastAsia="zh-CN"/>
        </w:rPr>
        <w:t>4-5-6-7</w:t>
      </w:r>
      <w:r w:rsidR="00BD4066">
        <w:rPr>
          <w:rFonts w:hint="eastAsia"/>
          <w:color w:val="222222"/>
          <w:szCs w:val="24"/>
          <w:lang w:eastAsia="zh-CN"/>
        </w:rPr>
        <w:t>完成了关于</w:t>
      </w:r>
      <w:r w:rsidR="00BD4066">
        <w:rPr>
          <w:rFonts w:hint="eastAsia"/>
          <w:color w:val="222222"/>
          <w:szCs w:val="24"/>
          <w:lang w:eastAsia="zh-CN"/>
        </w:rPr>
        <w:t>19</w:t>
      </w:r>
      <w:r w:rsidR="00BD4066">
        <w:rPr>
          <w:rFonts w:hint="eastAsia"/>
          <w:color w:val="222222"/>
          <w:szCs w:val="24"/>
          <w:lang w:eastAsia="zh-CN"/>
        </w:rPr>
        <w:t>个不同频段的技术和规则研究，并得出了相应方法。</w:t>
      </w:r>
      <w:r w:rsidR="00BD4066">
        <w:rPr>
          <w:rFonts w:hint="eastAsia"/>
          <w:color w:val="222222"/>
          <w:szCs w:val="24"/>
          <w:lang w:eastAsia="zh-CN"/>
        </w:rPr>
        <w:t>CPM</w:t>
      </w:r>
      <w:r w:rsidR="00BD4066">
        <w:rPr>
          <w:rFonts w:hint="eastAsia"/>
          <w:color w:val="222222"/>
          <w:szCs w:val="24"/>
          <w:lang w:eastAsia="zh-CN"/>
        </w:rPr>
        <w:t>报告纳入了拟议方法和</w:t>
      </w:r>
      <w:r w:rsidR="00021A24">
        <w:rPr>
          <w:rFonts w:hint="eastAsia"/>
          <w:color w:val="222222"/>
          <w:szCs w:val="24"/>
          <w:lang w:eastAsia="zh-CN"/>
        </w:rPr>
        <w:t>交叉引用</w:t>
      </w:r>
      <w:r w:rsidR="00BD4066">
        <w:rPr>
          <w:rFonts w:hint="eastAsia"/>
          <w:color w:val="222222"/>
          <w:szCs w:val="24"/>
          <w:lang w:eastAsia="zh-CN"/>
        </w:rPr>
        <w:t>的</w:t>
      </w:r>
      <w:r w:rsidR="00021A24">
        <w:rPr>
          <w:rFonts w:hint="eastAsia"/>
          <w:color w:val="222222"/>
          <w:szCs w:val="24"/>
          <w:lang w:eastAsia="zh-CN"/>
        </w:rPr>
        <w:t>证明材料</w:t>
      </w:r>
      <w:r w:rsidR="00BD4066">
        <w:rPr>
          <w:rFonts w:hint="eastAsia"/>
          <w:color w:val="222222"/>
          <w:szCs w:val="24"/>
          <w:lang w:eastAsia="zh-CN"/>
        </w:rPr>
        <w:t>。</w:t>
      </w:r>
    </w:p>
    <w:p w:rsidR="004C2F52" w:rsidRPr="008C6BF8" w:rsidRDefault="00BD4066" w:rsidP="008C6BF8">
      <w:pPr>
        <w:ind w:firstLineChars="200" w:firstLine="480"/>
        <w:rPr>
          <w:lang w:eastAsia="zh-CN"/>
        </w:rPr>
      </w:pPr>
      <w:r>
        <w:rPr>
          <w:rFonts w:hint="eastAsia"/>
          <w:color w:val="222222"/>
          <w:szCs w:val="24"/>
          <w:lang w:eastAsia="zh-CN"/>
        </w:rPr>
        <w:t>伊朗伊斯兰共和国主管部门参加了所有相关的</w:t>
      </w:r>
      <w:r w:rsidR="0087777E">
        <w:rPr>
          <w:rFonts w:hint="eastAsia"/>
          <w:color w:val="222222"/>
          <w:szCs w:val="24"/>
          <w:lang w:eastAsia="zh-CN"/>
        </w:rPr>
        <w:t>区域性</w:t>
      </w:r>
      <w:r>
        <w:rPr>
          <w:rFonts w:hint="eastAsia"/>
          <w:color w:val="222222"/>
          <w:szCs w:val="24"/>
          <w:lang w:eastAsia="zh-CN"/>
        </w:rPr>
        <w:t>会议和联合任务组</w:t>
      </w:r>
      <w:r>
        <w:rPr>
          <w:rFonts w:hint="eastAsia"/>
          <w:color w:val="222222"/>
          <w:szCs w:val="24"/>
          <w:lang w:eastAsia="zh-CN"/>
        </w:rPr>
        <w:t>4-5-6-7</w:t>
      </w:r>
      <w:r w:rsidR="00021A24">
        <w:rPr>
          <w:rFonts w:hint="eastAsia"/>
          <w:color w:val="222222"/>
          <w:szCs w:val="24"/>
          <w:lang w:eastAsia="zh-CN"/>
        </w:rPr>
        <w:t>的</w:t>
      </w:r>
      <w:r>
        <w:rPr>
          <w:rFonts w:hint="eastAsia"/>
          <w:color w:val="222222"/>
          <w:szCs w:val="24"/>
          <w:lang w:eastAsia="zh-CN"/>
        </w:rPr>
        <w:t>会议，并赞同</w:t>
      </w:r>
      <w:r w:rsidR="00026F91">
        <w:rPr>
          <w:rFonts w:hint="eastAsia"/>
          <w:color w:val="222222"/>
          <w:szCs w:val="24"/>
          <w:lang w:eastAsia="zh-CN"/>
        </w:rPr>
        <w:t>亚太电信组织（</w:t>
      </w:r>
      <w:r w:rsidR="00026F91">
        <w:rPr>
          <w:rFonts w:hint="eastAsia"/>
          <w:color w:val="222222"/>
          <w:szCs w:val="24"/>
          <w:lang w:eastAsia="zh-CN"/>
        </w:rPr>
        <w:t>APT</w:t>
      </w:r>
      <w:r w:rsidR="00026F91">
        <w:rPr>
          <w:rFonts w:hint="eastAsia"/>
          <w:color w:val="222222"/>
          <w:szCs w:val="24"/>
          <w:lang w:eastAsia="zh-CN"/>
        </w:rPr>
        <w:t>）关于频段</w:t>
      </w:r>
      <w:r w:rsidR="00026F91" w:rsidRPr="001B5373">
        <w:rPr>
          <w:lang w:val="en-US" w:eastAsia="zh-CN"/>
        </w:rPr>
        <w:t>470-694/698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1 518-1 525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1 695-1 710</w:t>
      </w:r>
      <w:r w:rsidR="00026F91">
        <w:rPr>
          <w:rFonts w:hint="eastAsia"/>
          <w:lang w:val="en-US" w:eastAsia="zh-CN"/>
        </w:rPr>
        <w:t>、</w:t>
      </w:r>
      <w:r w:rsidR="00026F91">
        <w:rPr>
          <w:lang w:val="en-US" w:eastAsia="zh-CN"/>
        </w:rPr>
        <w:t>2 700-2 900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3 400-3 600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3 600-3 700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3 700-3 800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3 800-4 200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4 500-4 800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5 350-5 470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5 725-5 850 MHz</w:t>
      </w:r>
      <w:r w:rsidR="00026F91">
        <w:rPr>
          <w:rFonts w:hint="eastAsia"/>
          <w:lang w:val="en-US" w:eastAsia="zh-CN"/>
        </w:rPr>
        <w:t>和</w:t>
      </w:r>
      <w:r w:rsidR="00026F91" w:rsidRPr="001B5373">
        <w:rPr>
          <w:lang w:val="en-US" w:eastAsia="zh-CN"/>
        </w:rPr>
        <w:t>5 925-6 425 MHz</w:t>
      </w:r>
      <w:r w:rsidR="00026F91">
        <w:rPr>
          <w:rFonts w:hint="eastAsia"/>
          <w:lang w:val="en-US" w:eastAsia="zh-CN"/>
        </w:rPr>
        <w:t>的共同提案。</w:t>
      </w:r>
      <w:r w:rsidR="0087777E">
        <w:rPr>
          <w:rFonts w:hint="eastAsia"/>
          <w:lang w:val="en-US" w:eastAsia="zh-CN"/>
        </w:rPr>
        <w:t>以下提案</w:t>
      </w:r>
      <w:r w:rsidR="00026F91">
        <w:rPr>
          <w:rFonts w:hint="eastAsia"/>
          <w:lang w:val="en-US" w:eastAsia="zh-CN"/>
        </w:rPr>
        <w:t>针对频段</w:t>
      </w:r>
      <w:r w:rsidR="00026F91" w:rsidRPr="001B5373">
        <w:rPr>
          <w:lang w:val="en-US" w:eastAsia="zh-CN"/>
        </w:rPr>
        <w:t>1 427-1 452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1 452-1 492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1 492-1 518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3 300-3 400 MHz</w:t>
      </w:r>
      <w:r w:rsidR="00026F91">
        <w:rPr>
          <w:rFonts w:hint="eastAsia"/>
          <w:lang w:val="en-US" w:eastAsia="zh-CN"/>
        </w:rPr>
        <w:t>、</w:t>
      </w:r>
      <w:r w:rsidR="00026F91" w:rsidRPr="001B5373">
        <w:rPr>
          <w:lang w:val="en-US" w:eastAsia="zh-CN"/>
        </w:rPr>
        <w:t>4</w:t>
      </w:r>
      <w:r w:rsidR="0087777E">
        <w:rPr>
          <w:lang w:val="en-US" w:eastAsia="zh-CN"/>
        </w:rPr>
        <w:t> </w:t>
      </w:r>
      <w:r w:rsidR="00026F91" w:rsidRPr="001B5373">
        <w:rPr>
          <w:lang w:val="en-US" w:eastAsia="zh-CN"/>
        </w:rPr>
        <w:t>400-4 500</w:t>
      </w:r>
      <w:r w:rsidR="00026F91">
        <w:rPr>
          <w:rFonts w:hint="eastAsia"/>
          <w:lang w:val="en-US" w:eastAsia="zh-CN"/>
        </w:rPr>
        <w:t>和</w:t>
      </w:r>
      <w:r w:rsidR="00026F91" w:rsidRPr="001B5373">
        <w:rPr>
          <w:lang w:val="en-US" w:eastAsia="zh-CN"/>
        </w:rPr>
        <w:t>4 800-4 990 MHz</w:t>
      </w:r>
      <w:r w:rsidR="00026F91">
        <w:rPr>
          <w:rFonts w:hint="eastAsia"/>
          <w:lang w:val="en-US" w:eastAsia="zh-CN"/>
        </w:rPr>
        <w:t>。</w:t>
      </w:r>
    </w:p>
    <w:p w:rsidR="004C2F52" w:rsidRDefault="004349BC" w:rsidP="0087777E">
      <w:pPr>
        <w:pStyle w:val="Headingb"/>
        <w:rPr>
          <w:lang w:eastAsia="zh-CN"/>
        </w:rPr>
      </w:pPr>
      <w:r>
        <w:rPr>
          <w:rFonts w:hint="eastAsia"/>
          <w:bCs/>
          <w:lang w:val="en-US" w:eastAsia="zh-CN"/>
        </w:rPr>
        <w:t>提案</w:t>
      </w:r>
    </w:p>
    <w:p w:rsidR="00B868FC" w:rsidRDefault="00B868FC" w:rsidP="0087777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eastAsia="zh-CN"/>
        </w:rPr>
      </w:pPr>
      <w:r>
        <w:rPr>
          <w:lang w:eastAsia="zh-CN"/>
        </w:rPr>
        <w:br w:type="page"/>
      </w:r>
    </w:p>
    <w:p w:rsidR="00DB1CAC" w:rsidRDefault="007F5DA9" w:rsidP="0087777E">
      <w:pPr>
        <w:pStyle w:val="ArtNo"/>
        <w:rPr>
          <w:lang w:eastAsia="zh-CN"/>
        </w:rPr>
      </w:pPr>
      <w:bookmarkStart w:id="9" w:name="_Toc329768662"/>
      <w:r>
        <w:rPr>
          <w:rFonts w:hint="eastAsia"/>
          <w:lang w:eastAsia="zh-CN"/>
        </w:rPr>
        <w:lastRenderedPageBreak/>
        <w:t>第</w:t>
      </w:r>
      <w:r w:rsidRPr="001F276D">
        <w:rPr>
          <w:rStyle w:val="href"/>
          <w:rFonts w:hint="eastAsia"/>
          <w:lang w:eastAsia="zh-CN"/>
        </w:rPr>
        <w:t>5</w:t>
      </w:r>
      <w:r>
        <w:rPr>
          <w:rFonts w:hint="eastAsia"/>
          <w:lang w:eastAsia="zh-CN"/>
        </w:rPr>
        <w:t>条</w:t>
      </w:r>
      <w:bookmarkEnd w:id="9"/>
    </w:p>
    <w:p w:rsidR="00DB1CAC" w:rsidRDefault="007F5DA9" w:rsidP="0087777E">
      <w:pPr>
        <w:pStyle w:val="Arttitle"/>
        <w:rPr>
          <w:lang w:eastAsia="zh-CN"/>
        </w:rPr>
      </w:pPr>
      <w:bookmarkStart w:id="10" w:name="_Toc329768663"/>
      <w:r>
        <w:rPr>
          <w:rFonts w:hint="eastAsia"/>
          <w:lang w:eastAsia="zh-CN"/>
        </w:rPr>
        <w:t>频率划分</w:t>
      </w:r>
      <w:bookmarkEnd w:id="10"/>
    </w:p>
    <w:p w:rsidR="00DB1CAC" w:rsidRDefault="007F5DA9" w:rsidP="0087777E">
      <w:pPr>
        <w:pStyle w:val="Section1"/>
        <w:rPr>
          <w:rFonts w:ascii="Times New Roman Bold" w:hAnsi="Times New Roman Bold"/>
          <w:b w:val="0"/>
          <w:sz w:val="20"/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IV</w:t>
      </w:r>
      <w:r>
        <w:rPr>
          <w:rFonts w:hint="eastAsia"/>
          <w:lang w:eastAsia="zh-CN"/>
        </w:rPr>
        <w:t>节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hint="eastAsia"/>
          <w:lang w:eastAsia="zh-CN"/>
        </w:rPr>
        <w:t>频率划分表</w:t>
      </w:r>
      <w:r>
        <w:rPr>
          <w:lang w:eastAsia="zh-CN"/>
        </w:rPr>
        <w:br/>
      </w:r>
      <w:r w:rsidRPr="00CD7DD8">
        <w:rPr>
          <w:rFonts w:hint="eastAsia"/>
          <w:b w:val="0"/>
          <w:lang w:eastAsia="zh-CN"/>
        </w:rPr>
        <w:t>（见第</w:t>
      </w:r>
      <w:r w:rsidRPr="002D3686">
        <w:rPr>
          <w:rFonts w:hint="eastAsia"/>
          <w:bCs/>
          <w:lang w:eastAsia="zh-CN"/>
        </w:rPr>
        <w:t>2.1</w:t>
      </w:r>
      <w:r w:rsidRPr="00CD7DD8">
        <w:rPr>
          <w:rFonts w:hint="eastAsia"/>
          <w:b w:val="0"/>
          <w:lang w:eastAsia="zh-CN"/>
        </w:rPr>
        <w:t>款）</w:t>
      </w:r>
      <w:r>
        <w:rPr>
          <w:lang w:eastAsia="zh-CN"/>
        </w:rPr>
        <w:br/>
      </w:r>
    </w:p>
    <w:p w:rsidR="00002577" w:rsidRDefault="007F5DA9" w:rsidP="0087777E">
      <w:pPr>
        <w:pStyle w:val="Proposal"/>
      </w:pPr>
      <w:r>
        <w:rPr>
          <w:u w:val="single"/>
        </w:rPr>
        <w:t>NOC</w:t>
      </w:r>
      <w:r>
        <w:tab/>
        <w:t>IRN/61A1/1</w:t>
      </w:r>
    </w:p>
    <w:p w:rsidR="00DB1CAC" w:rsidRDefault="007F5DA9" w:rsidP="0087777E">
      <w:pPr>
        <w:pStyle w:val="Tabletitle"/>
        <w:rPr>
          <w:lang w:eastAsia="zh-CN"/>
        </w:rPr>
      </w:pPr>
      <w:r>
        <w:rPr>
          <w:lang w:eastAsia="zh-CN"/>
        </w:rPr>
        <w:t>1 300-1 525 MHz</w:t>
      </w:r>
    </w:p>
    <w:tbl>
      <w:tblPr>
        <w:tblW w:w="9354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070083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划分给以下业务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>
              <w:rPr>
                <w:lang w:eastAsia="zh-CN"/>
              </w:rP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  <w:rPr>
                <w:lang w:eastAsia="zh-CN"/>
              </w:rPr>
            </w:pPr>
            <w:r>
              <w:rPr>
                <w:lang w:eastAsia="zh-CN"/>
              </w:rPr>
              <w:t>3</w:t>
            </w:r>
            <w:r>
              <w:rPr>
                <w:lang w:eastAsia="zh-CN"/>
              </w:rPr>
              <w:t>区</w:t>
            </w:r>
          </w:p>
        </w:tc>
      </w:tr>
      <w:tr w:rsidR="00DB1CAC" w:rsidTr="00070083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  <w:tabs>
                <w:tab w:val="left" w:pos="2977"/>
              </w:tabs>
              <w:rPr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1 427-1 429</w:t>
            </w:r>
            <w:r w:rsidRPr="008F6361">
              <w:rPr>
                <w:lang w:eastAsia="zh-CN"/>
              </w:rPr>
              <w:tab/>
            </w:r>
            <w:r w:rsidRPr="004C4412">
              <w:rPr>
                <w:rStyle w:val="capS5"/>
              </w:rPr>
              <w:t>空间操作</w:t>
            </w:r>
            <w:r w:rsidRPr="008F6361">
              <w:rPr>
                <w:lang w:eastAsia="zh-CN"/>
              </w:rPr>
              <w:t>（地对空）</w:t>
            </w:r>
          </w:p>
          <w:p w:rsidR="00DB1CAC" w:rsidRPr="004C4412" w:rsidRDefault="007F5DA9" w:rsidP="0087777E">
            <w:pPr>
              <w:pStyle w:val="TableTextS5"/>
              <w:tabs>
                <w:tab w:val="left" w:pos="2977"/>
              </w:tabs>
              <w:rPr>
                <w:rStyle w:val="capS5"/>
              </w:rPr>
            </w:pPr>
            <w:r w:rsidRPr="008F6361">
              <w:rPr>
                <w:lang w:eastAsia="zh-CN"/>
              </w:rPr>
              <w:tab/>
            </w:r>
            <w:r w:rsidRPr="008F6361">
              <w:rPr>
                <w:rFonts w:hint="eastAsia"/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固定</w:t>
            </w:r>
          </w:p>
          <w:p w:rsidR="00DB1CAC" w:rsidRPr="008F6361" w:rsidRDefault="007F5DA9" w:rsidP="0087777E">
            <w:pPr>
              <w:pStyle w:val="TableTextS5"/>
              <w:tabs>
                <w:tab w:val="left" w:pos="2977"/>
              </w:tabs>
            </w:pPr>
            <w:r w:rsidRPr="008F6361">
              <w:rPr>
                <w:b/>
                <w:bCs/>
                <w:lang w:eastAsia="zh-CN"/>
              </w:rPr>
              <w:tab/>
            </w:r>
            <w:r w:rsidRPr="008F6361">
              <w:rPr>
                <w:rFonts w:hint="eastAsia"/>
                <w:b/>
                <w:bCs/>
                <w:lang w:eastAsia="zh-CN"/>
              </w:rPr>
              <w:tab/>
            </w:r>
            <w:r w:rsidRPr="004C4412">
              <w:rPr>
                <w:rStyle w:val="capS5"/>
              </w:rPr>
              <w:t>移动</w:t>
            </w:r>
            <w:r w:rsidRPr="008F6361">
              <w:t>（</w:t>
            </w:r>
            <w:proofErr w:type="spellStart"/>
            <w:r w:rsidRPr="008F6361">
              <w:t>航空移动除外</w:t>
            </w:r>
            <w:proofErr w:type="spellEnd"/>
            <w:r w:rsidRPr="008F6361">
              <w:t>）</w:t>
            </w:r>
          </w:p>
          <w:p w:rsidR="00DB1CAC" w:rsidRPr="008F6361" w:rsidRDefault="007F5DA9" w:rsidP="0087777E">
            <w:pPr>
              <w:pStyle w:val="TableTextS5"/>
              <w:tabs>
                <w:tab w:val="left" w:pos="2977"/>
              </w:tabs>
            </w:pPr>
            <w:r w:rsidRPr="008F6361">
              <w:tab/>
            </w:r>
            <w:r w:rsidRPr="008F6361">
              <w:rPr>
                <w:rFonts w:hint="eastAsia"/>
              </w:rPr>
              <w:tab/>
              <w:t xml:space="preserve">5.338A  </w:t>
            </w:r>
            <w:r w:rsidRPr="008F6361">
              <w:t>5.341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  <w:rPr>
                <w:rStyle w:val="Tablefreq"/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1 429-1 452</w:t>
            </w:r>
          </w:p>
          <w:p w:rsidR="00DB1CAC" w:rsidRPr="004C4412" w:rsidRDefault="007F5DA9" w:rsidP="0087777E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DB1CAC" w:rsidRPr="008F6361" w:rsidRDefault="007F5DA9" w:rsidP="0087777E">
            <w:pPr>
              <w:pStyle w:val="TableTextS5"/>
              <w:rPr>
                <w:lang w:eastAsia="zh-CN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rFonts w:hint="eastAsia"/>
                <w:lang w:eastAsia="zh-CN"/>
              </w:rPr>
              <w:t>（航空移动除外）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  <w:rPr>
                <w:rStyle w:val="Tablefreq"/>
              </w:rPr>
            </w:pPr>
            <w:r w:rsidRPr="008F6361">
              <w:rPr>
                <w:rStyle w:val="Tablefreq"/>
              </w:rPr>
              <w:t>1 429-1 452</w:t>
            </w:r>
          </w:p>
          <w:p w:rsidR="00DB1CAC" w:rsidRPr="004C4412" w:rsidRDefault="007F5DA9" w:rsidP="0087777E">
            <w:pPr>
              <w:pStyle w:val="TableTextS5"/>
              <w:rPr>
                <w:rStyle w:val="capS5"/>
              </w:rPr>
            </w:pPr>
            <w:r w:rsidRPr="008F6361">
              <w:tab/>
            </w:r>
            <w:r w:rsidRPr="004C4412">
              <w:rPr>
                <w:rStyle w:val="capS5"/>
                <w:rFonts w:hint="eastAsia"/>
              </w:rPr>
              <w:t>固定</w:t>
            </w:r>
          </w:p>
          <w:p w:rsidR="00DB1CAC" w:rsidRPr="008F6361" w:rsidRDefault="007F5DA9" w:rsidP="0087777E">
            <w:pPr>
              <w:pStyle w:val="TableTextS5"/>
            </w:pPr>
            <w:r w:rsidRPr="008F6361">
              <w:rPr>
                <w:b/>
                <w:bCs/>
              </w:rPr>
              <w:tab/>
            </w: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rFonts w:hint="eastAsia"/>
              </w:rPr>
              <w:t xml:space="preserve">  </w:t>
            </w:r>
            <w:r w:rsidRPr="008F6361">
              <w:t>5.343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</w:pPr>
            <w:r w:rsidRPr="008F6361">
              <w:t>5.33</w:t>
            </w:r>
            <w:r w:rsidRPr="008F6361">
              <w:rPr>
                <w:rFonts w:hint="eastAsia"/>
              </w:rPr>
              <w:t>8</w:t>
            </w:r>
            <w:r w:rsidRPr="008F6361">
              <w:t>A  5.341  5.342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</w:pPr>
            <w:r w:rsidRPr="008F6361">
              <w:tab/>
              <w:t>5.33</w:t>
            </w:r>
            <w:r w:rsidRPr="008F6361">
              <w:rPr>
                <w:rFonts w:hint="eastAsia"/>
              </w:rPr>
              <w:t>8</w:t>
            </w:r>
            <w:r w:rsidRPr="008F6361">
              <w:t>A  5.341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  <w:rPr>
                <w:rStyle w:val="Tablefreq"/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1 452-1 492</w:t>
            </w:r>
          </w:p>
          <w:p w:rsidR="00DB1CAC" w:rsidRPr="004C4412" w:rsidRDefault="007F5DA9" w:rsidP="0087777E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DB1CAC" w:rsidRPr="008F6361" w:rsidRDefault="007F5DA9" w:rsidP="0087777E">
            <w:pPr>
              <w:pStyle w:val="TableTextS5"/>
              <w:rPr>
                <w:lang w:eastAsia="zh-CN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rFonts w:hint="eastAsia"/>
                <w:lang w:eastAsia="zh-CN"/>
              </w:rPr>
              <w:t>（航空移动除外）</w:t>
            </w:r>
          </w:p>
          <w:p w:rsidR="00DB1CAC" w:rsidRPr="004C4412" w:rsidRDefault="007F5DA9" w:rsidP="0087777E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广播</w:t>
            </w:r>
          </w:p>
          <w:p w:rsidR="00DB1CAC" w:rsidRPr="008F6361" w:rsidRDefault="007F5DA9" w:rsidP="0087777E">
            <w:pPr>
              <w:pStyle w:val="TableTextS5"/>
            </w:pPr>
            <w:r w:rsidRPr="004C4412">
              <w:rPr>
                <w:rStyle w:val="capS5"/>
                <w:rFonts w:hint="eastAsia"/>
              </w:rPr>
              <w:t>卫星广播</w:t>
            </w:r>
            <w:r w:rsidRPr="008F6361">
              <w:t xml:space="preserve">  5.</w:t>
            </w:r>
            <w:r w:rsidRPr="008F6361">
              <w:rPr>
                <w:rFonts w:hint="eastAsia"/>
              </w:rPr>
              <w:t>208B</w:t>
            </w:r>
          </w:p>
        </w:tc>
        <w:tc>
          <w:tcPr>
            <w:tcW w:w="62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  <w:rPr>
                <w:rStyle w:val="Tablefreq"/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1 452-1 492</w:t>
            </w:r>
          </w:p>
          <w:p w:rsidR="00DB1CAC" w:rsidRPr="004C4412" w:rsidRDefault="007F5DA9" w:rsidP="0087777E">
            <w:pPr>
              <w:pStyle w:val="TableTextS5"/>
              <w:rPr>
                <w:rStyle w:val="capS5"/>
              </w:rPr>
            </w:pPr>
            <w:r w:rsidRPr="008F6361">
              <w:rPr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固定</w:t>
            </w:r>
          </w:p>
          <w:p w:rsidR="00DB1CAC" w:rsidRPr="008F6361" w:rsidRDefault="007F5DA9" w:rsidP="0087777E">
            <w:pPr>
              <w:pStyle w:val="TableTextS5"/>
              <w:rPr>
                <w:lang w:eastAsia="zh-CN"/>
              </w:rPr>
            </w:pPr>
            <w:r w:rsidRPr="008F6361">
              <w:rPr>
                <w:b/>
                <w:bCs/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lang w:eastAsia="zh-CN"/>
              </w:rPr>
              <w:t xml:space="preserve">  5.343</w:t>
            </w:r>
          </w:p>
          <w:p w:rsidR="00DB1CAC" w:rsidRPr="008F6361" w:rsidRDefault="007F5DA9" w:rsidP="0087777E">
            <w:pPr>
              <w:pStyle w:val="TableTextS5"/>
              <w:rPr>
                <w:lang w:eastAsia="zh-CN"/>
              </w:rPr>
            </w:pPr>
            <w:r w:rsidRPr="008F6361">
              <w:rPr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广播</w:t>
            </w:r>
          </w:p>
          <w:p w:rsidR="00DB1CAC" w:rsidRPr="008F6361" w:rsidRDefault="007F5DA9" w:rsidP="0087777E">
            <w:pPr>
              <w:pStyle w:val="TableTextS5"/>
              <w:rPr>
                <w:lang w:eastAsia="zh-CN"/>
              </w:rPr>
            </w:pPr>
            <w:r w:rsidRPr="008F6361">
              <w:rPr>
                <w:lang w:eastAsia="zh-CN"/>
              </w:rPr>
              <w:tab/>
            </w:r>
            <w:r w:rsidRPr="004C4412">
              <w:rPr>
                <w:rStyle w:val="capS5"/>
                <w:rFonts w:hint="eastAsia"/>
              </w:rPr>
              <w:t>卫星广播</w:t>
            </w:r>
            <w:r w:rsidRPr="008F6361">
              <w:rPr>
                <w:lang w:eastAsia="zh-CN"/>
              </w:rPr>
              <w:t xml:space="preserve">  5.</w:t>
            </w:r>
            <w:r w:rsidRPr="008F6361">
              <w:rPr>
                <w:rFonts w:hint="eastAsia"/>
                <w:lang w:eastAsia="zh-CN"/>
              </w:rPr>
              <w:t>208B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</w:pPr>
            <w:r w:rsidRPr="008F6361">
              <w:t>5.341  5.342</w:t>
            </w:r>
            <w:r>
              <w:t xml:space="preserve">  5.345</w:t>
            </w:r>
          </w:p>
        </w:tc>
        <w:tc>
          <w:tcPr>
            <w:tcW w:w="62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</w:pPr>
            <w:r w:rsidRPr="008F6361">
              <w:tab/>
              <w:t>5.341  5.344</w:t>
            </w:r>
            <w:r>
              <w:t xml:space="preserve">  5.345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  <w:rPr>
                <w:rStyle w:val="Tablefreq"/>
                <w:lang w:eastAsia="zh-CN"/>
              </w:rPr>
            </w:pPr>
            <w:r w:rsidRPr="008F6361">
              <w:rPr>
                <w:rStyle w:val="Tablefreq"/>
                <w:lang w:eastAsia="zh-CN"/>
              </w:rPr>
              <w:t>1 492-1 518</w:t>
            </w:r>
          </w:p>
          <w:p w:rsidR="00DB1CAC" w:rsidRPr="004C4412" w:rsidRDefault="007F5DA9" w:rsidP="0087777E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DB1CAC" w:rsidRPr="008F6361" w:rsidRDefault="007F5DA9" w:rsidP="0087777E">
            <w:pPr>
              <w:pStyle w:val="TableTextS5"/>
              <w:rPr>
                <w:lang w:eastAsia="zh-CN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rPr>
                <w:rFonts w:hint="eastAsia"/>
                <w:lang w:eastAsia="zh-CN"/>
              </w:rPr>
              <w:t>（航空移动除外）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  <w:rPr>
                <w:rStyle w:val="Tablefreq"/>
              </w:rPr>
            </w:pPr>
            <w:r w:rsidRPr="008F6361">
              <w:rPr>
                <w:rStyle w:val="Tablefreq"/>
              </w:rPr>
              <w:t>1 492-1 518</w:t>
            </w:r>
          </w:p>
          <w:p w:rsidR="00DB1CAC" w:rsidRPr="004C4412" w:rsidRDefault="007F5DA9" w:rsidP="0087777E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DB1CAC" w:rsidRPr="008F6361" w:rsidRDefault="007F5DA9" w:rsidP="0087777E">
            <w:pPr>
              <w:pStyle w:val="TableTextS5"/>
            </w:pPr>
            <w:r w:rsidRPr="004C4412">
              <w:rPr>
                <w:rStyle w:val="capS5"/>
                <w:rFonts w:hint="eastAsia"/>
              </w:rPr>
              <w:t>移动</w:t>
            </w:r>
            <w:r w:rsidRPr="008F6361">
              <w:t xml:space="preserve">  5.343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  <w:rPr>
                <w:rStyle w:val="Tablefreq"/>
              </w:rPr>
            </w:pPr>
            <w:r w:rsidRPr="008F6361">
              <w:rPr>
                <w:rStyle w:val="Tablefreq"/>
              </w:rPr>
              <w:t>1 492-1 518</w:t>
            </w:r>
          </w:p>
          <w:p w:rsidR="00DB1CAC" w:rsidRPr="004C4412" w:rsidRDefault="007F5DA9" w:rsidP="0087777E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固定</w:t>
            </w:r>
          </w:p>
          <w:p w:rsidR="00DB1CAC" w:rsidRPr="004C4412" w:rsidRDefault="007F5DA9" w:rsidP="0087777E">
            <w:pPr>
              <w:pStyle w:val="TableTextS5"/>
              <w:rPr>
                <w:rStyle w:val="capS5"/>
              </w:rPr>
            </w:pPr>
            <w:r w:rsidRPr="004C4412">
              <w:rPr>
                <w:rStyle w:val="capS5"/>
                <w:rFonts w:hint="eastAsia"/>
              </w:rPr>
              <w:t>移动</w:t>
            </w:r>
          </w:p>
        </w:tc>
      </w:tr>
      <w:tr w:rsidR="00DB1CAC" w:rsidTr="00070083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</w:pPr>
            <w:r w:rsidRPr="008F6361">
              <w:t>5.341  5.342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</w:pPr>
            <w:r w:rsidRPr="008F6361">
              <w:t>5.341  5.344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8F6361" w:rsidRDefault="007F5DA9" w:rsidP="0087777E">
            <w:pPr>
              <w:pStyle w:val="TableTextS5"/>
            </w:pPr>
            <w:r w:rsidRPr="008F6361">
              <w:t>5.341</w:t>
            </w:r>
          </w:p>
        </w:tc>
      </w:tr>
    </w:tbl>
    <w:p w:rsidR="00341433" w:rsidRDefault="007F5DA9" w:rsidP="0087777E">
      <w:pPr>
        <w:pStyle w:val="Reasons"/>
        <w:jc w:val="both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392CC7">
        <w:rPr>
          <w:lang w:val="en-US" w:eastAsia="zh-CN"/>
        </w:rPr>
        <w:t>ITU-R</w:t>
      </w:r>
      <w:r w:rsidR="0063473F">
        <w:rPr>
          <w:rFonts w:hint="eastAsia"/>
          <w:lang w:val="en-US" w:eastAsia="zh-CN"/>
        </w:rPr>
        <w:t>的研究结论是，固定和移动电台</w:t>
      </w:r>
      <w:r w:rsidR="00213432">
        <w:rPr>
          <w:rFonts w:hint="eastAsia"/>
          <w:lang w:val="en-US" w:eastAsia="zh-CN"/>
        </w:rPr>
        <w:t>之间为保护固定链路而设的间隔距离</w:t>
      </w:r>
      <w:r w:rsidR="00341433">
        <w:rPr>
          <w:rFonts w:hint="eastAsia"/>
          <w:lang w:val="en-US" w:eastAsia="zh-CN"/>
        </w:rPr>
        <w:t>在宏小区和</w:t>
      </w:r>
      <w:r w:rsidR="0087777E">
        <w:rPr>
          <w:rFonts w:hint="eastAsia"/>
          <w:lang w:val="en-US" w:eastAsia="zh-CN"/>
        </w:rPr>
        <w:t>更小的</w:t>
      </w:r>
      <w:r w:rsidR="00341433">
        <w:rPr>
          <w:rFonts w:hint="eastAsia"/>
          <w:lang w:val="en-US" w:eastAsia="zh-CN"/>
        </w:rPr>
        <w:t>小区</w:t>
      </w:r>
      <w:r w:rsidR="0087777E">
        <w:rPr>
          <w:rFonts w:hint="eastAsia"/>
          <w:lang w:val="en-US" w:eastAsia="zh-CN"/>
        </w:rPr>
        <w:t>均</w:t>
      </w:r>
      <w:r w:rsidR="00213432">
        <w:rPr>
          <w:rFonts w:hint="eastAsia"/>
          <w:lang w:val="en-US" w:eastAsia="zh-CN"/>
        </w:rPr>
        <w:t>不允许</w:t>
      </w:r>
      <w:r w:rsidR="00341433">
        <w:rPr>
          <w:rFonts w:hint="eastAsia"/>
          <w:lang w:val="en-US" w:eastAsia="zh-CN"/>
        </w:rPr>
        <w:t>在</w:t>
      </w:r>
      <w:r w:rsidR="00213432">
        <w:rPr>
          <w:rFonts w:hint="eastAsia"/>
          <w:lang w:val="en-US" w:eastAsia="zh-CN"/>
        </w:rPr>
        <w:t>公共区域</w:t>
      </w:r>
      <w:r w:rsidR="00341433">
        <w:rPr>
          <w:rFonts w:hint="eastAsia"/>
          <w:lang w:val="en-US" w:eastAsia="zh-CN"/>
        </w:rPr>
        <w:t>同信道使用</w:t>
      </w:r>
      <w:r w:rsidR="00213432">
        <w:rPr>
          <w:rFonts w:hint="eastAsia"/>
          <w:lang w:val="en-US" w:eastAsia="zh-CN"/>
        </w:rPr>
        <w:t>频谱</w:t>
      </w:r>
      <w:r w:rsidR="00341433">
        <w:rPr>
          <w:rFonts w:hint="eastAsia"/>
          <w:lang w:val="en-US" w:eastAsia="zh-CN"/>
        </w:rPr>
        <w:t>。从另一方面</w:t>
      </w:r>
      <w:r w:rsidR="00021A24">
        <w:rPr>
          <w:rFonts w:hint="eastAsia"/>
          <w:lang w:val="en-US" w:eastAsia="zh-CN"/>
        </w:rPr>
        <w:t>来说</w:t>
      </w:r>
      <w:r w:rsidR="00341433">
        <w:rPr>
          <w:rFonts w:hint="eastAsia"/>
          <w:lang w:val="en-US" w:eastAsia="zh-CN"/>
        </w:rPr>
        <w:t>，本主管部门已为</w:t>
      </w:r>
      <w:r w:rsidR="00341433">
        <w:rPr>
          <w:lang w:val="en-US" w:eastAsia="zh-CN"/>
        </w:rPr>
        <w:t>1 427-1 518 MHz</w:t>
      </w:r>
      <w:r w:rsidR="00341433">
        <w:rPr>
          <w:rFonts w:hint="eastAsia"/>
          <w:lang w:val="en-US" w:eastAsia="zh-CN"/>
        </w:rPr>
        <w:t>频段的低能量长距离点对点系统颁发了</w:t>
      </w:r>
      <w:r w:rsidR="00341433">
        <w:rPr>
          <w:rFonts w:hint="eastAsia"/>
          <w:lang w:val="en-US" w:eastAsia="zh-CN"/>
        </w:rPr>
        <w:t>600</w:t>
      </w:r>
      <w:r w:rsidR="00341433">
        <w:rPr>
          <w:rFonts w:hint="eastAsia"/>
          <w:lang w:val="en-US" w:eastAsia="zh-CN"/>
        </w:rPr>
        <w:t>多份执照。不仅如此，由于传播损耗相对较低，邻国主管部门也使用上述频率范围，</w:t>
      </w:r>
      <w:r w:rsidR="00021A24">
        <w:rPr>
          <w:rFonts w:hint="eastAsia"/>
          <w:lang w:val="en-US" w:eastAsia="zh-CN"/>
        </w:rPr>
        <w:t>这</w:t>
      </w:r>
      <w:r w:rsidR="00341433">
        <w:rPr>
          <w:rFonts w:hint="eastAsia"/>
          <w:lang w:val="en-US" w:eastAsia="zh-CN"/>
        </w:rPr>
        <w:t>引起本主管部门的关切，需要</w:t>
      </w:r>
      <w:r w:rsidR="0087777E">
        <w:rPr>
          <w:rFonts w:hint="eastAsia"/>
          <w:lang w:val="en-US" w:eastAsia="zh-CN"/>
        </w:rPr>
        <w:t>预先</w:t>
      </w:r>
      <w:r w:rsidR="0087777E">
        <w:rPr>
          <w:lang w:val="en-US" w:eastAsia="zh-CN"/>
        </w:rPr>
        <w:t>进行</w:t>
      </w:r>
      <w:r w:rsidR="00341433">
        <w:rPr>
          <w:rFonts w:hint="eastAsia"/>
          <w:lang w:val="en-US" w:eastAsia="zh-CN"/>
        </w:rPr>
        <w:t>频率协调。</w:t>
      </w:r>
    </w:p>
    <w:p w:rsidR="00341433" w:rsidRDefault="00341433" w:rsidP="0087777E">
      <w:pPr>
        <w:pStyle w:val="Reasons"/>
        <w:ind w:firstLineChars="200" w:firstLine="480"/>
        <w:jc w:val="both"/>
        <w:rPr>
          <w:lang w:val="en-US" w:eastAsia="zh-CN"/>
        </w:rPr>
      </w:pPr>
      <w:r>
        <w:rPr>
          <w:rFonts w:hint="eastAsia"/>
          <w:lang w:val="en-US" w:eastAsia="zh-CN"/>
        </w:rPr>
        <w:t>本主管部门</w:t>
      </w:r>
      <w:r w:rsidR="0087777E">
        <w:rPr>
          <w:rFonts w:hint="eastAsia"/>
          <w:lang w:val="en-US" w:eastAsia="zh-CN"/>
        </w:rPr>
        <w:t>还</w:t>
      </w:r>
      <w:r>
        <w:rPr>
          <w:rFonts w:hint="eastAsia"/>
          <w:lang w:val="en-US" w:eastAsia="zh-CN"/>
        </w:rPr>
        <w:t>不支持</w:t>
      </w:r>
      <w:r w:rsidR="00EA37F2">
        <w:rPr>
          <w:rFonts w:hint="eastAsia"/>
          <w:lang w:val="en-US" w:eastAsia="zh-CN"/>
        </w:rPr>
        <w:t>为</w:t>
      </w:r>
      <w:r w:rsidR="0087777E">
        <w:rPr>
          <w:rFonts w:hint="eastAsia"/>
          <w:lang w:val="en-US" w:eastAsia="zh-CN"/>
        </w:rPr>
        <w:t>将</w:t>
      </w:r>
      <w:r w:rsidR="0087777E" w:rsidRPr="00D96863">
        <w:rPr>
          <w:lang w:eastAsia="zh-CN"/>
        </w:rPr>
        <w:t>1 452-1 492 MHz</w:t>
      </w:r>
      <w:r w:rsidR="0087777E">
        <w:rPr>
          <w:rFonts w:hint="eastAsia"/>
          <w:lang w:eastAsia="zh-CN"/>
        </w:rPr>
        <w:t>频段</w:t>
      </w:r>
      <w:r w:rsidR="00EA37F2">
        <w:rPr>
          <w:rFonts w:hint="eastAsia"/>
          <w:lang w:val="en-US" w:eastAsia="zh-CN"/>
        </w:rPr>
        <w:t>确</w:t>
      </w:r>
      <w:r w:rsidR="0087777E">
        <w:rPr>
          <w:rFonts w:hint="eastAsia"/>
          <w:lang w:val="en-US" w:eastAsia="zh-CN"/>
        </w:rPr>
        <w:t>定</w:t>
      </w:r>
      <w:r w:rsidR="0087777E">
        <w:rPr>
          <w:lang w:val="en-US" w:eastAsia="zh-CN"/>
        </w:rPr>
        <w:t>给</w:t>
      </w:r>
      <w:r w:rsidR="00EA37F2">
        <w:rPr>
          <w:rFonts w:hint="eastAsia"/>
          <w:lang w:val="en-US" w:eastAsia="zh-CN"/>
        </w:rPr>
        <w:t>IMT</w:t>
      </w:r>
      <w:r w:rsidR="00EA37F2">
        <w:rPr>
          <w:rFonts w:hint="eastAsia"/>
          <w:lang w:val="en-US" w:eastAsia="zh-CN"/>
        </w:rPr>
        <w:t>而</w:t>
      </w:r>
      <w:r w:rsidR="0087777E">
        <w:rPr>
          <w:rFonts w:hint="eastAsia"/>
          <w:lang w:val="en-US" w:eastAsia="zh-CN"/>
        </w:rPr>
        <w:t>对</w:t>
      </w:r>
      <w:r w:rsidR="0087777E">
        <w:rPr>
          <w:lang w:val="en-US" w:eastAsia="zh-CN"/>
        </w:rPr>
        <w:t>现行</w:t>
      </w:r>
      <w:r w:rsidR="00EA37F2">
        <w:rPr>
          <w:rFonts w:hint="eastAsia"/>
          <w:lang w:val="en-US" w:eastAsia="zh-CN"/>
        </w:rPr>
        <w:t>《无线电规则》第</w:t>
      </w:r>
      <w:r w:rsidR="00EA37F2">
        <w:rPr>
          <w:rFonts w:hint="eastAsia"/>
          <w:lang w:val="en-US" w:eastAsia="zh-CN"/>
        </w:rPr>
        <w:t>5</w:t>
      </w:r>
      <w:r w:rsidR="00EA37F2">
        <w:rPr>
          <w:rFonts w:hint="eastAsia"/>
          <w:lang w:val="en-US" w:eastAsia="zh-CN"/>
        </w:rPr>
        <w:t>条</w:t>
      </w:r>
      <w:r w:rsidR="0087777E">
        <w:rPr>
          <w:rFonts w:hint="eastAsia"/>
          <w:lang w:val="en-US" w:eastAsia="zh-CN"/>
        </w:rPr>
        <w:t>规定的</w:t>
      </w:r>
      <w:r w:rsidR="0087777E">
        <w:rPr>
          <w:lang w:val="en-US" w:eastAsia="zh-CN"/>
        </w:rPr>
        <w:t>现有业务对该频</w:t>
      </w:r>
      <w:r w:rsidR="0087777E">
        <w:rPr>
          <w:rFonts w:hint="eastAsia"/>
          <w:lang w:val="en-US" w:eastAsia="zh-CN"/>
        </w:rPr>
        <w:t>段</w:t>
      </w:r>
      <w:r w:rsidR="00EA37F2">
        <w:rPr>
          <w:rFonts w:hint="eastAsia"/>
          <w:lang w:eastAsia="zh-CN"/>
        </w:rPr>
        <w:t>的</w:t>
      </w:r>
      <w:r w:rsidR="00EA37F2">
        <w:rPr>
          <w:rFonts w:hint="eastAsia"/>
          <w:lang w:val="en-US" w:eastAsia="zh-CN"/>
        </w:rPr>
        <w:t>现有或规划使用强加任何必须</w:t>
      </w:r>
      <w:r w:rsidR="00EA37F2">
        <w:rPr>
          <w:rFonts w:hint="eastAsia"/>
          <w:lang w:val="en-US" w:eastAsia="zh-CN"/>
        </w:rPr>
        <w:t>/</w:t>
      </w:r>
      <w:r w:rsidR="00EA37F2">
        <w:rPr>
          <w:rFonts w:hint="eastAsia"/>
          <w:lang w:val="en-US" w:eastAsia="zh-CN"/>
        </w:rPr>
        <w:t>可选的附加技术或规则限制。</w:t>
      </w:r>
    </w:p>
    <w:p w:rsidR="00002577" w:rsidRDefault="007F5DA9" w:rsidP="0087777E">
      <w:pPr>
        <w:pStyle w:val="Proposal"/>
      </w:pPr>
      <w:r>
        <w:rPr>
          <w:u w:val="single"/>
        </w:rPr>
        <w:lastRenderedPageBreak/>
        <w:t>NOC</w:t>
      </w:r>
      <w:r>
        <w:tab/>
        <w:t>IRN/61A1/2</w:t>
      </w:r>
    </w:p>
    <w:p w:rsidR="00DB1CAC" w:rsidRDefault="007F5DA9" w:rsidP="0087777E">
      <w:pPr>
        <w:pStyle w:val="Tabletitle"/>
        <w:rPr>
          <w:lang w:eastAsia="zh-CN"/>
        </w:rPr>
      </w:pPr>
      <w:r>
        <w:rPr>
          <w:lang w:eastAsia="zh-CN"/>
        </w:rPr>
        <w:t>2 700-4 800 MHz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F376A4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DB1CAC" w:rsidTr="00F376A4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F376A4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323188" w:rsidRDefault="007F5DA9" w:rsidP="0087777E">
            <w:pPr>
              <w:pStyle w:val="TableTextS5"/>
              <w:spacing w:before="20" w:after="20"/>
              <w:rPr>
                <w:rStyle w:val="Tablefreq"/>
              </w:rPr>
            </w:pPr>
            <w:r w:rsidRPr="00323188">
              <w:rPr>
                <w:rStyle w:val="Tablefreq"/>
              </w:rPr>
              <w:t>3 300-3 400</w:t>
            </w:r>
          </w:p>
          <w:p w:rsidR="00DB1CAC" w:rsidRPr="00F376A4" w:rsidRDefault="007F5DA9" w:rsidP="0087777E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无线电定位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323188" w:rsidRDefault="007F5DA9" w:rsidP="0087777E">
            <w:pPr>
              <w:pStyle w:val="TableTextS5"/>
              <w:spacing w:before="20" w:after="20"/>
              <w:rPr>
                <w:rStyle w:val="Tablefreq"/>
                <w:lang w:eastAsia="zh-CN"/>
              </w:rPr>
            </w:pPr>
            <w:r w:rsidRPr="00323188">
              <w:rPr>
                <w:rStyle w:val="Tablefreq"/>
                <w:lang w:eastAsia="zh-CN"/>
              </w:rPr>
              <w:t>3 300-3 400</w:t>
            </w:r>
          </w:p>
          <w:p w:rsidR="00DB1CAC" w:rsidRPr="00F376A4" w:rsidRDefault="007F5DA9" w:rsidP="0087777E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无线电定位</w:t>
            </w:r>
          </w:p>
          <w:p w:rsidR="00DB1CAC" w:rsidRPr="00323188" w:rsidRDefault="007F5DA9" w:rsidP="0087777E">
            <w:pPr>
              <w:pStyle w:val="TableTextS5"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业余</w:t>
            </w:r>
          </w:p>
          <w:p w:rsidR="00DB1CAC" w:rsidRPr="00323188" w:rsidRDefault="007F5DA9" w:rsidP="0087777E">
            <w:pPr>
              <w:pStyle w:val="TableTextS5"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固定</w:t>
            </w:r>
          </w:p>
          <w:p w:rsidR="00DB1CAC" w:rsidRPr="00323188" w:rsidRDefault="007F5DA9" w:rsidP="0087777E">
            <w:pPr>
              <w:pStyle w:val="TableTextS5"/>
              <w:spacing w:before="20" w:after="20"/>
              <w:rPr>
                <w:lang w:eastAsia="zh-CN"/>
              </w:rPr>
            </w:pPr>
            <w:r w:rsidRPr="00323188">
              <w:rPr>
                <w:lang w:eastAsia="zh-CN"/>
              </w:rPr>
              <w:t>移动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1CAC" w:rsidRPr="00323188" w:rsidRDefault="007F5DA9" w:rsidP="0087777E">
            <w:pPr>
              <w:pStyle w:val="TableTextS5"/>
              <w:spacing w:before="20" w:after="20"/>
              <w:rPr>
                <w:rStyle w:val="Tablefreq"/>
              </w:rPr>
            </w:pPr>
            <w:r w:rsidRPr="00323188">
              <w:rPr>
                <w:rStyle w:val="Tablefreq"/>
              </w:rPr>
              <w:t>3 300-3 400</w:t>
            </w:r>
          </w:p>
          <w:p w:rsidR="00DB1CAC" w:rsidRPr="00F376A4" w:rsidRDefault="007F5DA9" w:rsidP="0087777E">
            <w:pPr>
              <w:pStyle w:val="TableTextS5"/>
              <w:spacing w:before="20" w:after="20"/>
              <w:rPr>
                <w:rStyle w:val="capS5"/>
              </w:rPr>
            </w:pPr>
            <w:r w:rsidRPr="00F376A4">
              <w:rPr>
                <w:rStyle w:val="capS5"/>
              </w:rPr>
              <w:t>无线电定位</w:t>
            </w:r>
          </w:p>
          <w:p w:rsidR="00DB1CAC" w:rsidRPr="00323188" w:rsidRDefault="007F5DA9" w:rsidP="0087777E">
            <w:pPr>
              <w:pStyle w:val="TableTextS5"/>
              <w:spacing w:before="20" w:after="20"/>
            </w:pPr>
            <w:proofErr w:type="spellStart"/>
            <w:r w:rsidRPr="00323188">
              <w:t>业余</w:t>
            </w:r>
            <w:proofErr w:type="spellEnd"/>
          </w:p>
        </w:tc>
      </w:tr>
      <w:tr w:rsidR="00DB1CAC" w:rsidTr="00F376A4">
        <w:trPr>
          <w:cantSplit/>
        </w:trPr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23188" w:rsidRDefault="007F5DA9" w:rsidP="0087777E">
            <w:pPr>
              <w:pStyle w:val="TableTextS5"/>
              <w:spacing w:before="20" w:after="20"/>
            </w:pPr>
            <w:r w:rsidRPr="00323188">
              <w:t>5.149  5.429  5.430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23188" w:rsidRDefault="007F5DA9" w:rsidP="0087777E">
            <w:pPr>
              <w:pStyle w:val="TableTextS5"/>
              <w:spacing w:before="20" w:after="20"/>
            </w:pPr>
            <w:r>
              <w:t>5.149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Pr="00323188" w:rsidRDefault="007F5DA9" w:rsidP="0087777E">
            <w:pPr>
              <w:pStyle w:val="TableTextS5"/>
              <w:spacing w:before="20" w:after="20"/>
            </w:pPr>
            <w:r w:rsidRPr="00323188">
              <w:t>5.149  5.429</w:t>
            </w:r>
          </w:p>
        </w:tc>
      </w:tr>
    </w:tbl>
    <w:p w:rsidR="00002577" w:rsidRDefault="007F5DA9" w:rsidP="0087777E">
      <w:pPr>
        <w:pStyle w:val="Reasons"/>
        <w:rPr>
          <w:lang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CF3690" w:rsidRPr="00653C05">
        <w:rPr>
          <w:rFonts w:hint="eastAsia"/>
          <w:lang w:eastAsia="zh-CN"/>
        </w:rPr>
        <w:t>ITU-R</w:t>
      </w:r>
      <w:r w:rsidR="00CF3690" w:rsidRPr="00653C05">
        <w:rPr>
          <w:rFonts w:hint="eastAsia"/>
          <w:lang w:eastAsia="zh-CN"/>
        </w:rPr>
        <w:t>开展的研究是</w:t>
      </w:r>
      <w:r w:rsidR="00EA37F2">
        <w:rPr>
          <w:rFonts w:hint="eastAsia"/>
          <w:lang w:eastAsia="zh-CN"/>
        </w:rPr>
        <w:t>在</w:t>
      </w:r>
      <w:r w:rsidR="00CF3690" w:rsidRPr="00653C05">
        <w:rPr>
          <w:rFonts w:hint="eastAsia"/>
          <w:lang w:eastAsia="zh-CN"/>
        </w:rPr>
        <w:t>IMT</w:t>
      </w:r>
      <w:r w:rsidR="00CF3690" w:rsidRPr="00653C05">
        <w:rPr>
          <w:rFonts w:hint="eastAsia"/>
          <w:lang w:eastAsia="zh-CN"/>
        </w:rPr>
        <w:t>基站</w:t>
      </w:r>
      <w:r w:rsidR="00021A24" w:rsidRPr="00653C05">
        <w:rPr>
          <w:rFonts w:hint="eastAsia"/>
          <w:lang w:eastAsia="zh-CN"/>
        </w:rPr>
        <w:t>与用户设备</w:t>
      </w:r>
      <w:r w:rsidR="00EA37F2">
        <w:rPr>
          <w:rFonts w:hint="eastAsia"/>
          <w:lang w:eastAsia="zh-CN"/>
        </w:rPr>
        <w:t>之间进行，</w:t>
      </w:r>
      <w:r w:rsidR="00CF3690" w:rsidRPr="00653C05">
        <w:rPr>
          <w:rFonts w:hint="eastAsia"/>
          <w:lang w:eastAsia="zh-CN"/>
        </w:rPr>
        <w:t>所有相关类型的雷达系统</w:t>
      </w:r>
      <w:r w:rsidR="00EA37F2">
        <w:rPr>
          <w:rFonts w:hint="eastAsia"/>
          <w:lang w:eastAsia="zh-CN"/>
        </w:rPr>
        <w:t>均显示，不可能在同一地理区域实现</w:t>
      </w:r>
      <w:r w:rsidR="0001635B">
        <w:rPr>
          <w:rFonts w:hint="eastAsia"/>
          <w:lang w:eastAsia="zh-CN"/>
        </w:rPr>
        <w:t>频率共</w:t>
      </w:r>
      <w:r w:rsidR="0087777E">
        <w:rPr>
          <w:rFonts w:hint="eastAsia"/>
          <w:lang w:eastAsia="zh-CN"/>
        </w:rPr>
        <w:t>用</w:t>
      </w:r>
      <w:r w:rsidR="0001635B">
        <w:rPr>
          <w:rFonts w:hint="eastAsia"/>
          <w:lang w:eastAsia="zh-CN"/>
        </w:rPr>
        <w:t>，而且必须设置很大的间隔距离</w:t>
      </w:r>
      <w:r w:rsidR="00021A24">
        <w:rPr>
          <w:rFonts w:hint="eastAsia"/>
          <w:lang w:eastAsia="zh-CN"/>
        </w:rPr>
        <w:t>，而</w:t>
      </w:r>
      <w:r w:rsidR="0001635B">
        <w:rPr>
          <w:rFonts w:hint="eastAsia"/>
          <w:lang w:eastAsia="zh-CN"/>
        </w:rPr>
        <w:t>这不切实际</w:t>
      </w:r>
      <w:r w:rsidR="00CF3690" w:rsidRPr="00653C05">
        <w:rPr>
          <w:rFonts w:hint="eastAsia"/>
          <w:lang w:eastAsia="zh-CN"/>
        </w:rPr>
        <w:t>。</w:t>
      </w:r>
    </w:p>
    <w:p w:rsidR="00002577" w:rsidRDefault="007F5DA9" w:rsidP="0087777E">
      <w:pPr>
        <w:pStyle w:val="Proposal"/>
      </w:pPr>
      <w:r>
        <w:rPr>
          <w:u w:val="single"/>
        </w:rPr>
        <w:t>NOC</w:t>
      </w:r>
      <w:r>
        <w:tab/>
        <w:t>IRN/61A1/3</w:t>
      </w:r>
    </w:p>
    <w:p w:rsidR="00DB1CAC" w:rsidRDefault="007F5DA9" w:rsidP="0087777E">
      <w:pPr>
        <w:pStyle w:val="Tabletitle"/>
        <w:rPr>
          <w:lang w:eastAsia="zh-CN"/>
        </w:rPr>
      </w:pPr>
      <w:r>
        <w:rPr>
          <w:lang w:eastAsia="zh-CN"/>
        </w:rPr>
        <w:t>2 700-4 800 MHz</w:t>
      </w:r>
    </w:p>
    <w:tbl>
      <w:tblPr>
        <w:tblW w:w="9354" w:type="dxa"/>
        <w:tblLayout w:type="fixed"/>
        <w:tblLook w:val="0000" w:firstRow="0" w:lastRow="0" w:firstColumn="0" w:lastColumn="0" w:noHBand="0" w:noVBand="0"/>
      </w:tblPr>
      <w:tblGrid>
        <w:gridCol w:w="3118"/>
        <w:gridCol w:w="3118"/>
        <w:gridCol w:w="3118"/>
      </w:tblGrid>
      <w:tr w:rsidR="00DB1CAC" w:rsidTr="00F376A4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DB1CAC" w:rsidTr="00F376A4">
        <w:trPr>
          <w:cantSplit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F376A4">
        <w:trPr>
          <w:cantSplit/>
        </w:trPr>
        <w:tc>
          <w:tcPr>
            <w:tcW w:w="9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DB1CAC" w:rsidRPr="00323188" w:rsidRDefault="007F5DA9" w:rsidP="0087777E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323188">
              <w:rPr>
                <w:rStyle w:val="Tablefreq"/>
              </w:rPr>
              <w:t>4 400-4 500</w:t>
            </w:r>
            <w:r w:rsidRPr="00323188">
              <w:tab/>
            </w:r>
            <w:r w:rsidRPr="00F376A4">
              <w:rPr>
                <w:rStyle w:val="capS5"/>
              </w:rPr>
              <w:t>固定</w:t>
            </w:r>
          </w:p>
          <w:p w:rsidR="00DB1CAC" w:rsidRPr="00323188" w:rsidRDefault="007F5DA9" w:rsidP="0087777E">
            <w:pPr>
              <w:pStyle w:val="TableTextS5"/>
              <w:tabs>
                <w:tab w:val="clear" w:pos="3119"/>
                <w:tab w:val="left" w:pos="2977"/>
              </w:tabs>
              <w:spacing w:before="20" w:after="20"/>
            </w:pPr>
            <w:r w:rsidRPr="00323188">
              <w:tab/>
            </w:r>
            <w:r w:rsidRPr="00323188">
              <w:rPr>
                <w:rFonts w:hint="eastAsia"/>
              </w:rPr>
              <w:tab/>
            </w:r>
            <w:r w:rsidRPr="00F376A4">
              <w:rPr>
                <w:rStyle w:val="capS5"/>
              </w:rPr>
              <w:t>移动</w:t>
            </w:r>
            <w:r w:rsidRPr="00323188">
              <w:t xml:space="preserve">  5.440A</w:t>
            </w:r>
          </w:p>
        </w:tc>
      </w:tr>
    </w:tbl>
    <w:p w:rsidR="00021A24" w:rsidRDefault="007F5DA9" w:rsidP="0087777E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1635B">
        <w:rPr>
          <w:rFonts w:hint="eastAsia"/>
          <w:lang w:eastAsia="zh-CN"/>
        </w:rPr>
        <w:t>ITU-R</w:t>
      </w:r>
      <w:r w:rsidR="0001635B">
        <w:rPr>
          <w:rFonts w:hint="eastAsia"/>
          <w:lang w:eastAsia="zh-CN"/>
        </w:rPr>
        <w:t>对</w:t>
      </w:r>
      <w:r w:rsidR="0001635B">
        <w:rPr>
          <w:lang w:val="en-US" w:eastAsia="zh-CN"/>
        </w:rPr>
        <w:t>4 400</w:t>
      </w:r>
      <w:r w:rsidR="0001635B">
        <w:rPr>
          <w:rFonts w:hint="eastAsia"/>
          <w:lang w:val="en-US" w:eastAsia="zh-CN"/>
        </w:rPr>
        <w:t>至</w:t>
      </w:r>
      <w:r w:rsidR="0001635B">
        <w:rPr>
          <w:lang w:val="en-US" w:eastAsia="zh-CN"/>
        </w:rPr>
        <w:t>4 990 MHz</w:t>
      </w:r>
      <w:r w:rsidR="0001635B">
        <w:rPr>
          <w:rFonts w:hint="eastAsia"/>
          <w:lang w:val="en-US" w:eastAsia="zh-CN"/>
        </w:rPr>
        <w:t>频段的</w:t>
      </w:r>
      <w:r w:rsidR="0001635B">
        <w:rPr>
          <w:rFonts w:hint="eastAsia"/>
          <w:lang w:val="en-US" w:eastAsia="zh-CN"/>
        </w:rPr>
        <w:t>IMT</w:t>
      </w:r>
      <w:r w:rsidR="0001635B">
        <w:rPr>
          <w:rFonts w:hint="eastAsia"/>
          <w:lang w:val="en-US" w:eastAsia="zh-CN"/>
        </w:rPr>
        <w:t>系统与点对点固定无线系统的兼容性进行了研究，研究总结认为，需要设置很大的地理间隔距离。</w:t>
      </w:r>
      <w:r w:rsidR="00021A24">
        <w:rPr>
          <w:rFonts w:hint="eastAsia"/>
          <w:lang w:val="en-US" w:eastAsia="zh-CN"/>
        </w:rPr>
        <w:t>在</w:t>
      </w:r>
      <w:r w:rsidR="003E250B" w:rsidRPr="00653C05">
        <w:rPr>
          <w:rFonts w:hint="eastAsia"/>
          <w:lang w:val="en-US" w:eastAsia="zh-CN"/>
        </w:rPr>
        <w:t>IMT</w:t>
      </w:r>
      <w:r w:rsidR="003E250B" w:rsidRPr="00653C05">
        <w:rPr>
          <w:rFonts w:hint="eastAsia"/>
          <w:lang w:val="en-US" w:eastAsia="zh-CN"/>
        </w:rPr>
        <w:t>基站网络</w:t>
      </w:r>
      <w:r w:rsidR="00021A24">
        <w:rPr>
          <w:rFonts w:hint="eastAsia"/>
          <w:lang w:val="en-US" w:eastAsia="zh-CN"/>
        </w:rPr>
        <w:t>存在</w:t>
      </w:r>
      <w:r w:rsidR="003E250B" w:rsidRPr="00653C05">
        <w:rPr>
          <w:rFonts w:hint="eastAsia"/>
          <w:lang w:val="en-US" w:eastAsia="zh-CN"/>
        </w:rPr>
        <w:t>集总干扰</w:t>
      </w:r>
      <w:r w:rsidR="0001635B">
        <w:rPr>
          <w:rFonts w:hint="eastAsia"/>
          <w:lang w:val="en-US" w:eastAsia="zh-CN"/>
        </w:rPr>
        <w:t>的</w:t>
      </w:r>
      <w:r w:rsidR="003E250B" w:rsidRPr="00653C05">
        <w:rPr>
          <w:rFonts w:hint="eastAsia"/>
          <w:lang w:val="en-US" w:eastAsia="zh-CN"/>
        </w:rPr>
        <w:t>情况</w:t>
      </w:r>
      <w:r w:rsidR="00021A24">
        <w:rPr>
          <w:rFonts w:hint="eastAsia"/>
          <w:lang w:val="en-US" w:eastAsia="zh-CN"/>
        </w:rPr>
        <w:t>下</w:t>
      </w:r>
      <w:r w:rsidR="003E250B" w:rsidRPr="00653C05">
        <w:rPr>
          <w:rFonts w:hint="eastAsia"/>
          <w:lang w:val="en-US" w:eastAsia="zh-CN"/>
        </w:rPr>
        <w:t>，所需的间隔距离增加了</w:t>
      </w:r>
      <w:r w:rsidR="003E250B" w:rsidRPr="00653C05">
        <w:rPr>
          <w:lang w:eastAsia="zh-CN"/>
        </w:rPr>
        <w:t>IMT</w:t>
      </w:r>
      <w:r w:rsidR="003E250B" w:rsidRPr="00653C05">
        <w:rPr>
          <w:rFonts w:hint="eastAsia"/>
          <w:lang w:eastAsia="zh-CN"/>
        </w:rPr>
        <w:t>系统与固定业务系统之间实现兼容的难度。</w:t>
      </w:r>
      <w:r w:rsidR="00021A24">
        <w:rPr>
          <w:rFonts w:hint="eastAsia"/>
          <w:lang w:eastAsia="zh-CN"/>
        </w:rPr>
        <w:t>由于</w:t>
      </w:r>
      <w:r w:rsidR="00021A24">
        <w:rPr>
          <w:lang w:val="en-US" w:eastAsia="zh-CN"/>
        </w:rPr>
        <w:t>4 400</w:t>
      </w:r>
      <w:r w:rsidR="00021A24">
        <w:rPr>
          <w:rFonts w:hint="eastAsia"/>
          <w:lang w:val="en-US" w:eastAsia="zh-CN"/>
        </w:rPr>
        <w:t>至</w:t>
      </w:r>
      <w:r w:rsidR="00021A24">
        <w:rPr>
          <w:lang w:val="en-US" w:eastAsia="zh-CN"/>
        </w:rPr>
        <w:t>4 990 MHz</w:t>
      </w:r>
      <w:r w:rsidR="00021A24">
        <w:rPr>
          <w:rFonts w:hint="eastAsia"/>
          <w:lang w:val="en-US" w:eastAsia="zh-CN"/>
        </w:rPr>
        <w:t>频段主要用于微波链路，本主管部门无法想象在这个频段设置任何高密度的移动系统。</w:t>
      </w:r>
    </w:p>
    <w:p w:rsidR="00002577" w:rsidRDefault="007F5DA9" w:rsidP="0087777E">
      <w:pPr>
        <w:pStyle w:val="Proposal"/>
      </w:pPr>
      <w:r>
        <w:rPr>
          <w:u w:val="single"/>
        </w:rPr>
        <w:t>NOC</w:t>
      </w:r>
      <w:r>
        <w:tab/>
        <w:t>IRN/61A1/4</w:t>
      </w:r>
    </w:p>
    <w:p w:rsidR="00DB1CAC" w:rsidRDefault="007F5DA9" w:rsidP="0087777E">
      <w:pPr>
        <w:pStyle w:val="Tabletitle"/>
        <w:rPr>
          <w:lang w:eastAsia="zh-CN"/>
        </w:rPr>
      </w:pPr>
      <w:r>
        <w:rPr>
          <w:lang w:eastAsia="zh-CN"/>
        </w:rPr>
        <w:t>4 800-5 570 MHz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8"/>
        <w:gridCol w:w="3118"/>
        <w:gridCol w:w="3120"/>
      </w:tblGrid>
      <w:tr w:rsidR="00DB1CAC" w:rsidTr="0044757F">
        <w:trPr>
          <w:cantSplit/>
        </w:trPr>
        <w:tc>
          <w:tcPr>
            <w:tcW w:w="9356" w:type="dxa"/>
            <w:gridSpan w:val="3"/>
            <w:tcBorders>
              <w:bottom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proofErr w:type="spellStart"/>
            <w:r>
              <w:t>划分给以下业务</w:t>
            </w:r>
            <w:proofErr w:type="spellEnd"/>
          </w:p>
        </w:tc>
      </w:tr>
      <w:tr w:rsidR="00DB1CAC" w:rsidTr="0044757F">
        <w:trPr>
          <w:cantSplit/>
        </w:trPr>
        <w:tc>
          <w:tcPr>
            <w:tcW w:w="3118" w:type="dxa"/>
            <w:tcBorders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r>
              <w:t>1</w:t>
            </w:r>
            <w:r>
              <w:t>区</w:t>
            </w:r>
          </w:p>
        </w:tc>
        <w:tc>
          <w:tcPr>
            <w:tcW w:w="3118" w:type="dxa"/>
            <w:tcBorders>
              <w:left w:val="single" w:sz="4" w:space="0" w:color="auto"/>
              <w:righ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r>
              <w:t>2</w:t>
            </w:r>
            <w:r>
              <w:t>区</w:t>
            </w:r>
          </w:p>
        </w:tc>
        <w:tc>
          <w:tcPr>
            <w:tcW w:w="3120" w:type="dxa"/>
            <w:tcBorders>
              <w:left w:val="single" w:sz="4" w:space="0" w:color="auto"/>
            </w:tcBorders>
          </w:tcPr>
          <w:p w:rsidR="00DB1CAC" w:rsidRDefault="007F5DA9" w:rsidP="0087777E">
            <w:pPr>
              <w:pStyle w:val="Tablehead"/>
            </w:pPr>
            <w:r>
              <w:t>3</w:t>
            </w:r>
            <w:r>
              <w:t>区</w:t>
            </w:r>
          </w:p>
        </w:tc>
      </w:tr>
      <w:tr w:rsidR="00DB1CAC" w:rsidTr="0044757F">
        <w:trPr>
          <w:cantSplit/>
        </w:trPr>
        <w:tc>
          <w:tcPr>
            <w:tcW w:w="9356" w:type="dxa"/>
            <w:gridSpan w:val="3"/>
          </w:tcPr>
          <w:p w:rsidR="00DB1CAC" w:rsidRPr="001A1F20" w:rsidRDefault="007F5DA9" w:rsidP="0087777E">
            <w:pPr>
              <w:pStyle w:val="TableTextS5"/>
              <w:tabs>
                <w:tab w:val="clear" w:pos="3119"/>
                <w:tab w:val="left" w:pos="2977"/>
              </w:tabs>
            </w:pPr>
            <w:r w:rsidRPr="001A1F20">
              <w:rPr>
                <w:rStyle w:val="Tablefreq"/>
              </w:rPr>
              <w:t>4 800-4 990</w:t>
            </w:r>
            <w:r w:rsidRPr="001A1F20">
              <w:tab/>
            </w:r>
            <w:r w:rsidRPr="0029093E">
              <w:rPr>
                <w:rStyle w:val="capS5"/>
              </w:rPr>
              <w:t>固定</w:t>
            </w:r>
          </w:p>
          <w:p w:rsidR="00DB1CAC" w:rsidRPr="001A1F20" w:rsidRDefault="007F5DA9" w:rsidP="0087777E">
            <w:pPr>
              <w:pStyle w:val="TableTextS5"/>
              <w:tabs>
                <w:tab w:val="clear" w:pos="3119"/>
                <w:tab w:val="left" w:pos="2977"/>
              </w:tabs>
            </w:pPr>
            <w:r w:rsidRPr="001A1F20">
              <w:tab/>
            </w:r>
            <w:r w:rsidRPr="001A1F20">
              <w:rPr>
                <w:rFonts w:hint="eastAsia"/>
              </w:rPr>
              <w:tab/>
            </w:r>
            <w:r w:rsidRPr="0029093E">
              <w:rPr>
                <w:rStyle w:val="capS5"/>
              </w:rPr>
              <w:t>移动</w:t>
            </w:r>
            <w:r w:rsidRPr="001A1F20">
              <w:t xml:space="preserve">  </w:t>
            </w:r>
            <w:r w:rsidRPr="001A1F20">
              <w:rPr>
                <w:rFonts w:hint="eastAsia"/>
              </w:rPr>
              <w:t xml:space="preserve">5.440A  </w:t>
            </w:r>
            <w:r w:rsidRPr="001A1F20">
              <w:t>5.442</w:t>
            </w:r>
          </w:p>
          <w:p w:rsidR="00DB1CAC" w:rsidRPr="001A1F20" w:rsidRDefault="007F5DA9" w:rsidP="0087777E">
            <w:pPr>
              <w:pStyle w:val="TableTextS5"/>
              <w:tabs>
                <w:tab w:val="clear" w:pos="3119"/>
                <w:tab w:val="left" w:pos="2977"/>
              </w:tabs>
            </w:pPr>
            <w:r w:rsidRPr="001A1F20">
              <w:tab/>
            </w:r>
            <w:r w:rsidRPr="001A1F20">
              <w:rPr>
                <w:rFonts w:hint="eastAsia"/>
              </w:rPr>
              <w:tab/>
            </w:r>
            <w:proofErr w:type="spellStart"/>
            <w:r w:rsidRPr="001A1F20">
              <w:t>射电天文</w:t>
            </w:r>
            <w:proofErr w:type="spellEnd"/>
          </w:p>
          <w:p w:rsidR="00DB1CAC" w:rsidRPr="001A1F20" w:rsidRDefault="007F5DA9" w:rsidP="0087777E">
            <w:pPr>
              <w:pStyle w:val="TableTextS5"/>
              <w:tabs>
                <w:tab w:val="clear" w:pos="3119"/>
                <w:tab w:val="left" w:pos="2977"/>
              </w:tabs>
            </w:pPr>
            <w:r w:rsidRPr="001A1F20">
              <w:tab/>
            </w:r>
            <w:r w:rsidRPr="001A1F20">
              <w:rPr>
                <w:rFonts w:hint="eastAsia"/>
              </w:rPr>
              <w:tab/>
            </w:r>
            <w:r w:rsidRPr="001A1F20">
              <w:t>5.149  5.339  5.443</w:t>
            </w:r>
          </w:p>
        </w:tc>
      </w:tr>
    </w:tbl>
    <w:p w:rsidR="00002577" w:rsidRDefault="007F5DA9" w:rsidP="0087777E">
      <w:pPr>
        <w:pStyle w:val="Reasons"/>
        <w:rPr>
          <w:lang w:val="en-US" w:eastAsia="zh-CN"/>
        </w:rPr>
      </w:pPr>
      <w:r>
        <w:rPr>
          <w:b/>
          <w:lang w:eastAsia="zh-CN"/>
        </w:rPr>
        <w:t>理由：</w:t>
      </w:r>
      <w:r>
        <w:rPr>
          <w:lang w:eastAsia="zh-CN"/>
        </w:rPr>
        <w:tab/>
      </w:r>
      <w:r w:rsidR="00021A24">
        <w:rPr>
          <w:rFonts w:hint="eastAsia"/>
          <w:lang w:eastAsia="zh-CN"/>
        </w:rPr>
        <w:t>ITU-R</w:t>
      </w:r>
      <w:r w:rsidR="00021A24">
        <w:rPr>
          <w:rFonts w:hint="eastAsia"/>
          <w:lang w:eastAsia="zh-CN"/>
        </w:rPr>
        <w:t>对</w:t>
      </w:r>
      <w:r w:rsidR="00021A24">
        <w:rPr>
          <w:lang w:val="en-US" w:eastAsia="zh-CN"/>
        </w:rPr>
        <w:t>4 400</w:t>
      </w:r>
      <w:r w:rsidR="00021A24">
        <w:rPr>
          <w:rFonts w:hint="eastAsia"/>
          <w:lang w:val="en-US" w:eastAsia="zh-CN"/>
        </w:rPr>
        <w:t>至</w:t>
      </w:r>
      <w:r w:rsidR="00021A24">
        <w:rPr>
          <w:lang w:val="en-US" w:eastAsia="zh-CN"/>
        </w:rPr>
        <w:t>4 990 MHz</w:t>
      </w:r>
      <w:r w:rsidR="00021A24">
        <w:rPr>
          <w:rFonts w:hint="eastAsia"/>
          <w:lang w:val="en-US" w:eastAsia="zh-CN"/>
        </w:rPr>
        <w:t>频段的</w:t>
      </w:r>
      <w:r w:rsidR="00021A24">
        <w:rPr>
          <w:rFonts w:hint="eastAsia"/>
          <w:lang w:val="en-US" w:eastAsia="zh-CN"/>
        </w:rPr>
        <w:t>IMT</w:t>
      </w:r>
      <w:r w:rsidR="00021A24">
        <w:rPr>
          <w:rFonts w:hint="eastAsia"/>
          <w:lang w:val="en-US" w:eastAsia="zh-CN"/>
        </w:rPr>
        <w:t>系统与点对点固定无线系统的兼容性进行了研究，研究总结认为，需要设置很大的地理间隔距离。在</w:t>
      </w:r>
      <w:r w:rsidR="00021A24" w:rsidRPr="00653C05">
        <w:rPr>
          <w:rFonts w:hint="eastAsia"/>
          <w:lang w:val="en-US" w:eastAsia="zh-CN"/>
        </w:rPr>
        <w:t>IMT</w:t>
      </w:r>
      <w:r w:rsidR="00021A24" w:rsidRPr="00653C05">
        <w:rPr>
          <w:rFonts w:hint="eastAsia"/>
          <w:lang w:val="en-US" w:eastAsia="zh-CN"/>
        </w:rPr>
        <w:t>基站网络</w:t>
      </w:r>
      <w:r w:rsidR="00021A24">
        <w:rPr>
          <w:rFonts w:hint="eastAsia"/>
          <w:lang w:val="en-US" w:eastAsia="zh-CN"/>
        </w:rPr>
        <w:t>存在</w:t>
      </w:r>
      <w:r w:rsidR="00021A24" w:rsidRPr="00653C05">
        <w:rPr>
          <w:rFonts w:hint="eastAsia"/>
          <w:lang w:val="en-US" w:eastAsia="zh-CN"/>
        </w:rPr>
        <w:t>集总干扰</w:t>
      </w:r>
      <w:r w:rsidR="00021A24">
        <w:rPr>
          <w:rFonts w:hint="eastAsia"/>
          <w:lang w:val="en-US" w:eastAsia="zh-CN"/>
        </w:rPr>
        <w:t>的</w:t>
      </w:r>
      <w:r w:rsidR="00021A24" w:rsidRPr="00653C05">
        <w:rPr>
          <w:rFonts w:hint="eastAsia"/>
          <w:lang w:val="en-US" w:eastAsia="zh-CN"/>
        </w:rPr>
        <w:t>情况</w:t>
      </w:r>
      <w:r w:rsidR="00021A24">
        <w:rPr>
          <w:rFonts w:hint="eastAsia"/>
          <w:lang w:val="en-US" w:eastAsia="zh-CN"/>
        </w:rPr>
        <w:t>下</w:t>
      </w:r>
      <w:r w:rsidR="00021A24" w:rsidRPr="00653C05">
        <w:rPr>
          <w:rFonts w:hint="eastAsia"/>
          <w:lang w:val="en-US" w:eastAsia="zh-CN"/>
        </w:rPr>
        <w:t>，所需的间隔距离增加了</w:t>
      </w:r>
      <w:r w:rsidR="00021A24" w:rsidRPr="00653C05">
        <w:rPr>
          <w:lang w:eastAsia="zh-CN"/>
        </w:rPr>
        <w:t>IMT</w:t>
      </w:r>
      <w:r w:rsidR="00021A24" w:rsidRPr="00653C05">
        <w:rPr>
          <w:rFonts w:hint="eastAsia"/>
          <w:lang w:eastAsia="zh-CN"/>
        </w:rPr>
        <w:t>系统与固定业务系统之间实现兼容的难度。</w:t>
      </w:r>
      <w:r w:rsidR="00021A24">
        <w:rPr>
          <w:rFonts w:hint="eastAsia"/>
          <w:lang w:eastAsia="zh-CN"/>
        </w:rPr>
        <w:t>由于</w:t>
      </w:r>
      <w:r w:rsidR="00021A24">
        <w:rPr>
          <w:lang w:val="en-US" w:eastAsia="zh-CN"/>
        </w:rPr>
        <w:t>4 400</w:t>
      </w:r>
      <w:r w:rsidR="00021A24">
        <w:rPr>
          <w:rFonts w:hint="eastAsia"/>
          <w:lang w:val="en-US" w:eastAsia="zh-CN"/>
        </w:rPr>
        <w:t>至</w:t>
      </w:r>
      <w:r w:rsidR="00021A24">
        <w:rPr>
          <w:lang w:val="en-US" w:eastAsia="zh-CN"/>
        </w:rPr>
        <w:t>4 990 MHz</w:t>
      </w:r>
      <w:r w:rsidR="00021A24">
        <w:rPr>
          <w:rFonts w:hint="eastAsia"/>
          <w:lang w:val="en-US" w:eastAsia="zh-CN"/>
        </w:rPr>
        <w:t>频段主要用于微波链路，本主管部门无法想象在这个频段设置任何高密度的移动系统。</w:t>
      </w:r>
    </w:p>
    <w:p w:rsidR="00333FA1" w:rsidRDefault="00333FA1" w:rsidP="0087777E">
      <w:pPr>
        <w:pStyle w:val="Reasons"/>
        <w:rPr>
          <w:lang w:eastAsia="zh-CN"/>
        </w:rPr>
      </w:pPr>
    </w:p>
    <w:p w:rsidR="00333FA1" w:rsidRDefault="00333FA1" w:rsidP="0087777E">
      <w:pPr>
        <w:jc w:val="center"/>
      </w:pPr>
      <w:r>
        <w:t>______________</w:t>
      </w:r>
    </w:p>
    <w:sectPr w:rsidR="00333FA1">
      <w:headerReference w:type="default" r:id="rId11"/>
      <w:footerReference w:type="default" r:id="rId12"/>
      <w:footerReference w:type="first" r:id="rId13"/>
      <w:type w:val="oddPage"/>
      <w:pgSz w:w="11907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60A6" w:rsidRDefault="002260A6">
      <w:r>
        <w:separator/>
      </w:r>
    </w:p>
  </w:endnote>
  <w:endnote w:type="continuationSeparator" w:id="0">
    <w:p w:rsidR="002260A6" w:rsidRDefault="0022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TKaiti">
    <w:altName w:val="Arial Unicode MS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7F5DA9" w:rsidRDefault="009E43B1" w:rsidP="007F5DA9">
    <w:pPr>
      <w:pStyle w:val="Footer"/>
      <w:tabs>
        <w:tab w:val="clear" w:pos="5954"/>
        <w:tab w:val="left" w:pos="6237"/>
      </w:tabs>
    </w:pPr>
    <w:fldSimple w:instr=" FILENAME \p  \* MERGEFORMAT ">
      <w:r w:rsidR="0080189E">
        <w:t>P:\CHI\ITU-R\CONF-R\CMR15\000\061ADD01C.docx</w:t>
      </w:r>
    </w:fldSimple>
    <w:r w:rsidR="007F5DA9">
      <w:t xml:space="preserve"> (388280)</w:t>
    </w:r>
    <w:r w:rsidR="007F5DA9">
      <w:tab/>
    </w:r>
    <w:r w:rsidR="007F5DA9">
      <w:fldChar w:fldCharType="begin"/>
    </w:r>
    <w:r w:rsidR="007F5DA9">
      <w:instrText xml:space="preserve"> SAVEDATE \@ DD.MM.YY </w:instrText>
    </w:r>
    <w:r w:rsidR="007F5DA9">
      <w:fldChar w:fldCharType="separate"/>
    </w:r>
    <w:r w:rsidR="0080189E">
      <w:t>22.10.15</w:t>
    </w:r>
    <w:r w:rsidR="007F5DA9">
      <w:fldChar w:fldCharType="end"/>
    </w:r>
    <w:r w:rsidR="007F5DA9">
      <w:tab/>
    </w:r>
    <w:r w:rsidR="007F5DA9">
      <w:fldChar w:fldCharType="begin"/>
    </w:r>
    <w:r w:rsidR="007F5DA9">
      <w:instrText xml:space="preserve"> PRINTDATE \@ DD.MM.YY </w:instrText>
    </w:r>
    <w:r w:rsidR="007F5DA9">
      <w:fldChar w:fldCharType="separate"/>
    </w:r>
    <w:r w:rsidR="0080189E">
      <w:t>22.10.15</w:t>
    </w:r>
    <w:r w:rsidR="007F5DA9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Pr="00DA0469" w:rsidRDefault="0080189E" w:rsidP="007F5DA9">
    <w:pPr>
      <w:pStyle w:val="Footer"/>
      <w:tabs>
        <w:tab w:val="clear" w:pos="5954"/>
        <w:tab w:val="left" w:pos="6237"/>
      </w:tabs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P:\CHI\ITU-R\CONF-R\CMR15\000\061ADD01C.docx</w:t>
    </w:r>
    <w:r>
      <w:fldChar w:fldCharType="end"/>
    </w:r>
    <w:r w:rsidR="007F5DA9">
      <w:t xml:space="preserve"> (388280)</w:t>
    </w:r>
    <w:r w:rsidR="007F5DA9">
      <w:tab/>
    </w:r>
    <w:r w:rsidR="007F5DA9">
      <w:fldChar w:fldCharType="begin"/>
    </w:r>
    <w:r w:rsidR="007F5DA9">
      <w:instrText xml:space="preserve"> SAVEDATE \@ DD.MM.YY </w:instrText>
    </w:r>
    <w:r w:rsidR="007F5DA9">
      <w:fldChar w:fldCharType="separate"/>
    </w:r>
    <w:r>
      <w:t>22.10.15</w:t>
    </w:r>
    <w:r w:rsidR="007F5DA9">
      <w:fldChar w:fldCharType="end"/>
    </w:r>
    <w:r w:rsidR="007F5DA9">
      <w:tab/>
    </w:r>
    <w:r w:rsidR="007F5DA9">
      <w:fldChar w:fldCharType="begin"/>
    </w:r>
    <w:r w:rsidR="007F5DA9">
      <w:instrText xml:space="preserve"> PRINTDATE \@ DD.MM.YY </w:instrText>
    </w:r>
    <w:r w:rsidR="007F5DA9">
      <w:fldChar w:fldCharType="separate"/>
    </w:r>
    <w:r>
      <w:t>22.10.15</w:t>
    </w:r>
    <w:r w:rsidR="007F5DA9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60A6" w:rsidRDefault="002260A6">
      <w:r>
        <w:t>____________________</w:t>
      </w:r>
    </w:p>
  </w:footnote>
  <w:footnote w:type="continuationSeparator" w:id="0">
    <w:p w:rsidR="002260A6" w:rsidRDefault="002260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51D4" w:rsidRDefault="00B851D4">
    <w:pPr>
      <w:pStyle w:val="Head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80189E">
      <w:rPr>
        <w:rStyle w:val="PageNumber"/>
        <w:noProof/>
      </w:rPr>
      <w:t>3</w:t>
    </w:r>
    <w:r>
      <w:rPr>
        <w:rStyle w:val="PageNumber"/>
      </w:rPr>
      <w:fldChar w:fldCharType="end"/>
    </w:r>
  </w:p>
  <w:p w:rsidR="00B851D4" w:rsidRDefault="00B851D4" w:rsidP="00B711CC">
    <w:pPr>
      <w:pStyle w:val="Header"/>
      <w:rPr>
        <w:lang w:val="en-US"/>
      </w:rPr>
    </w:pPr>
    <w:r>
      <w:rPr>
        <w:rStyle w:val="PageNumber"/>
      </w:rPr>
      <w:t>CMR1</w:t>
    </w:r>
    <w:r w:rsidR="00B711CC">
      <w:rPr>
        <w:rStyle w:val="PageNumber"/>
      </w:rPr>
      <w:t>5</w:t>
    </w:r>
    <w:r>
      <w:rPr>
        <w:rStyle w:val="PageNumber"/>
      </w:rPr>
      <w:t>/</w:t>
    </w:r>
    <w:r w:rsidR="00C929E0">
      <w:t>61(Add.1)-</w:t>
    </w:r>
    <w:r w:rsidR="00C929E0" w:rsidRPr="00C929E0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ctiveWritingStyle w:appName="MSWord" w:lang="en-GB" w:vendorID="64" w:dllVersion="131077" w:nlCheck="1" w:checkStyle="1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560"/>
    <w:rsid w:val="00002577"/>
    <w:rsid w:val="0001635B"/>
    <w:rsid w:val="00021A24"/>
    <w:rsid w:val="000264C2"/>
    <w:rsid w:val="00026F91"/>
    <w:rsid w:val="000273B7"/>
    <w:rsid w:val="00037C90"/>
    <w:rsid w:val="000C09BA"/>
    <w:rsid w:val="000C1F1E"/>
    <w:rsid w:val="000C6AA7"/>
    <w:rsid w:val="000E26F6"/>
    <w:rsid w:val="00123C07"/>
    <w:rsid w:val="00166859"/>
    <w:rsid w:val="001765EC"/>
    <w:rsid w:val="001853E8"/>
    <w:rsid w:val="001B6360"/>
    <w:rsid w:val="001F4EA6"/>
    <w:rsid w:val="00213432"/>
    <w:rsid w:val="00214959"/>
    <w:rsid w:val="002260A6"/>
    <w:rsid w:val="002742B3"/>
    <w:rsid w:val="002A4C9C"/>
    <w:rsid w:val="002B509B"/>
    <w:rsid w:val="002E2A59"/>
    <w:rsid w:val="002E4507"/>
    <w:rsid w:val="00305254"/>
    <w:rsid w:val="00314CFD"/>
    <w:rsid w:val="003169D2"/>
    <w:rsid w:val="00333FA1"/>
    <w:rsid w:val="00341433"/>
    <w:rsid w:val="00392CC7"/>
    <w:rsid w:val="003B1B54"/>
    <w:rsid w:val="003B4BEF"/>
    <w:rsid w:val="003B5A4B"/>
    <w:rsid w:val="003C6B45"/>
    <w:rsid w:val="003E1949"/>
    <w:rsid w:val="003E250B"/>
    <w:rsid w:val="0041282E"/>
    <w:rsid w:val="004349BC"/>
    <w:rsid w:val="00437869"/>
    <w:rsid w:val="0044757F"/>
    <w:rsid w:val="00465A34"/>
    <w:rsid w:val="004C2F52"/>
    <w:rsid w:val="004C4554"/>
    <w:rsid w:val="004C45BC"/>
    <w:rsid w:val="004D2DEC"/>
    <w:rsid w:val="004F2BE6"/>
    <w:rsid w:val="00527E8A"/>
    <w:rsid w:val="00542E85"/>
    <w:rsid w:val="00562479"/>
    <w:rsid w:val="00576849"/>
    <w:rsid w:val="005A0ACB"/>
    <w:rsid w:val="005E0307"/>
    <w:rsid w:val="005E08D2"/>
    <w:rsid w:val="005E7FD8"/>
    <w:rsid w:val="00622560"/>
    <w:rsid w:val="00624FB7"/>
    <w:rsid w:val="0063473F"/>
    <w:rsid w:val="00644391"/>
    <w:rsid w:val="00647712"/>
    <w:rsid w:val="00662E12"/>
    <w:rsid w:val="00691142"/>
    <w:rsid w:val="006B67CE"/>
    <w:rsid w:val="006C38ED"/>
    <w:rsid w:val="006E6182"/>
    <w:rsid w:val="006F3C60"/>
    <w:rsid w:val="00736415"/>
    <w:rsid w:val="00770D2A"/>
    <w:rsid w:val="007864F6"/>
    <w:rsid w:val="007B7C4B"/>
    <w:rsid w:val="007F0FC5"/>
    <w:rsid w:val="007F5C36"/>
    <w:rsid w:val="007F5DA9"/>
    <w:rsid w:val="0080189E"/>
    <w:rsid w:val="008047DB"/>
    <w:rsid w:val="008129A9"/>
    <w:rsid w:val="008221A4"/>
    <w:rsid w:val="00824BD6"/>
    <w:rsid w:val="0083672D"/>
    <w:rsid w:val="00844734"/>
    <w:rsid w:val="00865DFB"/>
    <w:rsid w:val="0087777E"/>
    <w:rsid w:val="008A7416"/>
    <w:rsid w:val="008B6634"/>
    <w:rsid w:val="008B6852"/>
    <w:rsid w:val="008C26FF"/>
    <w:rsid w:val="008C6BF8"/>
    <w:rsid w:val="008D1D14"/>
    <w:rsid w:val="008E1785"/>
    <w:rsid w:val="008E7127"/>
    <w:rsid w:val="008E7C8E"/>
    <w:rsid w:val="00912959"/>
    <w:rsid w:val="00920456"/>
    <w:rsid w:val="009657F9"/>
    <w:rsid w:val="00982F25"/>
    <w:rsid w:val="0099525B"/>
    <w:rsid w:val="009C72B7"/>
    <w:rsid w:val="009E43B1"/>
    <w:rsid w:val="00A0052C"/>
    <w:rsid w:val="00A31B14"/>
    <w:rsid w:val="00A323DC"/>
    <w:rsid w:val="00A466E6"/>
    <w:rsid w:val="00A815BE"/>
    <w:rsid w:val="00AA5DA1"/>
    <w:rsid w:val="00AE369F"/>
    <w:rsid w:val="00B026CB"/>
    <w:rsid w:val="00B711CC"/>
    <w:rsid w:val="00B851D4"/>
    <w:rsid w:val="00B868FC"/>
    <w:rsid w:val="00B95072"/>
    <w:rsid w:val="00BB0416"/>
    <w:rsid w:val="00BB26CD"/>
    <w:rsid w:val="00BD4066"/>
    <w:rsid w:val="00BE3D80"/>
    <w:rsid w:val="00BF5D4A"/>
    <w:rsid w:val="00C07239"/>
    <w:rsid w:val="00C364B1"/>
    <w:rsid w:val="00C47D87"/>
    <w:rsid w:val="00C627F9"/>
    <w:rsid w:val="00C6584D"/>
    <w:rsid w:val="00C929E0"/>
    <w:rsid w:val="00CB4E5A"/>
    <w:rsid w:val="00CC73D7"/>
    <w:rsid w:val="00CF0AD7"/>
    <w:rsid w:val="00CF0BE1"/>
    <w:rsid w:val="00CF3690"/>
    <w:rsid w:val="00D52A14"/>
    <w:rsid w:val="00D54B33"/>
    <w:rsid w:val="00D6206A"/>
    <w:rsid w:val="00D74599"/>
    <w:rsid w:val="00DA0469"/>
    <w:rsid w:val="00DB2647"/>
    <w:rsid w:val="00DD13B7"/>
    <w:rsid w:val="00DF3B0C"/>
    <w:rsid w:val="00DF7F77"/>
    <w:rsid w:val="00E14984"/>
    <w:rsid w:val="00E22A25"/>
    <w:rsid w:val="00E560F1"/>
    <w:rsid w:val="00E72528"/>
    <w:rsid w:val="00E92319"/>
    <w:rsid w:val="00EA37F2"/>
    <w:rsid w:val="00F837F4"/>
    <w:rsid w:val="00FC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8748553-2A56-4FA9-AA39-097CCF2BE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4BD6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026CB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026CB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026CB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026CB"/>
    <w:pPr>
      <w:outlineLvl w:val="3"/>
    </w:pPr>
  </w:style>
  <w:style w:type="paragraph" w:styleId="Heading5">
    <w:name w:val="heading 5"/>
    <w:basedOn w:val="Heading4"/>
    <w:next w:val="Normal"/>
    <w:qFormat/>
    <w:rsid w:val="00B026CB"/>
    <w:pPr>
      <w:outlineLvl w:val="4"/>
    </w:pPr>
  </w:style>
  <w:style w:type="paragraph" w:styleId="Heading6">
    <w:name w:val="heading 6"/>
    <w:basedOn w:val="Heading4"/>
    <w:next w:val="Normal"/>
    <w:qFormat/>
    <w:rsid w:val="00B026CB"/>
    <w:pPr>
      <w:outlineLvl w:val="5"/>
    </w:pPr>
  </w:style>
  <w:style w:type="paragraph" w:styleId="Heading7">
    <w:name w:val="heading 7"/>
    <w:basedOn w:val="Heading6"/>
    <w:next w:val="Normal"/>
    <w:qFormat/>
    <w:rsid w:val="00B026CB"/>
    <w:pPr>
      <w:outlineLvl w:val="6"/>
    </w:pPr>
  </w:style>
  <w:style w:type="paragraph" w:styleId="Heading8">
    <w:name w:val="heading 8"/>
    <w:basedOn w:val="Heading6"/>
    <w:next w:val="Normal"/>
    <w:qFormat/>
    <w:rsid w:val="00B026CB"/>
    <w:pPr>
      <w:outlineLvl w:val="7"/>
    </w:pPr>
  </w:style>
  <w:style w:type="paragraph" w:styleId="Heading9">
    <w:name w:val="heading 9"/>
    <w:basedOn w:val="Heading6"/>
    <w:next w:val="Normal"/>
    <w:qFormat/>
    <w:rsid w:val="00B026C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B026CB"/>
    <w:pPr>
      <w:spacing w:before="360"/>
    </w:pPr>
  </w:style>
  <w:style w:type="paragraph" w:customStyle="1" w:styleId="Artheading">
    <w:name w:val="Art_heading"/>
    <w:basedOn w:val="Normal"/>
    <w:next w:val="Normal"/>
    <w:rsid w:val="00B026CB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rsid w:val="000C6AA7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026C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B026CB"/>
    <w:pPr>
      <w:keepNext/>
      <w:keepLines/>
      <w:spacing w:before="160"/>
      <w:ind w:left="1134"/>
    </w:pPr>
    <w:rPr>
      <w:rFonts w:ascii="STKaiti" w:eastAsia="STKaiti" w:hAnsi="STKaiti"/>
    </w:rPr>
  </w:style>
  <w:style w:type="paragraph" w:customStyle="1" w:styleId="ChapNo">
    <w:name w:val="Chap_No"/>
    <w:basedOn w:val="ArtNo"/>
    <w:next w:val="Chaptitle"/>
    <w:rsid w:val="00B026CB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rsid w:val="00B026CB"/>
  </w:style>
  <w:style w:type="character" w:styleId="EndnoteReference">
    <w:name w:val="endnote reference"/>
    <w:basedOn w:val="DefaultParagraphFont"/>
    <w:semiHidden/>
    <w:rsid w:val="00B026CB"/>
    <w:rPr>
      <w:vertAlign w:val="superscript"/>
    </w:rPr>
  </w:style>
  <w:style w:type="paragraph" w:customStyle="1" w:styleId="enumlev1">
    <w:name w:val="enumlev1"/>
    <w:basedOn w:val="Normal"/>
    <w:rsid w:val="00B026C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B026CB"/>
    <w:pPr>
      <w:ind w:left="1871" w:hanging="737"/>
    </w:pPr>
  </w:style>
  <w:style w:type="paragraph" w:customStyle="1" w:styleId="enumlev3">
    <w:name w:val="enumlev3"/>
    <w:basedOn w:val="enumlev2"/>
    <w:rsid w:val="00B026CB"/>
    <w:pPr>
      <w:ind w:left="2268" w:hanging="397"/>
    </w:pPr>
  </w:style>
  <w:style w:type="paragraph" w:customStyle="1" w:styleId="Equation">
    <w:name w:val="Equation"/>
    <w:basedOn w:val="Normal"/>
    <w:rsid w:val="00B026CB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B026CB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B026CB"/>
    <w:pPr>
      <w:keepNext/>
      <w:keepLines/>
      <w:spacing w:before="20" w:after="20"/>
    </w:pPr>
    <w:rPr>
      <w:sz w:val="18"/>
    </w:rPr>
  </w:style>
  <w:style w:type="paragraph" w:customStyle="1" w:styleId="QuestionNo">
    <w:name w:val="Question_No"/>
    <w:basedOn w:val="RecNo"/>
    <w:next w:val="Questiontitle"/>
    <w:rsid w:val="00B026CB"/>
  </w:style>
  <w:style w:type="paragraph" w:customStyle="1" w:styleId="RecNo">
    <w:name w:val="Rec_No"/>
    <w:basedOn w:val="Normal"/>
    <w:next w:val="Rectitle"/>
    <w:rsid w:val="00B026CB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Recref"/>
    <w:rsid w:val="00B026CB"/>
    <w:pPr>
      <w:spacing w:before="240"/>
    </w:pPr>
    <w:rPr>
      <w:rFonts w:ascii="Times New Roman Bold" w:hAnsi="Times New Roman Bold"/>
      <w:b/>
      <w:caps w:val="0"/>
    </w:rPr>
  </w:style>
  <w:style w:type="paragraph" w:customStyle="1" w:styleId="Questiontitle">
    <w:name w:val="Question_title"/>
    <w:basedOn w:val="Rectitle"/>
    <w:next w:val="Questionref"/>
    <w:rsid w:val="00B026CB"/>
  </w:style>
  <w:style w:type="paragraph" w:customStyle="1" w:styleId="Questionref">
    <w:name w:val="Question_ref"/>
    <w:basedOn w:val="Recref"/>
    <w:next w:val="Questiondate"/>
    <w:rsid w:val="00B026CB"/>
  </w:style>
  <w:style w:type="paragraph" w:customStyle="1" w:styleId="Recref">
    <w:name w:val="Rec_ref"/>
    <w:basedOn w:val="Rectitle"/>
    <w:next w:val="Recdate"/>
    <w:rsid w:val="00B026CB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0"/>
    <w:rsid w:val="00B026CB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B026CB"/>
  </w:style>
  <w:style w:type="paragraph" w:customStyle="1" w:styleId="Tabletext">
    <w:name w:val="Table_text"/>
    <w:basedOn w:val="Normal"/>
    <w:rsid w:val="00B026C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Figurewithouttitle">
    <w:name w:val="Figure_without_title"/>
    <w:basedOn w:val="FigureNo"/>
    <w:next w:val="Normal"/>
    <w:rsid w:val="00B026CB"/>
    <w:pPr>
      <w:keepNext w:val="0"/>
    </w:pPr>
  </w:style>
  <w:style w:type="paragraph" w:styleId="Footer">
    <w:name w:val="footer"/>
    <w:basedOn w:val="Normal"/>
    <w:rsid w:val="00B026CB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rsid w:val="00B026CB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B026CB"/>
    <w:rPr>
      <w:position w:val="6"/>
      <w:sz w:val="18"/>
    </w:rPr>
  </w:style>
  <w:style w:type="paragraph" w:styleId="FootnoteText">
    <w:name w:val="footnote text"/>
    <w:basedOn w:val="Normal"/>
    <w:rsid w:val="00B026CB"/>
    <w:pPr>
      <w:keepLines/>
      <w:tabs>
        <w:tab w:val="left" w:pos="255"/>
      </w:tabs>
    </w:pPr>
    <w:rPr>
      <w:sz w:val="22"/>
    </w:rPr>
  </w:style>
  <w:style w:type="paragraph" w:customStyle="1" w:styleId="Note">
    <w:name w:val="Note"/>
    <w:basedOn w:val="Normal"/>
    <w:rsid w:val="00B026CB"/>
    <w:pPr>
      <w:tabs>
        <w:tab w:val="left" w:pos="284"/>
      </w:tabs>
      <w:spacing w:before="80"/>
    </w:pPr>
  </w:style>
  <w:style w:type="paragraph" w:styleId="Header">
    <w:name w:val="header"/>
    <w:basedOn w:val="Normal"/>
    <w:rsid w:val="00B026CB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semiHidden/>
    <w:rsid w:val="00B026CB"/>
  </w:style>
  <w:style w:type="paragraph" w:styleId="Index2">
    <w:name w:val="index 2"/>
    <w:basedOn w:val="Normal"/>
    <w:next w:val="Normal"/>
    <w:semiHidden/>
    <w:rsid w:val="00B026CB"/>
    <w:pPr>
      <w:ind w:left="283"/>
    </w:pPr>
  </w:style>
  <w:style w:type="paragraph" w:styleId="Index3">
    <w:name w:val="index 3"/>
    <w:basedOn w:val="Normal"/>
    <w:next w:val="Normal"/>
    <w:semiHidden/>
    <w:rsid w:val="00B026CB"/>
    <w:pPr>
      <w:ind w:left="566"/>
    </w:pPr>
  </w:style>
  <w:style w:type="paragraph" w:customStyle="1" w:styleId="PartNo">
    <w:name w:val="Part_No"/>
    <w:basedOn w:val="AnnexNo"/>
    <w:next w:val="Partref"/>
    <w:rsid w:val="00B026CB"/>
  </w:style>
  <w:style w:type="paragraph" w:customStyle="1" w:styleId="Partref">
    <w:name w:val="Part_ref"/>
    <w:basedOn w:val="Annexref"/>
    <w:next w:val="Parttitle"/>
    <w:rsid w:val="00B026CB"/>
  </w:style>
  <w:style w:type="paragraph" w:customStyle="1" w:styleId="Parttitle">
    <w:name w:val="Part_title"/>
    <w:basedOn w:val="Annextitle"/>
    <w:next w:val="Normalaftertitle0"/>
    <w:rsid w:val="00B026CB"/>
  </w:style>
  <w:style w:type="paragraph" w:customStyle="1" w:styleId="Reftext">
    <w:name w:val="Ref_text"/>
    <w:basedOn w:val="Normal"/>
    <w:rsid w:val="00B026CB"/>
    <w:pPr>
      <w:ind w:left="1134" w:hanging="1134"/>
    </w:pPr>
  </w:style>
  <w:style w:type="paragraph" w:customStyle="1" w:styleId="Reftitle">
    <w:name w:val="Ref_title"/>
    <w:basedOn w:val="Normal"/>
    <w:next w:val="Reftext"/>
    <w:rsid w:val="00B026CB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0"/>
    <w:rsid w:val="00B026CB"/>
  </w:style>
  <w:style w:type="paragraph" w:customStyle="1" w:styleId="Reptitle">
    <w:name w:val="Rep_title"/>
    <w:basedOn w:val="Rectitle"/>
    <w:next w:val="Repref"/>
    <w:rsid w:val="00B026CB"/>
  </w:style>
  <w:style w:type="paragraph" w:customStyle="1" w:styleId="Repref">
    <w:name w:val="Rep_ref"/>
    <w:basedOn w:val="Recref"/>
    <w:next w:val="Repdate"/>
    <w:rsid w:val="00B026CB"/>
  </w:style>
  <w:style w:type="paragraph" w:customStyle="1" w:styleId="Resdate">
    <w:name w:val="Res_date"/>
    <w:basedOn w:val="Recdate"/>
    <w:next w:val="Normalaftertitle0"/>
    <w:rsid w:val="00B026CB"/>
  </w:style>
  <w:style w:type="paragraph" w:customStyle="1" w:styleId="Restitle">
    <w:name w:val="Res_title"/>
    <w:basedOn w:val="Rectitle"/>
    <w:next w:val="Resref"/>
    <w:rsid w:val="00B026CB"/>
  </w:style>
  <w:style w:type="paragraph" w:customStyle="1" w:styleId="Resref">
    <w:name w:val="Res_ref"/>
    <w:basedOn w:val="Recref"/>
    <w:next w:val="Resdate"/>
    <w:rsid w:val="00B026CB"/>
  </w:style>
  <w:style w:type="paragraph" w:customStyle="1" w:styleId="SectionNo">
    <w:name w:val="Section_No"/>
    <w:basedOn w:val="AnnexNo"/>
    <w:next w:val="Sectiontitle"/>
    <w:rsid w:val="00B026CB"/>
  </w:style>
  <w:style w:type="paragraph" w:customStyle="1" w:styleId="Sectiontitle">
    <w:name w:val="Section_title"/>
    <w:basedOn w:val="Annextitle"/>
    <w:next w:val="Normalaftertitle0"/>
    <w:rsid w:val="00B026CB"/>
  </w:style>
  <w:style w:type="paragraph" w:customStyle="1" w:styleId="Source">
    <w:name w:val="Source"/>
    <w:basedOn w:val="Normal"/>
    <w:next w:val="Normal"/>
    <w:rsid w:val="00B026CB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B026CB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rsid w:val="00B026CB"/>
    <w:pPr>
      <w:keepNext/>
      <w:spacing w:before="80" w:after="80"/>
      <w:jc w:val="center"/>
    </w:pPr>
    <w:rPr>
      <w:rFonts w:ascii="Times New Roman Bold" w:hAnsi="Times New Roman Bold"/>
      <w:b/>
    </w:rPr>
  </w:style>
  <w:style w:type="paragraph" w:customStyle="1" w:styleId="Tablelegend">
    <w:name w:val="Table_legend"/>
    <w:basedOn w:val="Tabletext"/>
    <w:rsid w:val="00B026CB"/>
    <w:pPr>
      <w:spacing w:before="120"/>
    </w:pPr>
  </w:style>
  <w:style w:type="paragraph" w:customStyle="1" w:styleId="TableNo">
    <w:name w:val="Table_No"/>
    <w:basedOn w:val="Normal"/>
    <w:next w:val="Tabletitle"/>
    <w:rsid w:val="00B026CB"/>
    <w:pPr>
      <w:keepNext/>
      <w:spacing w:before="560" w:after="120"/>
      <w:jc w:val="center"/>
    </w:pPr>
    <w:rPr>
      <w:caps/>
      <w:sz w:val="20"/>
    </w:rPr>
  </w:style>
  <w:style w:type="paragraph" w:customStyle="1" w:styleId="Tabletitle">
    <w:name w:val="Table_title"/>
    <w:basedOn w:val="Normal"/>
    <w:next w:val="Tabletext"/>
    <w:rsid w:val="00B026CB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paragraph" w:customStyle="1" w:styleId="Tableref">
    <w:name w:val="Table_ref"/>
    <w:basedOn w:val="Normal"/>
    <w:next w:val="Tabletitle"/>
    <w:rsid w:val="00B026CB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B026CB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Title3"/>
    <w:rsid w:val="00B026CB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Title4"/>
    <w:rsid w:val="00B026CB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B026CB"/>
    <w:rPr>
      <w:b/>
    </w:rPr>
  </w:style>
  <w:style w:type="paragraph" w:customStyle="1" w:styleId="toc0">
    <w:name w:val="toc 0"/>
    <w:basedOn w:val="Normal"/>
    <w:next w:val="TOC1"/>
    <w:rsid w:val="00B026CB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B026CB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B026CB"/>
    <w:pPr>
      <w:spacing w:before="120"/>
    </w:pPr>
  </w:style>
  <w:style w:type="paragraph" w:styleId="TOC3">
    <w:name w:val="toc 3"/>
    <w:basedOn w:val="TOC2"/>
    <w:rsid w:val="00B026CB"/>
  </w:style>
  <w:style w:type="paragraph" w:styleId="TOC4">
    <w:name w:val="toc 4"/>
    <w:basedOn w:val="TOC3"/>
    <w:rsid w:val="00B026CB"/>
  </w:style>
  <w:style w:type="paragraph" w:styleId="TOC5">
    <w:name w:val="toc 5"/>
    <w:basedOn w:val="TOC4"/>
    <w:rsid w:val="00B026CB"/>
  </w:style>
  <w:style w:type="paragraph" w:styleId="TOC6">
    <w:name w:val="toc 6"/>
    <w:basedOn w:val="TOC4"/>
    <w:semiHidden/>
    <w:rsid w:val="00B026CB"/>
  </w:style>
  <w:style w:type="paragraph" w:styleId="TOC7">
    <w:name w:val="toc 7"/>
    <w:basedOn w:val="TOC4"/>
    <w:semiHidden/>
    <w:rsid w:val="00B026CB"/>
  </w:style>
  <w:style w:type="paragraph" w:styleId="TOC8">
    <w:name w:val="toc 8"/>
    <w:basedOn w:val="TOC4"/>
    <w:semiHidden/>
    <w:rsid w:val="00B026CB"/>
  </w:style>
  <w:style w:type="character" w:customStyle="1" w:styleId="Appdef">
    <w:name w:val="App_def"/>
    <w:basedOn w:val="DefaultParagraphFont"/>
    <w:rsid w:val="00B026CB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B026CB"/>
  </w:style>
  <w:style w:type="character" w:customStyle="1" w:styleId="Artdef">
    <w:name w:val="Art_def"/>
    <w:basedOn w:val="DefaultParagraphFont"/>
    <w:rsid w:val="00B026CB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B026CB"/>
  </w:style>
  <w:style w:type="character" w:customStyle="1" w:styleId="Recdef">
    <w:name w:val="Rec_def"/>
    <w:basedOn w:val="DefaultParagraphFont"/>
    <w:rsid w:val="00B026CB"/>
    <w:rPr>
      <w:b/>
    </w:rPr>
  </w:style>
  <w:style w:type="character" w:customStyle="1" w:styleId="Resdef">
    <w:name w:val="Res_def"/>
    <w:basedOn w:val="DefaultParagraphFont"/>
    <w:rsid w:val="00B026CB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B026CB"/>
    <w:rPr>
      <w:b/>
      <w:color w:val="auto"/>
      <w:sz w:val="20"/>
    </w:rPr>
  </w:style>
  <w:style w:type="paragraph" w:customStyle="1" w:styleId="Formal">
    <w:name w:val="Formal"/>
    <w:basedOn w:val="Normal"/>
    <w:rsid w:val="00CF0BE1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noProof/>
      <w:sz w:val="20"/>
    </w:rPr>
  </w:style>
  <w:style w:type="paragraph" w:customStyle="1" w:styleId="Section1">
    <w:name w:val="Section_1"/>
    <w:basedOn w:val="Normal"/>
    <w:rsid w:val="00B026CB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B026CB"/>
    <w:rPr>
      <w:b w:val="0"/>
      <w:i/>
    </w:rPr>
  </w:style>
  <w:style w:type="paragraph" w:customStyle="1" w:styleId="Headingi">
    <w:name w:val="Heading_i"/>
    <w:basedOn w:val="Normal"/>
    <w:next w:val="Normal"/>
    <w:rsid w:val="00B026CB"/>
    <w:pPr>
      <w:keepNext/>
      <w:spacing w:before="160"/>
    </w:pPr>
    <w:rPr>
      <w:rFonts w:ascii="STKaiti" w:eastAsia="STKaiti" w:hAnsi="STKaiti"/>
    </w:rPr>
  </w:style>
  <w:style w:type="paragraph" w:customStyle="1" w:styleId="Headingb">
    <w:name w:val="Heading_b"/>
    <w:basedOn w:val="Normal"/>
    <w:next w:val="Normal"/>
    <w:rsid w:val="00B026CB"/>
    <w:pPr>
      <w:keepNext/>
      <w:spacing w:before="160"/>
    </w:pPr>
    <w:rPr>
      <w:rFonts w:ascii="Times" w:hAnsi="Times"/>
      <w:b/>
    </w:rPr>
  </w:style>
  <w:style w:type="paragraph" w:customStyle="1" w:styleId="Figure">
    <w:name w:val="Figure"/>
    <w:basedOn w:val="Normal"/>
    <w:next w:val="Figuretitle"/>
    <w:rsid w:val="00B026CB"/>
    <w:pPr>
      <w:keepNext/>
      <w:keepLines/>
      <w:jc w:val="center"/>
    </w:pPr>
  </w:style>
  <w:style w:type="paragraph" w:customStyle="1" w:styleId="FooterQP">
    <w:name w:val="Footer_QP"/>
    <w:basedOn w:val="Normal"/>
    <w:rsid w:val="00B026CB"/>
    <w:pPr>
      <w:tabs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character" w:styleId="PageNumber">
    <w:name w:val="page number"/>
    <w:basedOn w:val="DefaultParagraphFont"/>
    <w:rsid w:val="00B026CB"/>
  </w:style>
  <w:style w:type="paragraph" w:customStyle="1" w:styleId="RepNo">
    <w:name w:val="Rep_No"/>
    <w:basedOn w:val="RecNo"/>
    <w:next w:val="Reptitle"/>
    <w:rsid w:val="00B026CB"/>
  </w:style>
  <w:style w:type="paragraph" w:customStyle="1" w:styleId="ResNo">
    <w:name w:val="Res_No"/>
    <w:basedOn w:val="RecNo"/>
    <w:next w:val="Restitle"/>
    <w:rsid w:val="00B026CB"/>
  </w:style>
  <w:style w:type="paragraph" w:customStyle="1" w:styleId="Figuretitle">
    <w:name w:val="Figure_title"/>
    <w:basedOn w:val="Tabletitle"/>
    <w:next w:val="Normal"/>
    <w:rsid w:val="00B026CB"/>
    <w:pPr>
      <w:spacing w:after="480"/>
    </w:pPr>
  </w:style>
  <w:style w:type="paragraph" w:customStyle="1" w:styleId="FigureNo">
    <w:name w:val="Figure_No"/>
    <w:basedOn w:val="Normal"/>
    <w:next w:val="Figuretitle"/>
    <w:rsid w:val="00B026CB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Annextitle">
    <w:name w:val="Annex_title"/>
    <w:basedOn w:val="Normal"/>
    <w:next w:val="Normal"/>
    <w:rsid w:val="00B026CB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nnexNo">
    <w:name w:val="Annex_No"/>
    <w:basedOn w:val="Normal"/>
    <w:next w:val="Normal"/>
    <w:rsid w:val="00B026CB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ppendixtitle">
    <w:name w:val="Appendix_title"/>
    <w:basedOn w:val="Annextitle"/>
    <w:next w:val="Normal"/>
    <w:rsid w:val="00B026CB"/>
  </w:style>
  <w:style w:type="paragraph" w:customStyle="1" w:styleId="AppendixNo">
    <w:name w:val="Appendix_No"/>
    <w:basedOn w:val="AnnexNo"/>
    <w:next w:val="Annexref"/>
    <w:rsid w:val="00B026CB"/>
  </w:style>
  <w:style w:type="paragraph" w:customStyle="1" w:styleId="Reasons">
    <w:name w:val="Reasons"/>
    <w:basedOn w:val="Normal"/>
    <w:qFormat/>
    <w:rsid w:val="00B026CB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TableTextS5">
    <w:name w:val="Table_TextS5"/>
    <w:basedOn w:val="Normal"/>
    <w:rsid w:val="006F3C60"/>
    <w:pPr>
      <w:tabs>
        <w:tab w:val="clear" w:pos="1134"/>
        <w:tab w:val="clear" w:pos="1871"/>
        <w:tab w:val="clear" w:pos="2268"/>
        <w:tab w:val="left" w:pos="431"/>
        <w:tab w:val="left" w:pos="3119"/>
      </w:tabs>
      <w:spacing w:before="40" w:after="40"/>
    </w:pPr>
    <w:rPr>
      <w:sz w:val="20"/>
    </w:rPr>
  </w:style>
  <w:style w:type="paragraph" w:styleId="BalloonText">
    <w:name w:val="Balloon Text"/>
    <w:basedOn w:val="Normal"/>
    <w:semiHidden/>
    <w:rsid w:val="00B026CB"/>
    <w:rPr>
      <w:rFonts w:ascii="Tahoma" w:hAnsi="Tahoma" w:cs="Tahoma"/>
      <w:sz w:val="16"/>
      <w:szCs w:val="16"/>
    </w:rPr>
  </w:style>
  <w:style w:type="paragraph" w:customStyle="1" w:styleId="Proposal">
    <w:name w:val="Proposal"/>
    <w:basedOn w:val="Normal"/>
    <w:next w:val="Normal"/>
    <w:rsid w:val="00D6206A"/>
    <w:pPr>
      <w:keepNext/>
      <w:spacing w:before="240"/>
    </w:pPr>
    <w:rPr>
      <w:b/>
      <w:caps/>
    </w:rPr>
  </w:style>
  <w:style w:type="paragraph" w:customStyle="1" w:styleId="Annexref">
    <w:name w:val="Annex_ref"/>
    <w:basedOn w:val="Normal"/>
    <w:next w:val="Annextitle"/>
    <w:rsid w:val="00B026CB"/>
    <w:pPr>
      <w:keepNext/>
      <w:keepLines/>
      <w:spacing w:after="280"/>
      <w:jc w:val="center"/>
    </w:pPr>
  </w:style>
  <w:style w:type="paragraph" w:customStyle="1" w:styleId="Appendixref">
    <w:name w:val="Appendix_ref"/>
    <w:basedOn w:val="Annexref"/>
    <w:next w:val="Annextitle"/>
    <w:rsid w:val="00B026CB"/>
  </w:style>
  <w:style w:type="paragraph" w:customStyle="1" w:styleId="Border">
    <w:name w:val="Border"/>
    <w:basedOn w:val="Tabletext"/>
    <w:rsid w:val="00B026CB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B026CB"/>
    <w:pPr>
      <w:ind w:left="1134"/>
    </w:pPr>
  </w:style>
  <w:style w:type="paragraph" w:styleId="Index4">
    <w:name w:val="index 4"/>
    <w:basedOn w:val="Normal"/>
    <w:next w:val="Normal"/>
    <w:semiHidden/>
    <w:rsid w:val="00B026CB"/>
    <w:pPr>
      <w:ind w:left="849"/>
    </w:pPr>
  </w:style>
  <w:style w:type="paragraph" w:styleId="Index5">
    <w:name w:val="index 5"/>
    <w:basedOn w:val="Normal"/>
    <w:next w:val="Normal"/>
    <w:semiHidden/>
    <w:rsid w:val="00B026CB"/>
    <w:pPr>
      <w:ind w:left="1132"/>
    </w:pPr>
  </w:style>
  <w:style w:type="paragraph" w:styleId="Index6">
    <w:name w:val="index 6"/>
    <w:basedOn w:val="Normal"/>
    <w:next w:val="Normal"/>
    <w:semiHidden/>
    <w:rsid w:val="00B026CB"/>
    <w:pPr>
      <w:ind w:left="1415"/>
    </w:pPr>
  </w:style>
  <w:style w:type="paragraph" w:styleId="Index7">
    <w:name w:val="index 7"/>
    <w:basedOn w:val="Normal"/>
    <w:next w:val="Normal"/>
    <w:semiHidden/>
    <w:rsid w:val="00B026CB"/>
    <w:pPr>
      <w:ind w:left="1698"/>
    </w:pPr>
  </w:style>
  <w:style w:type="paragraph" w:styleId="IndexHeading">
    <w:name w:val="index heading"/>
    <w:basedOn w:val="Normal"/>
    <w:next w:val="Index1"/>
    <w:semiHidden/>
    <w:rsid w:val="00B026CB"/>
  </w:style>
  <w:style w:type="character" w:styleId="LineNumber">
    <w:name w:val="line number"/>
    <w:basedOn w:val="DefaultParagraphFont"/>
    <w:rsid w:val="00B026CB"/>
  </w:style>
  <w:style w:type="paragraph" w:customStyle="1" w:styleId="Normalaftertitle0">
    <w:name w:val="Normal after title"/>
    <w:basedOn w:val="Normal"/>
    <w:next w:val="Normal"/>
    <w:rsid w:val="00B026CB"/>
    <w:pPr>
      <w:spacing w:before="280"/>
    </w:pPr>
  </w:style>
  <w:style w:type="paragraph" w:customStyle="1" w:styleId="Section3">
    <w:name w:val="Section_3"/>
    <w:basedOn w:val="Section1"/>
    <w:rsid w:val="00B026CB"/>
    <w:rPr>
      <w:b w:val="0"/>
    </w:rPr>
  </w:style>
  <w:style w:type="character" w:styleId="Strong">
    <w:name w:val="Strong"/>
    <w:basedOn w:val="DefaultParagraphFont"/>
    <w:qFormat/>
    <w:rsid w:val="00527E8A"/>
    <w:rPr>
      <w:b/>
      <w:bCs/>
    </w:rPr>
  </w:style>
  <w:style w:type="paragraph" w:customStyle="1" w:styleId="TABLECAPS">
    <w:name w:val="TABLECAPS"/>
    <w:basedOn w:val="TableTextS5"/>
    <w:rsid w:val="00D52A14"/>
    <w:rPr>
      <w:rFonts w:ascii="Times New Roman Bold" w:eastAsia="SimHei" w:hAnsi="Times New Roman Bold" w:cs="Times New Roman Bold"/>
      <w:b/>
      <w:lang w:val="en-US"/>
    </w:rPr>
  </w:style>
  <w:style w:type="paragraph" w:customStyle="1" w:styleId="NormalCH">
    <w:name w:val="NormalCH"/>
    <w:basedOn w:val="Normal"/>
    <w:next w:val="Normal"/>
    <w:qFormat/>
    <w:rsid w:val="00644391"/>
    <w:pPr>
      <w:tabs>
        <w:tab w:val="clear" w:pos="1871"/>
        <w:tab w:val="left" w:pos="567"/>
        <w:tab w:val="left" w:pos="1701"/>
        <w:tab w:val="left" w:pos="2835"/>
      </w:tabs>
      <w:ind w:firstLineChars="200" w:firstLine="200"/>
    </w:pPr>
    <w:rPr>
      <w:lang w:val="en-US"/>
    </w:rPr>
  </w:style>
  <w:style w:type="paragraph" w:customStyle="1" w:styleId="TableNote">
    <w:name w:val="TableNote"/>
    <w:basedOn w:val="Tabletext"/>
    <w:rsid w:val="00B026CB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Heading8a">
    <w:name w:val="Heading 8a"/>
    <w:basedOn w:val="Heading8"/>
    <w:next w:val="Normal"/>
    <w:rsid w:val="00B026CB"/>
    <w:pPr>
      <w:tabs>
        <w:tab w:val="clear" w:pos="1871"/>
        <w:tab w:val="clear" w:pos="2268"/>
        <w:tab w:val="left" w:pos="1418"/>
      </w:tabs>
      <w:ind w:left="1418" w:hanging="1418"/>
    </w:pPr>
  </w:style>
  <w:style w:type="paragraph" w:customStyle="1" w:styleId="Heading9a">
    <w:name w:val="Heading 9a"/>
    <w:basedOn w:val="Heading9"/>
    <w:next w:val="Normal"/>
    <w:rsid w:val="00B026CB"/>
    <w:pPr>
      <w:tabs>
        <w:tab w:val="clear" w:pos="1871"/>
        <w:tab w:val="clear" w:pos="2268"/>
        <w:tab w:val="left" w:pos="1559"/>
      </w:tabs>
      <w:ind w:left="1559" w:hanging="1559"/>
    </w:pPr>
  </w:style>
  <w:style w:type="paragraph" w:customStyle="1" w:styleId="Agendaitem">
    <w:name w:val="Agenda_item"/>
    <w:basedOn w:val="Title3"/>
    <w:next w:val="Normalaftertitle0"/>
    <w:qFormat/>
    <w:rsid w:val="00C47D87"/>
    <w:rPr>
      <w:lang w:val="en-US" w:eastAsia="zh-CN"/>
    </w:rPr>
  </w:style>
  <w:style w:type="paragraph" w:customStyle="1" w:styleId="Subsection1">
    <w:name w:val="Subsection_1"/>
    <w:basedOn w:val="Section1"/>
    <w:next w:val="Section1"/>
    <w:qFormat/>
    <w:rsid w:val="00037C90"/>
  </w:style>
  <w:style w:type="paragraph" w:customStyle="1" w:styleId="Part1">
    <w:name w:val="Part_1"/>
    <w:basedOn w:val="Subsection1"/>
    <w:next w:val="Normalaftertitle0"/>
    <w:qFormat/>
    <w:rsid w:val="00037C90"/>
  </w:style>
  <w:style w:type="paragraph" w:customStyle="1" w:styleId="Normalend">
    <w:name w:val="Normal_end"/>
    <w:basedOn w:val="Normal"/>
    <w:qFormat/>
    <w:rsid w:val="00C07239"/>
  </w:style>
  <w:style w:type="paragraph" w:customStyle="1" w:styleId="ApptoAnnex">
    <w:name w:val="App_to_Annex"/>
    <w:basedOn w:val="AppendixNo"/>
    <w:qFormat/>
    <w:rsid w:val="00C07239"/>
  </w:style>
  <w:style w:type="paragraph" w:customStyle="1" w:styleId="AppArtNo">
    <w:name w:val="App_Art_No"/>
    <w:basedOn w:val="ArtNo"/>
    <w:qFormat/>
    <w:rsid w:val="008E7127"/>
  </w:style>
  <w:style w:type="paragraph" w:customStyle="1" w:styleId="AppArttitle">
    <w:name w:val="App_Art_title"/>
    <w:basedOn w:val="Arttitle"/>
    <w:qFormat/>
    <w:rsid w:val="008E7127"/>
  </w:style>
  <w:style w:type="paragraph" w:customStyle="1" w:styleId="Volumetitle">
    <w:name w:val="Volume_title"/>
    <w:basedOn w:val="ArtNo"/>
    <w:qFormat/>
    <w:rsid w:val="0083672D"/>
  </w:style>
  <w:style w:type="paragraph" w:customStyle="1" w:styleId="Committee">
    <w:name w:val="Committee"/>
    <w:basedOn w:val="Normal"/>
    <w:qFormat/>
    <w:rsid w:val="00123C07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eastAsia="Times New Roman" w:hAnsiTheme="minorHAnsi" w:cstheme="minorHAnsi"/>
      <w:b/>
      <w:szCs w:val="24"/>
    </w:rPr>
  </w:style>
  <w:style w:type="character" w:customStyle="1" w:styleId="href">
    <w:name w:val="href"/>
    <w:basedOn w:val="DefaultParagraphFont"/>
    <w:rsid w:val="001F276D"/>
  </w:style>
  <w:style w:type="character" w:customStyle="1" w:styleId="capS5">
    <w:name w:val="cap_S5"/>
    <w:basedOn w:val="DefaultParagraphFont"/>
    <w:uiPriority w:val="1"/>
    <w:qFormat/>
    <w:rsid w:val="003A5D41"/>
    <w:rPr>
      <w:rFonts w:eastAsia="SimHe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7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R15-WRC15-C-0061!A1!MSW-C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CJDSJNEQ73FR-44-22</_dlc_DocId>
    <_dlc_DocIdUrl xmlns="996b2e75-67fd-4955-a3b0-5ab9934cb50b">
      <Url>http://spdev11/en/gmpcs/_layouts/DocIdRedir.aspx?ID=CJDSJNEQ73FR-44-22</Url>
      <Description>CJDSJNEQ73FR-44-22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052476-CCF6-4C16-B840-3C8B504ACFD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F0EFE08-A921-4788-A55E-85460929E2B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FEDB95-5E6E-4198-8C7D-013F30FADB17}">
  <ds:schemaRefs>
    <ds:schemaRef ds:uri="32a1a8c5-2265-4ebc-b7a0-2071e2c5c9bb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996b2e75-67fd-4955-a3b0-5ab9934cb50b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F1DB5639-95A1-486E-AF44-812A10F0B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1280</Words>
  <Characters>1889</Characters>
  <Application>Microsoft Office Word</Application>
  <DocSecurity>0</DocSecurity>
  <Lines>140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R15-WRC15-C-0061!A1!MSW-C</vt:lpstr>
    </vt:vector>
  </TitlesOfParts>
  <Manager>General Secretariat - Pool</Manager>
  <Company>International Telecommunication Union (ITU)</Company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R15-WRC15-C-0061!A1!MSW-C</dc:title>
  <dc:subject>World Radiocommunication Conference - 2015</dc:subject>
  <dc:creator>Documents Proposals Manager (DPM)</dc:creator>
  <cp:keywords>DPM_v5.2015.10.15_prod</cp:keywords>
  <dc:description/>
  <cp:lastModifiedBy>Wang, Yujia</cp:lastModifiedBy>
  <cp:revision>5</cp:revision>
  <cp:lastPrinted>2015-10-22T07:06:00Z</cp:lastPrinted>
  <dcterms:created xsi:type="dcterms:W3CDTF">2015-10-22T06:35:00Z</dcterms:created>
  <dcterms:modified xsi:type="dcterms:W3CDTF">2015-10-22T07:07:00Z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PC_WRC12.dotm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author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bb2bbcd3-07ed-421b-bb82-f974840f0391</vt:lpwstr>
  </property>
</Properties>
</file>