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B642F" w:rsidTr="0050008E">
        <w:trPr>
          <w:cantSplit/>
        </w:trPr>
        <w:tc>
          <w:tcPr>
            <w:tcW w:w="6911" w:type="dxa"/>
          </w:tcPr>
          <w:p w:rsidR="0090121B" w:rsidRPr="007B642F" w:rsidRDefault="005D46FB" w:rsidP="00CA686D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7B64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7B642F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7B642F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B642F" w:rsidRDefault="00CE7431" w:rsidP="00CA686D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7B642F">
              <w:rPr>
                <w:noProof/>
                <w:lang w:val="es-E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B642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B642F" w:rsidRDefault="00CE7431" w:rsidP="00CA686D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7B642F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B642F" w:rsidRDefault="0090121B" w:rsidP="00CA686D">
            <w:pPr>
              <w:spacing w:before="0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7B642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B642F" w:rsidRDefault="0090121B" w:rsidP="00CA68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B642F" w:rsidRDefault="0090121B" w:rsidP="00CA686D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7B642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B642F" w:rsidRDefault="00AE658F" w:rsidP="00CA68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B642F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B642F" w:rsidRDefault="00AE658F" w:rsidP="00CA686D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7B642F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8 al</w:t>
            </w:r>
            <w:r w:rsidRPr="007B642F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58(Add.21)</w:t>
            </w:r>
            <w:r w:rsidR="0090121B" w:rsidRPr="007B642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7B642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7B642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B642F" w:rsidRDefault="000A5B9A" w:rsidP="00CA68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B642F" w:rsidRDefault="000A5B9A" w:rsidP="00CA68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B642F">
              <w:rPr>
                <w:rFonts w:ascii="Verdana" w:hAnsi="Verdana"/>
                <w:b/>
                <w:sz w:val="20"/>
                <w:lang w:val="es-ES"/>
              </w:rPr>
              <w:t>16 de octubre de 2015</w:t>
            </w:r>
          </w:p>
        </w:tc>
      </w:tr>
      <w:tr w:rsidR="000A5B9A" w:rsidRPr="007B642F" w:rsidTr="0090121B">
        <w:trPr>
          <w:cantSplit/>
        </w:trPr>
        <w:tc>
          <w:tcPr>
            <w:tcW w:w="6911" w:type="dxa"/>
          </w:tcPr>
          <w:p w:rsidR="000A5B9A" w:rsidRPr="007B642F" w:rsidRDefault="000A5B9A" w:rsidP="00CA686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7B642F" w:rsidRDefault="000A5B9A" w:rsidP="00CA68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7B642F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7B642F" w:rsidTr="006744FC">
        <w:trPr>
          <w:cantSplit/>
        </w:trPr>
        <w:tc>
          <w:tcPr>
            <w:tcW w:w="10031" w:type="dxa"/>
            <w:gridSpan w:val="2"/>
          </w:tcPr>
          <w:p w:rsidR="000A5B9A" w:rsidRPr="007B642F" w:rsidRDefault="000A5B9A" w:rsidP="00CA686D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7B642F" w:rsidTr="0050008E">
        <w:trPr>
          <w:cantSplit/>
        </w:trPr>
        <w:tc>
          <w:tcPr>
            <w:tcW w:w="10031" w:type="dxa"/>
            <w:gridSpan w:val="2"/>
          </w:tcPr>
          <w:p w:rsidR="000A5B9A" w:rsidRPr="007B642F" w:rsidRDefault="000A5B9A" w:rsidP="00CA686D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B642F">
              <w:rPr>
                <w:lang w:val="es-ES"/>
              </w:rPr>
              <w:t>Indonesia (República de)</w:t>
            </w:r>
          </w:p>
        </w:tc>
      </w:tr>
      <w:tr w:rsidR="000A5B9A" w:rsidRPr="007B642F" w:rsidTr="0050008E">
        <w:trPr>
          <w:cantSplit/>
        </w:trPr>
        <w:tc>
          <w:tcPr>
            <w:tcW w:w="10031" w:type="dxa"/>
            <w:gridSpan w:val="2"/>
          </w:tcPr>
          <w:p w:rsidR="000A5B9A" w:rsidRPr="007B642F" w:rsidRDefault="00CF1067" w:rsidP="00CA686D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B642F">
              <w:rPr>
                <w:lang w:val="es-ES"/>
              </w:rPr>
              <w:t>PROPUESTAS PARA LOS TRABAJOS DE LA CONFERENCIA</w:t>
            </w:r>
          </w:p>
        </w:tc>
      </w:tr>
      <w:tr w:rsidR="000A5B9A" w:rsidRPr="007B642F" w:rsidTr="0050008E">
        <w:trPr>
          <w:cantSplit/>
        </w:trPr>
        <w:tc>
          <w:tcPr>
            <w:tcW w:w="10031" w:type="dxa"/>
            <w:gridSpan w:val="2"/>
          </w:tcPr>
          <w:p w:rsidR="000A5B9A" w:rsidRPr="007B642F" w:rsidRDefault="000A5B9A" w:rsidP="00CA686D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7B642F" w:rsidTr="0050008E">
        <w:trPr>
          <w:cantSplit/>
        </w:trPr>
        <w:tc>
          <w:tcPr>
            <w:tcW w:w="10031" w:type="dxa"/>
            <w:gridSpan w:val="2"/>
          </w:tcPr>
          <w:p w:rsidR="000A5B9A" w:rsidRPr="007B642F" w:rsidRDefault="000A5B9A" w:rsidP="00CA686D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7B642F">
              <w:rPr>
                <w:lang w:val="es-ES"/>
              </w:rPr>
              <w:t>Punto 7(H) del orden del día</w:t>
            </w:r>
          </w:p>
        </w:tc>
      </w:tr>
    </w:tbl>
    <w:bookmarkEnd w:id="5"/>
    <w:p w:rsidR="001C0E40" w:rsidRPr="007B642F" w:rsidRDefault="007B642F" w:rsidP="00CA686D">
      <w:pPr>
        <w:rPr>
          <w:lang w:val="es-ES"/>
        </w:rPr>
      </w:pPr>
      <w:r w:rsidRPr="007B642F">
        <w:rPr>
          <w:lang w:val="es-ES"/>
        </w:rPr>
        <w:t>7</w:t>
      </w:r>
      <w:r w:rsidRPr="007B642F">
        <w:rPr>
          <w:lang w:val="es-ES"/>
        </w:rPr>
        <w:tab/>
        <w:t>considerar posibles modificaciones y otras opciones como consecuencia de la Resolución</w:t>
      </w:r>
      <w:r w:rsidRPr="007B642F">
        <w:rPr>
          <w:lang w:val="es-ES"/>
        </w:rPr>
        <w:t> </w:t>
      </w:r>
      <w:r w:rsidRPr="007B642F">
        <w:rPr>
          <w:lang w:val="es-ES"/>
        </w:rPr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7B642F">
        <w:rPr>
          <w:b/>
          <w:bCs/>
          <w:lang w:val="es-ES"/>
        </w:rPr>
        <w:t>86 (Rev.CM</w:t>
      </w:r>
      <w:r w:rsidRPr="007B642F">
        <w:rPr>
          <w:b/>
          <w:bCs/>
          <w:lang w:val="es-ES"/>
        </w:rPr>
        <w:t>R-07)</w:t>
      </w:r>
      <w:r w:rsidRPr="007B642F">
        <w:rPr>
          <w:lang w:val="es-ES"/>
        </w:rPr>
        <w:t>, para facilitar la utilización racional, eficaz y económica de las frecuencias radioeléctricas y toda órbita asociada, incluida la órbita de los satélites geoestacionarios;</w:t>
      </w:r>
    </w:p>
    <w:p w:rsidR="001C0E40" w:rsidRPr="007B642F" w:rsidRDefault="007B642F" w:rsidP="00CA686D">
      <w:pPr>
        <w:rPr>
          <w:lang w:val="es-ES"/>
        </w:rPr>
      </w:pPr>
      <w:r w:rsidRPr="007B642F">
        <w:rPr>
          <w:lang w:val="es-ES"/>
        </w:rPr>
        <w:t>7(H)</w:t>
      </w:r>
      <w:r w:rsidRPr="007B642F">
        <w:rPr>
          <w:lang w:val="es-ES"/>
        </w:rPr>
        <w:tab/>
      </w:r>
      <w:r w:rsidRPr="007B642F">
        <w:rPr>
          <w:lang w:val="es-ES"/>
        </w:rPr>
        <w:t>Tema H</w:t>
      </w:r>
      <w:r w:rsidRPr="007B642F">
        <w:rPr>
          <w:lang w:val="es-ES"/>
        </w:rPr>
        <w:t xml:space="preserve"> – </w:t>
      </w:r>
      <w:r w:rsidRPr="007B642F">
        <w:rPr>
          <w:lang w:val="es-ES"/>
        </w:rPr>
        <w:t>Utilización de una estación espacial para poner en servicio asi</w:t>
      </w:r>
      <w:r w:rsidRPr="007B642F">
        <w:rPr>
          <w:lang w:val="es-ES"/>
        </w:rPr>
        <w:t>gnaciones de frecuencias en posiciones orbitales diferentes dentro de un breve periodo de tiempo</w:t>
      </w:r>
    </w:p>
    <w:p w:rsidR="00CA686D" w:rsidRPr="007B642F" w:rsidRDefault="00CA686D" w:rsidP="00CA686D">
      <w:pPr>
        <w:pStyle w:val="Headingb"/>
        <w:rPr>
          <w:lang w:val="es-ES"/>
        </w:rPr>
      </w:pPr>
      <w:r w:rsidRPr="007B642F">
        <w:rPr>
          <w:lang w:val="es-ES"/>
        </w:rPr>
        <w:t>Introducción</w:t>
      </w:r>
    </w:p>
    <w:p w:rsidR="00CA686D" w:rsidRPr="007B642F" w:rsidRDefault="00CA686D" w:rsidP="00CA686D">
      <w:pPr>
        <w:rPr>
          <w:rFonts w:eastAsia="SimSun"/>
          <w:lang w:val="es-ES" w:eastAsia="zh-CN"/>
        </w:rPr>
      </w:pPr>
      <w:r w:rsidRPr="007B642F">
        <w:rPr>
          <w:rFonts w:eastAsia="SimSun"/>
          <w:lang w:val="es-ES" w:eastAsia="zh-CN"/>
        </w:rPr>
        <w:t xml:space="preserve">Indonesia opina que pueden existir razones legítimas para que una administración u operador necesite desplazar un vehículo especial de una posición </w:t>
      </w:r>
      <w:bookmarkStart w:id="6" w:name="_GoBack"/>
      <w:bookmarkEnd w:id="6"/>
      <w:r w:rsidRPr="007B642F">
        <w:rPr>
          <w:rFonts w:eastAsia="SimSun"/>
          <w:lang w:val="es-ES" w:eastAsia="zh-CN"/>
        </w:rPr>
        <w:t xml:space="preserve">orbital a otra. Además, el mecanismo contenido en el número </w:t>
      </w:r>
      <w:r w:rsidRPr="007B642F">
        <w:rPr>
          <w:rFonts w:eastAsia="SimSun"/>
          <w:bCs/>
          <w:lang w:val="es-ES" w:eastAsia="zh-CN"/>
        </w:rPr>
        <w:t xml:space="preserve">13.6 del </w:t>
      </w:r>
      <w:r w:rsidRPr="007B642F">
        <w:rPr>
          <w:rFonts w:eastAsia="SimSun"/>
          <w:lang w:val="es-ES" w:eastAsia="zh-CN"/>
        </w:rPr>
        <w:t xml:space="preserve">RR se ha aplicado hasta ahora sin ningún tipo de restricciones. Por lo tanto, no es necesario abordar este tema. </w:t>
      </w:r>
    </w:p>
    <w:p w:rsidR="00CA686D" w:rsidRPr="007B642F" w:rsidRDefault="00CA686D" w:rsidP="00CA686D">
      <w:pPr>
        <w:rPr>
          <w:lang w:val="es-ES"/>
        </w:rPr>
      </w:pPr>
      <w:r w:rsidRPr="007B642F">
        <w:rPr>
          <w:rFonts w:eastAsia="SimSun"/>
          <w:lang w:val="es-ES" w:eastAsia="zh-CN"/>
        </w:rPr>
        <w:t>Por consiguiente, Indonesia apoya el Método H2 que figura en el Informe de la RPC, en el que se propone no introducir cambios en el RR.</w:t>
      </w:r>
    </w:p>
    <w:p w:rsidR="00CA686D" w:rsidRPr="007B642F" w:rsidRDefault="00CA686D" w:rsidP="00CA686D">
      <w:pPr>
        <w:pStyle w:val="Headingb"/>
        <w:tabs>
          <w:tab w:val="clear" w:pos="1871"/>
          <w:tab w:val="clear" w:pos="2268"/>
        </w:tabs>
        <w:rPr>
          <w:lang w:val="es-ES"/>
        </w:rPr>
      </w:pPr>
      <w:r w:rsidRPr="007B642F">
        <w:rPr>
          <w:lang w:val="es-ES"/>
        </w:rPr>
        <w:t>Propuesta</w:t>
      </w:r>
      <w:r w:rsidRPr="007B642F">
        <w:rPr>
          <w:lang w:val="es-ES"/>
        </w:rPr>
        <w:tab/>
      </w:r>
    </w:p>
    <w:p w:rsidR="00177BFC" w:rsidRPr="007B642F" w:rsidRDefault="007B642F" w:rsidP="00CA686D">
      <w:pPr>
        <w:pStyle w:val="Proposal"/>
        <w:rPr>
          <w:lang w:val="es-ES"/>
        </w:rPr>
      </w:pPr>
      <w:r w:rsidRPr="007B642F">
        <w:rPr>
          <w:u w:val="single"/>
          <w:lang w:val="es-ES"/>
        </w:rPr>
        <w:t>NOC</w:t>
      </w:r>
      <w:r w:rsidRPr="007B642F">
        <w:rPr>
          <w:lang w:val="es-ES"/>
        </w:rPr>
        <w:tab/>
        <w:t>INS/58A21A8/1</w:t>
      </w:r>
    </w:p>
    <w:p w:rsidR="00F008F3" w:rsidRPr="007B642F" w:rsidRDefault="007B642F" w:rsidP="00CA686D">
      <w:pPr>
        <w:pStyle w:val="ArtNo"/>
        <w:rPr>
          <w:lang w:val="es-ES"/>
        </w:rPr>
      </w:pPr>
      <w:r w:rsidRPr="007B642F">
        <w:rPr>
          <w:lang w:val="es-ES"/>
        </w:rPr>
        <w:t xml:space="preserve">ARTÍCULO </w:t>
      </w:r>
      <w:r w:rsidRPr="007B642F">
        <w:rPr>
          <w:rStyle w:val="href"/>
          <w:lang w:val="es-ES"/>
        </w:rPr>
        <w:t>11</w:t>
      </w:r>
    </w:p>
    <w:p w:rsidR="00F008F3" w:rsidRPr="007B642F" w:rsidRDefault="007B642F" w:rsidP="00CA686D">
      <w:pPr>
        <w:pStyle w:val="Arttitle"/>
        <w:spacing w:before="120"/>
        <w:rPr>
          <w:bCs/>
          <w:lang w:val="es-ES"/>
        </w:rPr>
      </w:pPr>
      <w:r w:rsidRPr="007B642F">
        <w:rPr>
          <w:lang w:val="es-ES"/>
        </w:rPr>
        <w:t>Notificación e inscripción de asignaciones</w:t>
      </w:r>
      <w:r w:rsidRPr="007B642F">
        <w:rPr>
          <w:lang w:val="es-ES"/>
        </w:rPr>
        <w:br/>
        <w:t>de frecuencia</w:t>
      </w:r>
      <w:r w:rsidRPr="007B642F">
        <w:rPr>
          <w:rStyle w:val="FootnoteReference"/>
          <w:bCs/>
          <w:szCs w:val="18"/>
          <w:lang w:val="es-ES"/>
        </w:rPr>
        <w:t>1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2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3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4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5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6</w:t>
      </w:r>
      <w:r w:rsidRPr="007B642F">
        <w:rPr>
          <w:bCs/>
          <w:position w:val="6"/>
          <w:sz w:val="18"/>
          <w:szCs w:val="18"/>
          <w:lang w:val="es-ES"/>
        </w:rPr>
        <w:t xml:space="preserve">, </w:t>
      </w:r>
      <w:r w:rsidRPr="007B642F">
        <w:rPr>
          <w:rStyle w:val="FootnoteReference"/>
          <w:bCs/>
          <w:szCs w:val="18"/>
          <w:lang w:val="es-ES"/>
        </w:rPr>
        <w:t>7</w:t>
      </w:r>
      <w:r w:rsidRPr="007B642F">
        <w:rPr>
          <w:rStyle w:val="FootnoteReference"/>
          <w:bCs/>
          <w:szCs w:val="18"/>
          <w:lang w:val="es-ES"/>
        </w:rPr>
        <w:t>,</w:t>
      </w:r>
      <w:r w:rsidRPr="007B642F">
        <w:rPr>
          <w:bCs/>
          <w:sz w:val="18"/>
          <w:szCs w:val="18"/>
          <w:lang w:val="es-ES"/>
        </w:rPr>
        <w:t xml:space="preserve"> </w:t>
      </w:r>
      <w:r w:rsidRPr="007B642F">
        <w:rPr>
          <w:bCs/>
          <w:position w:val="6"/>
          <w:sz w:val="18"/>
          <w:szCs w:val="18"/>
          <w:lang w:val="es-ES"/>
        </w:rPr>
        <w:t>7</w:t>
      </w:r>
      <w:r w:rsidRPr="007B642F">
        <w:rPr>
          <w:bCs/>
          <w:i/>
          <w:iCs/>
          <w:position w:val="6"/>
          <w:sz w:val="18"/>
          <w:szCs w:val="18"/>
          <w:lang w:val="es-ES"/>
        </w:rPr>
        <w:t>bis</w:t>
      </w:r>
      <w:r w:rsidRPr="007B642F">
        <w:rPr>
          <w:b w:val="0"/>
          <w:sz w:val="16"/>
          <w:lang w:val="es-ES"/>
        </w:rPr>
        <w:t>     (CMR</w:t>
      </w:r>
      <w:r w:rsidRPr="007B642F">
        <w:rPr>
          <w:b w:val="0"/>
          <w:sz w:val="16"/>
          <w:lang w:val="es-ES"/>
        </w:rPr>
        <w:noBreakHyphen/>
        <w:t>12)</w:t>
      </w:r>
    </w:p>
    <w:p w:rsidR="00CF1067" w:rsidRPr="007B642F" w:rsidRDefault="007B642F" w:rsidP="0032202E">
      <w:pPr>
        <w:pStyle w:val="Reasons"/>
        <w:rPr>
          <w:lang w:val="es-ES"/>
        </w:rPr>
      </w:pPr>
      <w:r w:rsidRPr="007B642F">
        <w:rPr>
          <w:b/>
          <w:lang w:val="es-ES"/>
        </w:rPr>
        <w:t>Motivos:</w:t>
      </w:r>
      <w:r w:rsidRPr="007B642F">
        <w:rPr>
          <w:lang w:val="es-ES"/>
        </w:rPr>
        <w:tab/>
      </w:r>
      <w:r w:rsidR="00CA686D" w:rsidRPr="007B642F">
        <w:rPr>
          <w:rFonts w:eastAsia="SimSun"/>
          <w:lang w:val="es-ES" w:eastAsia="zh-CN"/>
        </w:rPr>
        <w:t>La actual disposición del RR se ha aplicado hasta ahora sin ningún tipo de restricciones. Sin cambios.</w:t>
      </w:r>
    </w:p>
    <w:p w:rsidR="00177BFC" w:rsidRPr="007B642F" w:rsidRDefault="00CF1067" w:rsidP="00CF1067">
      <w:pPr>
        <w:jc w:val="center"/>
        <w:rPr>
          <w:lang w:val="es-ES"/>
        </w:rPr>
      </w:pPr>
      <w:r w:rsidRPr="007B642F">
        <w:rPr>
          <w:lang w:val="es-ES"/>
        </w:rPr>
        <w:t>______________</w:t>
      </w:r>
    </w:p>
    <w:sectPr w:rsidR="00177BFC" w:rsidRPr="007B642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686D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686D"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16298" w:rsidP="00716298">
    <w:pPr>
      <w:pStyle w:val="Footer"/>
      <w:rPr>
        <w:lang w:val="en-US"/>
      </w:rPr>
    </w:pPr>
    <w:r>
      <w:fldChar w:fldCharType="begin"/>
    </w:r>
    <w:r w:rsidRPr="00716298">
      <w:rPr>
        <w:lang w:val="en-US"/>
      </w:rPr>
      <w:instrText xml:space="preserve"> FILENAME \p  \* MERGEFORMAT </w:instrText>
    </w:r>
    <w:r>
      <w:fldChar w:fldCharType="separate"/>
    </w:r>
    <w:r w:rsidR="00BE291A">
      <w:rPr>
        <w:lang w:val="en-US"/>
      </w:rPr>
      <w:t>P:\ESP\ITU-R\CONF-R\CMR15\000\058ADD21ADD08S.docx</w:t>
    </w:r>
    <w:r>
      <w:fldChar w:fldCharType="end"/>
    </w:r>
    <w:r w:rsidR="00BE291A">
      <w:t xml:space="preserve"> (388541)</w:t>
    </w:r>
    <w:r w:rsidRPr="0071629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 w:rsidRPr="0071629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106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58(Add.21)(Add.8)-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77BFC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16298"/>
    <w:rsid w:val="007354E9"/>
    <w:rsid w:val="00765578"/>
    <w:rsid w:val="0077084A"/>
    <w:rsid w:val="007952C7"/>
    <w:rsid w:val="007B642F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91A"/>
    <w:rsid w:val="00BE2E80"/>
    <w:rsid w:val="00BE5EDD"/>
    <w:rsid w:val="00BE6A1F"/>
    <w:rsid w:val="00C126C4"/>
    <w:rsid w:val="00C63EB5"/>
    <w:rsid w:val="00CA686D"/>
    <w:rsid w:val="00CC01E0"/>
    <w:rsid w:val="00CD5FEE"/>
    <w:rsid w:val="00CE60D2"/>
    <w:rsid w:val="00CE7431"/>
    <w:rsid w:val="00CF1067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57A8007-72F6-4D7D-8727-21FC263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EF1F0-57E4-47D7-947E-96850B28693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C01206-0383-48DE-B6BC-7690087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R15-WRC15-C-0058!A21-A8!MSW-S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4</cp:revision>
  <cp:lastPrinted>2003-02-19T20:20:00Z</cp:lastPrinted>
  <dcterms:created xsi:type="dcterms:W3CDTF">2015-10-25T13:59:00Z</dcterms:created>
  <dcterms:modified xsi:type="dcterms:W3CDTF">2015-10-25T13:59:00Z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