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9B5D74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9B5D74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B5D74" w:rsidRDefault="003E1608" w:rsidP="009B5D74">
            <w:pPr>
              <w:pStyle w:val="Adress"/>
              <w:framePr w:hSpace="0" w:wrap="auto" w:xAlign="left" w:yAlign="inline"/>
              <w:rPr>
                <w:rtl/>
              </w:rPr>
            </w:pPr>
            <w:r w:rsidRPr="009B5D74">
              <w:rPr>
                <w:rtl/>
              </w:rPr>
              <w:t xml:space="preserve">الإضافة </w:t>
            </w:r>
            <w:r w:rsidRPr="009B5D74">
              <w:t>11</w:t>
            </w:r>
            <w:r w:rsidRPr="009B5D74">
              <w:br/>
            </w:r>
            <w:r w:rsidRPr="009B5D74">
              <w:rPr>
                <w:rtl/>
              </w:rPr>
              <w:t xml:space="preserve">للوثيقة </w:t>
            </w:r>
            <w:r w:rsidRPr="009B5D74">
              <w:t>58(Add.21)-</w:t>
            </w:r>
            <w:r w:rsidR="009B5D74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9B5D74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B5D74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9B5D74">
              <w:rPr>
                <w:rFonts w:eastAsia="SimSun"/>
              </w:rPr>
              <w:t>16</w:t>
            </w:r>
            <w:r w:rsidRPr="009B5D74">
              <w:rPr>
                <w:rFonts w:eastAsia="SimSun"/>
                <w:rtl/>
              </w:rPr>
              <w:t xml:space="preserve"> أكتوبر </w:t>
            </w:r>
            <w:r w:rsidRPr="009B5D74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9B5D74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B5D74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9B5D74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إندونيسيا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9B5D74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EE31D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EE31D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9B5D7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9B5D74">
              <w:t>(K)7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AE6541" w:rsidP="00A813C6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5B06E2">
        <w:rPr>
          <w:rFonts w:eastAsia="SimSun" w:hint="cs"/>
          <w:rtl/>
          <w:lang w:bidi="ar-EG"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2002</w:t>
      </w:r>
      <w:r w:rsidR="00ED325C">
        <w:rPr>
          <w:rFonts w:eastAsia="SimSun" w:hint="cs"/>
          <w:rtl/>
        </w:rPr>
        <w:t>)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A557B9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ED325C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</w:t>
      </w:r>
      <w:r w:rsidR="00A813C6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534840" w:rsidRPr="00431196" w:rsidRDefault="00AE6541" w:rsidP="00EE31D6">
      <w:pPr>
        <w:rPr>
          <w:rFonts w:eastAsia="SimSun"/>
          <w:spacing w:val="2"/>
          <w:lang w:bidi="ar-EG"/>
        </w:rPr>
      </w:pPr>
      <w:r w:rsidRPr="00431196">
        <w:rPr>
          <w:rFonts w:eastAsia="SimSun"/>
        </w:rPr>
        <w:t>(K)7</w:t>
      </w:r>
      <w:r w:rsidRPr="00431196">
        <w:rPr>
          <w:rFonts w:eastAsia="SimSun"/>
          <w:lang w:bidi="ar-EG"/>
        </w:rPr>
        <w:tab/>
      </w:r>
      <w:r w:rsidRPr="00431196">
        <w:rPr>
          <w:rFonts w:eastAsia="SimSun" w:hint="cs"/>
          <w:spacing w:val="2"/>
          <w:rtl/>
          <w:lang w:bidi="ar-EG"/>
        </w:rPr>
        <w:t>المسألة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/>
          <w:spacing w:val="2"/>
          <w:lang w:bidi="ar-SY"/>
        </w:rPr>
        <w:t>K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 w:hint="cs"/>
          <w:spacing w:val="2"/>
          <w:rtl/>
          <w:lang w:bidi="ar-EG"/>
        </w:rPr>
        <w:t>-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 w:hint="cs"/>
          <w:spacing w:val="2"/>
          <w:rtl/>
          <w:lang w:bidi="ar-EG"/>
        </w:rPr>
        <w:t>إضافة حكم تنظيمي إلى المادة</w:t>
      </w:r>
      <w:r w:rsidR="00EE31D6">
        <w:rPr>
          <w:rFonts w:eastAsia="SimSun" w:hint="cs"/>
          <w:spacing w:val="2"/>
          <w:rtl/>
          <w:lang w:bidi="ar-EG"/>
        </w:rPr>
        <w:t xml:space="preserve"> </w:t>
      </w:r>
      <w:r w:rsidR="00EE31D6" w:rsidRPr="00431196">
        <w:rPr>
          <w:rFonts w:eastAsia="SimSun"/>
          <w:b/>
          <w:bCs/>
          <w:spacing w:val="2"/>
          <w:lang w:bidi="ar-EG"/>
        </w:rPr>
        <w:t>11</w:t>
      </w:r>
      <w:r w:rsidRPr="00431196">
        <w:rPr>
          <w:rFonts w:eastAsia="SimSun" w:hint="cs"/>
          <w:spacing w:val="2"/>
          <w:rtl/>
          <w:lang w:bidi="ar-EG"/>
        </w:rPr>
        <w:t xml:space="preserve"> من لوائح الراديو فيما يتعلق بحالة فشل الإطلاق</w:t>
      </w:r>
    </w:p>
    <w:p w:rsidR="00F16602" w:rsidRDefault="007A101D" w:rsidP="007A101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7A101D" w:rsidRDefault="008B2440" w:rsidP="00A813C6">
      <w:pPr>
        <w:rPr>
          <w:rtl/>
        </w:rPr>
      </w:pPr>
      <w:r>
        <w:rPr>
          <w:rFonts w:hint="cs"/>
          <w:rtl/>
        </w:rPr>
        <w:t>ترى إندونيسيا أن الأحكام الت</w:t>
      </w:r>
      <w:r w:rsidR="00560200">
        <w:rPr>
          <w:rFonts w:hint="cs"/>
          <w:rtl/>
        </w:rPr>
        <w:t>ن</w:t>
      </w:r>
      <w:r>
        <w:rPr>
          <w:rFonts w:hint="cs"/>
          <w:rtl/>
        </w:rPr>
        <w:t>ظيمية الحالية بشأن النطاق غير المخطط لا</w:t>
      </w:r>
      <w:r w:rsidR="00A813C6">
        <w:rPr>
          <w:rFonts w:hint="eastAsia"/>
          <w:rtl/>
        </w:rPr>
        <w:t> </w:t>
      </w:r>
      <w:r>
        <w:rPr>
          <w:rFonts w:hint="cs"/>
          <w:rtl/>
        </w:rPr>
        <w:t xml:space="preserve">تشمل </w:t>
      </w:r>
      <w:r w:rsidR="004F2563">
        <w:rPr>
          <w:rFonts w:hint="cs"/>
          <w:rtl/>
        </w:rPr>
        <w:t>فشل الإطلاق قبل</w:t>
      </w:r>
      <w:r w:rsidR="00D47A27">
        <w:rPr>
          <w:rFonts w:hint="cs"/>
          <w:rtl/>
        </w:rPr>
        <w:t xml:space="preserve"> </w:t>
      </w:r>
      <w:r w:rsidR="004F2563">
        <w:rPr>
          <w:rFonts w:hint="cs"/>
          <w:rtl/>
          <w:lang w:bidi="ar-EG"/>
        </w:rPr>
        <w:t>الدخول في</w:t>
      </w:r>
      <w:r>
        <w:rPr>
          <w:color w:val="000000"/>
          <w:rtl/>
        </w:rPr>
        <w:t xml:space="preserve"> فترة الوضع في</w:t>
      </w:r>
      <w:r w:rsidR="000E2EF5">
        <w:rPr>
          <w:rFonts w:hint="cs"/>
          <w:color w:val="000000"/>
          <w:rtl/>
        </w:rPr>
        <w:t> </w:t>
      </w:r>
      <w:r>
        <w:rPr>
          <w:color w:val="000000"/>
          <w:rtl/>
        </w:rPr>
        <w:t>الخدمة أو إعادة الوضع في الخدمة</w:t>
      </w:r>
      <w:r>
        <w:rPr>
          <w:rFonts w:hint="cs"/>
          <w:color w:val="000000"/>
          <w:rtl/>
        </w:rPr>
        <w:t>. وتدعم إ</w:t>
      </w:r>
      <w:r w:rsidR="00D47A27">
        <w:rPr>
          <w:rFonts w:hint="cs"/>
          <w:color w:val="000000"/>
          <w:rtl/>
        </w:rPr>
        <w:t xml:space="preserve">ندونيسيا وجهة النظر القائلة إن </w:t>
      </w:r>
      <w:r>
        <w:rPr>
          <w:rFonts w:hint="cs"/>
          <w:color w:val="000000"/>
          <w:rtl/>
        </w:rPr>
        <w:t xml:space="preserve">تخصيصات التردد غير المخططة </w:t>
      </w:r>
      <w:r w:rsidR="00D47A27">
        <w:rPr>
          <w:rFonts w:hint="cs"/>
          <w:color w:val="000000"/>
          <w:rtl/>
        </w:rPr>
        <w:t xml:space="preserve">ينبغي أن توفر </w:t>
      </w:r>
      <w:r w:rsidR="00F64F1E">
        <w:rPr>
          <w:rFonts w:hint="cs"/>
          <w:color w:val="000000"/>
          <w:rtl/>
        </w:rPr>
        <w:t>أحكاماً</w:t>
      </w:r>
      <w:r w:rsidR="00D47A27">
        <w:rPr>
          <w:rFonts w:hint="cs"/>
          <w:color w:val="000000"/>
          <w:rtl/>
        </w:rPr>
        <w:t xml:space="preserve"> </w:t>
      </w:r>
      <w:r w:rsidR="00F64F1E">
        <w:rPr>
          <w:rFonts w:hint="cs"/>
          <w:color w:val="000000"/>
          <w:rtl/>
        </w:rPr>
        <w:t>ت</w:t>
      </w:r>
      <w:r w:rsidR="00D47A27">
        <w:rPr>
          <w:rFonts w:hint="cs"/>
          <w:color w:val="000000"/>
          <w:rtl/>
        </w:rPr>
        <w:t>تعلق</w:t>
      </w:r>
      <w:r>
        <w:rPr>
          <w:rFonts w:hint="cs"/>
          <w:color w:val="000000"/>
          <w:rtl/>
        </w:rPr>
        <w:t xml:space="preserve"> </w:t>
      </w:r>
      <w:r w:rsidR="00D47A27">
        <w:rPr>
          <w:rFonts w:hint="cs"/>
          <w:color w:val="000000"/>
          <w:rtl/>
        </w:rPr>
        <w:t>ب</w:t>
      </w:r>
      <w:r w:rsidR="00F64F1E">
        <w:rPr>
          <w:rFonts w:hint="cs"/>
          <w:color w:val="000000"/>
          <w:rtl/>
        </w:rPr>
        <w:t>فشل الإطلاق شبيهة با</w:t>
      </w:r>
      <w:r>
        <w:rPr>
          <w:rFonts w:hint="cs"/>
          <w:color w:val="000000"/>
          <w:rtl/>
        </w:rPr>
        <w:t>ل</w:t>
      </w:r>
      <w:r w:rsidR="00F64F1E">
        <w:rPr>
          <w:rFonts w:hint="cs"/>
          <w:color w:val="000000"/>
          <w:rtl/>
        </w:rPr>
        <w:t>أ</w:t>
      </w:r>
      <w:r>
        <w:rPr>
          <w:rFonts w:hint="cs"/>
          <w:color w:val="000000"/>
          <w:rtl/>
        </w:rPr>
        <w:t>حك</w:t>
      </w:r>
      <w:r w:rsidR="00F64F1E">
        <w:rPr>
          <w:rFonts w:hint="cs"/>
          <w:color w:val="000000"/>
          <w:rtl/>
        </w:rPr>
        <w:t>ا</w:t>
      </w:r>
      <w:r>
        <w:rPr>
          <w:rFonts w:hint="cs"/>
          <w:color w:val="000000"/>
          <w:rtl/>
        </w:rPr>
        <w:t xml:space="preserve">م </w:t>
      </w:r>
      <w:r w:rsidR="00F64F1E">
        <w:rPr>
          <w:rFonts w:hint="cs"/>
          <w:color w:val="000000"/>
          <w:rtl/>
        </w:rPr>
        <w:t xml:space="preserve">المتبعة </w:t>
      </w:r>
      <w:r>
        <w:rPr>
          <w:rFonts w:hint="cs"/>
          <w:color w:val="000000"/>
          <w:rtl/>
        </w:rPr>
        <w:t>في حالة النطاق المخطط. وبالت</w:t>
      </w:r>
      <w:r w:rsidR="00F64F1E">
        <w:rPr>
          <w:rFonts w:hint="cs"/>
          <w:color w:val="000000"/>
          <w:rtl/>
        </w:rPr>
        <w:t>ا</w:t>
      </w:r>
      <w:r>
        <w:rPr>
          <w:rFonts w:hint="cs"/>
          <w:color w:val="000000"/>
          <w:rtl/>
        </w:rPr>
        <w:t>لي تدعم إندونيسيا الأسلوب</w:t>
      </w:r>
      <w:r w:rsidR="00A813C6">
        <w:rPr>
          <w:rFonts w:hint="eastAsia"/>
          <w:color w:val="000000"/>
          <w:rtl/>
        </w:rPr>
        <w:t> </w:t>
      </w:r>
      <w:r>
        <w:rPr>
          <w:color w:val="000000"/>
        </w:rPr>
        <w:t>K2</w:t>
      </w:r>
      <w:r>
        <w:rPr>
          <w:rFonts w:hint="cs"/>
          <w:color w:val="000000"/>
          <w:rtl/>
          <w:lang w:bidi="ar-EG"/>
        </w:rPr>
        <w:t xml:space="preserve"> مع النص التنظيمي </w:t>
      </w:r>
      <w:r>
        <w:rPr>
          <w:color w:val="000000"/>
          <w:rtl/>
        </w:rPr>
        <w:t>المقترح بشأنه كما ورد في</w:t>
      </w:r>
      <w:r w:rsidR="004F2563">
        <w:rPr>
          <w:color w:val="000000"/>
          <w:rtl/>
        </w:rPr>
        <w:t xml:space="preserve"> تقرير الاجتماع</w:t>
      </w:r>
      <w:r w:rsidR="004F2563">
        <w:rPr>
          <w:rFonts w:hint="cs"/>
          <w:color w:val="000000"/>
          <w:rtl/>
        </w:rPr>
        <w:t xml:space="preserve"> التحضيري للمؤتمر</w:t>
      </w:r>
      <w:r w:rsidR="00F64F1E">
        <w:rPr>
          <w:rFonts w:hint="cs"/>
          <w:color w:val="000000"/>
          <w:rtl/>
        </w:rPr>
        <w:t>.</w:t>
      </w:r>
    </w:p>
    <w:p w:rsidR="007A101D" w:rsidRDefault="007A101D" w:rsidP="007A101D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7A101D" w:rsidRDefault="007A101D" w:rsidP="005D6D48"/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Pr="00620278" w:rsidRDefault="00AE6541" w:rsidP="00D02A9E">
      <w:pPr>
        <w:pStyle w:val="ArtNo"/>
        <w:rPr>
          <w:rtl/>
        </w:rPr>
      </w:pPr>
      <w:r w:rsidRPr="00620278">
        <w:rPr>
          <w:rtl/>
        </w:rPr>
        <w:lastRenderedPageBreak/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AE6541" w:rsidP="00D02A9E">
      <w:pPr>
        <w:pStyle w:val="Arttitl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 w:rsidRPr="00A813C6">
        <w:rPr>
          <w:rStyle w:val="FootnoteReference"/>
          <w:bCs w:val="0"/>
          <w:rtl/>
        </w:rPr>
        <w:t>1</w:t>
      </w:r>
      <w:r w:rsidRPr="00A813C6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A813C6">
        <w:rPr>
          <w:rFonts w:hint="cs"/>
          <w:bCs w:val="0"/>
          <w:position w:val="6"/>
          <w:sz w:val="18"/>
          <w:szCs w:val="24"/>
          <w:rtl/>
        </w:rPr>
        <w:t xml:space="preserve"> </w:t>
      </w:r>
      <w:r w:rsidRPr="00A813C6">
        <w:rPr>
          <w:rStyle w:val="FootnoteReference"/>
          <w:bCs w:val="0"/>
          <w:rtl/>
        </w:rPr>
        <w:t>2</w:t>
      </w:r>
      <w:r w:rsidRPr="00A813C6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A813C6">
        <w:rPr>
          <w:rFonts w:hint="cs"/>
          <w:bCs w:val="0"/>
          <w:position w:val="6"/>
          <w:sz w:val="18"/>
          <w:szCs w:val="24"/>
          <w:rtl/>
        </w:rPr>
        <w:t xml:space="preserve"> </w:t>
      </w:r>
      <w:r w:rsidRPr="00A813C6">
        <w:rPr>
          <w:rStyle w:val="FootnoteReference"/>
          <w:bCs w:val="0"/>
          <w:rtl/>
        </w:rPr>
        <w:t>3</w:t>
      </w:r>
      <w:r w:rsidRPr="00A813C6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A813C6">
        <w:rPr>
          <w:rFonts w:hint="cs"/>
          <w:bCs w:val="0"/>
          <w:position w:val="6"/>
          <w:sz w:val="18"/>
          <w:szCs w:val="24"/>
          <w:rtl/>
        </w:rPr>
        <w:t xml:space="preserve"> </w:t>
      </w:r>
      <w:r w:rsidRPr="00A813C6">
        <w:rPr>
          <w:rStyle w:val="FootnoteReference"/>
          <w:bCs w:val="0"/>
          <w:rtl/>
        </w:rPr>
        <w:t>4</w:t>
      </w:r>
      <w:r w:rsidRPr="00A813C6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A813C6">
        <w:rPr>
          <w:bCs w:val="0"/>
          <w:position w:val="6"/>
          <w:sz w:val="18"/>
          <w:szCs w:val="24"/>
          <w:rtl/>
        </w:rPr>
        <w:t xml:space="preserve"> </w:t>
      </w:r>
      <w:r w:rsidRPr="00A813C6">
        <w:rPr>
          <w:rStyle w:val="FootnoteReference"/>
          <w:bCs w:val="0"/>
          <w:rtl/>
        </w:rPr>
        <w:t>5</w:t>
      </w:r>
      <w:r w:rsidRPr="00A813C6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A813C6">
        <w:rPr>
          <w:bCs w:val="0"/>
          <w:position w:val="6"/>
          <w:sz w:val="18"/>
          <w:szCs w:val="24"/>
          <w:rtl/>
        </w:rPr>
        <w:t xml:space="preserve"> </w:t>
      </w:r>
      <w:r w:rsidRPr="00A813C6">
        <w:rPr>
          <w:rStyle w:val="FootnoteReference"/>
          <w:bCs w:val="0"/>
          <w:rtl/>
        </w:rPr>
        <w:t>6</w:t>
      </w:r>
      <w:r w:rsidRPr="00A813C6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A813C6">
        <w:rPr>
          <w:rFonts w:hint="cs"/>
          <w:bCs w:val="0"/>
          <w:position w:val="6"/>
          <w:sz w:val="18"/>
          <w:szCs w:val="24"/>
          <w:rtl/>
        </w:rPr>
        <w:t xml:space="preserve"> </w:t>
      </w:r>
      <w:r w:rsidRPr="00A813C6">
        <w:rPr>
          <w:rStyle w:val="FootnoteReference"/>
          <w:bCs w:val="0"/>
          <w:rtl/>
        </w:rPr>
        <w:t>7</w:t>
      </w:r>
      <w:r w:rsidRPr="00A813C6">
        <w:rPr>
          <w:rFonts w:hint="cs"/>
          <w:bCs w:val="0"/>
          <w:position w:val="-4"/>
          <w:szCs w:val="28"/>
          <w:vertAlign w:val="superscript"/>
          <w:rtl/>
        </w:rPr>
        <w:t xml:space="preserve">، </w:t>
      </w:r>
      <w:r w:rsidRPr="00A813C6">
        <w:rPr>
          <w:rStyle w:val="FootnoteReference"/>
          <w:bCs w:val="0"/>
          <w:rtl/>
        </w:rPr>
        <w:t>7</w:t>
      </w:r>
      <w:r w:rsidRPr="00A813C6">
        <w:rPr>
          <w:rStyle w:val="FootnoteReference"/>
          <w:rFonts w:ascii="Times New Roman Bold" w:hAnsi="Times New Roman Bold" w:cs="Traditional Arabic"/>
          <w:bCs w:val="0"/>
          <w:i/>
          <w:iCs/>
          <w:rtl/>
        </w:rPr>
        <w:t>مكرراً</w:t>
      </w:r>
      <w:r w:rsidRPr="00A813C6">
        <w:rPr>
          <w:rFonts w:hint="cs"/>
          <w:bCs w:val="0"/>
          <w:i/>
          <w:iCs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FC7D09" w:rsidRDefault="00AE6541">
      <w:pPr>
        <w:pStyle w:val="Proposal"/>
      </w:pPr>
      <w:r>
        <w:t>ADD</w:t>
      </w:r>
      <w:r>
        <w:tab/>
        <w:t>INS/58A21A11/1</w:t>
      </w:r>
      <w:r w:rsidR="004658F0">
        <w:rPr>
          <w:rFonts w:hint="cs"/>
          <w:rtl/>
        </w:rPr>
        <w:t> </w:t>
      </w:r>
      <w:bookmarkStart w:id="2" w:name="_GoBack"/>
      <w:bookmarkEnd w:id="2"/>
    </w:p>
    <w:p w:rsidR="00DE0807" w:rsidRPr="00DE0807" w:rsidRDefault="00AE6541" w:rsidP="00DE0807">
      <w:pPr>
        <w:rPr>
          <w:rtl/>
          <w:lang w:bidi="ar-EG"/>
        </w:rPr>
      </w:pPr>
      <w:r>
        <w:rPr>
          <w:rStyle w:val="Artdef"/>
          <w:rFonts w:ascii="Times New Roman"/>
        </w:rPr>
        <w:t>XX</w:t>
      </w:r>
      <w:r w:rsidR="00DE0807">
        <w:rPr>
          <w:rStyle w:val="Artdef"/>
          <w:rFonts w:ascii="Times New Roman"/>
        </w:rPr>
        <w:t>.11</w:t>
      </w:r>
      <w:r>
        <w:tab/>
      </w:r>
      <w:r w:rsidR="00DE0807" w:rsidRPr="00DE0807">
        <w:rPr>
          <w:rFonts w:hint="cs"/>
          <w:rtl/>
          <w:lang w:bidi="ar-EG"/>
        </w:rPr>
        <w:t>في حالة تعطل ساتل أُطلق حديثاً قبل الدخول في فترة الوضع في الخدمة أو إعادة الوضع، بسبب فشل الإطلاق في</w:t>
      </w:r>
      <w:r w:rsidR="00DE0807" w:rsidRPr="00DE0807">
        <w:rPr>
          <w:rFonts w:hint="eastAsia"/>
          <w:rtl/>
          <w:lang w:bidi="ar-EG"/>
        </w:rPr>
        <w:t> </w:t>
      </w:r>
      <w:r w:rsidR="00DE0807" w:rsidRPr="00DE0807">
        <w:rPr>
          <w:rFonts w:hint="cs"/>
          <w:rtl/>
          <w:lang w:bidi="ar-EG"/>
        </w:rPr>
        <w:t>الحالة التالية:</w:t>
      </w:r>
    </w:p>
    <w:p w:rsidR="00DE0807" w:rsidRPr="00DE0807" w:rsidRDefault="00DE0807" w:rsidP="00DE0807">
      <w:pPr>
        <w:pStyle w:val="enumlev1"/>
        <w:rPr>
          <w:rtl/>
          <w:lang w:bidi="ar-SY"/>
        </w:rPr>
      </w:pPr>
      <w:r w:rsidRPr="00DE0807">
        <w:rPr>
          <w:rtl/>
          <w:lang w:bidi="ar-SY"/>
        </w:rPr>
        <w:t>-</w:t>
      </w:r>
      <w:r w:rsidRPr="00DE0807">
        <w:rPr>
          <w:rtl/>
          <w:lang w:bidi="ar-SY"/>
        </w:rPr>
        <w:tab/>
      </w:r>
      <w:r w:rsidRPr="00DE0807">
        <w:rPr>
          <w:rFonts w:hint="cs"/>
          <w:rtl/>
          <w:lang w:bidi="ar-SY"/>
        </w:rPr>
        <w:t>تعرض الساتل الذي أطلق وكان يتوخى منه وضع التخصيص في الخدمة أو إعادة وضعه في الخدمة للتدمير،</w:t>
      </w:r>
    </w:p>
    <w:p w:rsidR="00DE0807" w:rsidRPr="00DE0807" w:rsidRDefault="00DE0807" w:rsidP="00DE0807">
      <w:pPr>
        <w:rPr>
          <w:rtl/>
          <w:lang w:val="ar-SA"/>
        </w:rPr>
      </w:pPr>
      <w:r w:rsidRPr="00DE0807">
        <w:rPr>
          <w:rtl/>
          <w:lang w:val="ar-SA"/>
        </w:rPr>
        <w:t>يجوز للإدارة المبلغة أن تعرض الحالة على اللجنة</w:t>
      </w:r>
      <w:r w:rsidRPr="00DE0807">
        <w:rPr>
          <w:rFonts w:hint="cs"/>
          <w:rtl/>
        </w:rPr>
        <w:t xml:space="preserve"> في غضون شهر واحد من فشل الإطلاق، </w:t>
      </w:r>
      <w:r w:rsidRPr="00DE0807">
        <w:rPr>
          <w:rtl/>
          <w:lang w:val="ar-SA"/>
        </w:rPr>
        <w:t>للنظر فيها وبحثها بدقة</w:t>
      </w:r>
      <w:r w:rsidRPr="00DE0807">
        <w:rPr>
          <w:rFonts w:hint="cs"/>
          <w:rtl/>
          <w:lang w:val="ar-SA"/>
        </w:rPr>
        <w:t xml:space="preserve">، مع مراعاة </w:t>
      </w:r>
      <w:r w:rsidRPr="00DE0807">
        <w:rPr>
          <w:rtl/>
          <w:lang w:val="ar-SA"/>
        </w:rPr>
        <w:t xml:space="preserve">جميع المواد الداعمة، بما فيها تفاصيل عن الساتل الذي تعطل، وذلك لتمكين اللجنة من اتخاذ قرار بشأن </w:t>
      </w:r>
      <w:r w:rsidRPr="00DE0807">
        <w:rPr>
          <w:rFonts w:hint="cs"/>
          <w:rtl/>
          <w:lang w:val="ar-SA"/>
        </w:rPr>
        <w:t>المسألة</w:t>
      </w:r>
      <w:r w:rsidRPr="00DE0807">
        <w:rPr>
          <w:rtl/>
          <w:lang w:val="ar-SA"/>
        </w:rPr>
        <w:t xml:space="preserve"> حسب الاقتضاء.</w:t>
      </w:r>
    </w:p>
    <w:p w:rsidR="00DE0807" w:rsidRPr="00DE0807" w:rsidRDefault="00DE0807" w:rsidP="00DE0807">
      <w:pPr>
        <w:rPr>
          <w:rtl/>
        </w:rPr>
      </w:pPr>
      <w:r w:rsidRPr="00DE0807">
        <w:rPr>
          <w:rFonts w:hint="cs"/>
          <w:rtl/>
          <w:lang w:bidi="ar-SY"/>
        </w:rPr>
        <w:t>ول</w:t>
      </w:r>
      <w:r w:rsidRPr="00DE0807">
        <w:rPr>
          <w:rtl/>
          <w:lang w:bidi="ar-SY"/>
        </w:rPr>
        <w:t>كي</w:t>
      </w:r>
      <w:r w:rsidRPr="00DE0807">
        <w:rPr>
          <w:rFonts w:hint="cs"/>
          <w:rtl/>
          <w:lang w:bidi="ar-SY"/>
        </w:rPr>
        <w:t xml:space="preserve"> تم</w:t>
      </w:r>
      <w:r w:rsidRPr="00DE0807">
        <w:rPr>
          <w:rtl/>
          <w:lang w:bidi="ar-SY"/>
        </w:rPr>
        <w:t xml:space="preserve">نح </w:t>
      </w:r>
      <w:r w:rsidRPr="00DE0807">
        <w:rPr>
          <w:rFonts w:hint="cs"/>
          <w:rtl/>
          <w:lang w:bidi="ar-SY"/>
        </w:rPr>
        <w:t xml:space="preserve">اللجنة أي </w:t>
      </w:r>
      <w:r w:rsidRPr="00DE0807">
        <w:rPr>
          <w:rtl/>
          <w:lang w:bidi="ar-SY"/>
        </w:rPr>
        <w:t xml:space="preserve">تمديد، يجب أن يكون فشل الإطلاق قد حدث بعد </w:t>
      </w:r>
      <w:r w:rsidRPr="00DE0807">
        <w:rPr>
          <w:rFonts w:hint="cs"/>
          <w:rtl/>
          <w:lang w:bidi="ar-SY"/>
        </w:rPr>
        <w:t>أربع</w:t>
      </w:r>
      <w:r w:rsidRPr="00DE0807">
        <w:rPr>
          <w:rtl/>
          <w:lang w:bidi="ar-SY"/>
        </w:rPr>
        <w:t xml:space="preserve"> سنوات على الأقل من تاريخ استلام </w:t>
      </w:r>
      <w:r w:rsidRPr="00DE0807">
        <w:rPr>
          <w:rFonts w:hint="cs"/>
          <w:rtl/>
          <w:lang w:bidi="ar-SY"/>
        </w:rPr>
        <w:t>المعلومات</w:t>
      </w:r>
      <w:r w:rsidRPr="00DE0807">
        <w:rPr>
          <w:rtl/>
          <w:lang w:bidi="ar-SY"/>
        </w:rPr>
        <w:t xml:space="preserve"> الكاملة بموجب </w:t>
      </w:r>
      <w:r w:rsidRPr="00DE0807">
        <w:rPr>
          <w:rFonts w:hint="cs"/>
          <w:rtl/>
          <w:lang w:bidi="ar-SY"/>
        </w:rPr>
        <w:t xml:space="preserve">الرقم </w:t>
      </w:r>
      <w:r w:rsidRPr="00DE0807">
        <w:rPr>
          <w:b/>
          <w:bCs/>
        </w:rPr>
        <w:t>1.9</w:t>
      </w:r>
      <w:r w:rsidRPr="00DE0807">
        <w:rPr>
          <w:rFonts w:hint="cs"/>
          <w:rtl/>
          <w:lang w:bidi="ar-SY"/>
        </w:rPr>
        <w:t xml:space="preserve">، أو يكون قد حدث خلال فترة التعليق بموجب الرقم </w:t>
      </w:r>
      <w:r w:rsidRPr="00DE0807">
        <w:rPr>
          <w:b/>
          <w:bCs/>
        </w:rPr>
        <w:t>49.11</w:t>
      </w:r>
      <w:r w:rsidRPr="00DE0807">
        <w:rPr>
          <w:rFonts w:hint="cs"/>
          <w:rtl/>
          <w:lang w:bidi="ar-SY"/>
        </w:rPr>
        <w:t xml:space="preserve">، حسب الاقتضاء. ولا يجوز </w:t>
      </w:r>
      <w:r w:rsidRPr="00DE0807">
        <w:rPr>
          <w:rtl/>
          <w:lang w:bidi="ar-SY"/>
        </w:rPr>
        <w:t>بأي حال أن</w:t>
      </w:r>
      <w:r w:rsidRPr="00DE0807">
        <w:rPr>
          <w:rFonts w:hint="cs"/>
          <w:rtl/>
          <w:lang w:bidi="ar-SY"/>
        </w:rPr>
        <w:t> </w:t>
      </w:r>
      <w:r w:rsidRPr="00DE0807">
        <w:rPr>
          <w:rtl/>
          <w:lang w:bidi="ar-SY"/>
        </w:rPr>
        <w:t>تزيد فترة تمديد المهلة الزمنية التنظيمية عن الفارق الزمني بين فترة ثلاث سنوات والفترة المتبقية من تاريخ فشل الإطلاق حتى نهاية المهلة الزمنية التنظيمية.</w:t>
      </w:r>
    </w:p>
    <w:p w:rsidR="00DE0807" w:rsidRDefault="00DE0807" w:rsidP="00DE0807">
      <w:pPr>
        <w:rPr>
          <w:rFonts w:hint="cs"/>
          <w:sz w:val="16"/>
          <w:szCs w:val="24"/>
          <w:rtl/>
          <w:lang w:val="en-GB" w:bidi="ar-EG"/>
        </w:rPr>
      </w:pPr>
      <w:r w:rsidRPr="00DE0807">
        <w:rPr>
          <w:rtl/>
          <w:lang w:val="ar-SA"/>
        </w:rPr>
        <w:t xml:space="preserve">وعند النظر في </w:t>
      </w:r>
      <w:r w:rsidRPr="00DE0807">
        <w:rPr>
          <w:rFonts w:hint="cs"/>
          <w:rtl/>
          <w:lang w:val="ar-SA"/>
        </w:rPr>
        <w:t>هذه المسألة،</w:t>
      </w:r>
      <w:r w:rsidRPr="00DE0807">
        <w:rPr>
          <w:rtl/>
          <w:lang w:val="ar-SA"/>
        </w:rPr>
        <w:t xml:space="preserve"> </w:t>
      </w:r>
      <w:r w:rsidRPr="00DE0807">
        <w:rPr>
          <w:rFonts w:hint="cs"/>
          <w:rtl/>
          <w:lang w:val="ar-SA"/>
        </w:rPr>
        <w:t>يجوز</w:t>
      </w:r>
      <w:r w:rsidRPr="00DE0807">
        <w:rPr>
          <w:rtl/>
          <w:lang w:val="ar-SA"/>
        </w:rPr>
        <w:t xml:space="preserve"> للجنة أن تحدد </w:t>
      </w:r>
      <w:r w:rsidRPr="00DE0807">
        <w:rPr>
          <w:rFonts w:hint="cs"/>
          <w:rtl/>
          <w:lang w:val="ar-SA"/>
        </w:rPr>
        <w:t>على أساس</w:t>
      </w:r>
      <w:r w:rsidRPr="00DE0807">
        <w:rPr>
          <w:rtl/>
          <w:lang w:val="ar-SA"/>
        </w:rPr>
        <w:t xml:space="preserve"> كل حالة على حدة </w:t>
      </w:r>
      <w:r w:rsidRPr="00DE0807">
        <w:rPr>
          <w:rFonts w:hint="cs"/>
          <w:rtl/>
          <w:lang w:val="ar-SA"/>
        </w:rPr>
        <w:t>إن</w:t>
      </w:r>
      <w:r w:rsidRPr="00DE0807">
        <w:rPr>
          <w:rtl/>
          <w:lang w:val="ar-SA"/>
        </w:rPr>
        <w:t xml:space="preserve"> كان من الملائم تطبيق أحكام الرقم</w:t>
      </w:r>
      <w:r w:rsidRPr="00DE0807">
        <w:rPr>
          <w:rFonts w:hint="eastAsia"/>
          <w:rtl/>
          <w:lang w:val="ar-SA"/>
        </w:rPr>
        <w:t> </w:t>
      </w:r>
      <w:r w:rsidRPr="00DE0807">
        <w:rPr>
          <w:b/>
          <w:bCs/>
        </w:rPr>
        <w:t>44B.11</w:t>
      </w:r>
      <w:r w:rsidRPr="00DE0807">
        <w:rPr>
          <w:rtl/>
          <w:lang w:val="ar-SA"/>
        </w:rPr>
        <w:t xml:space="preserve"> </w:t>
      </w:r>
      <w:r w:rsidRPr="00DE0807">
        <w:rPr>
          <w:rFonts w:hint="cs"/>
          <w:rtl/>
          <w:lang w:val="ar-SA"/>
        </w:rPr>
        <w:t>أو الرقم</w:t>
      </w:r>
      <w:r w:rsidRPr="00DE0807">
        <w:rPr>
          <w:rFonts w:hint="eastAsia"/>
          <w:rtl/>
          <w:lang w:val="ar-SA"/>
        </w:rPr>
        <w:t> </w:t>
      </w:r>
      <w:r w:rsidRPr="00DE0807">
        <w:rPr>
          <w:b/>
          <w:bCs/>
        </w:rPr>
        <w:t>49.11</w:t>
      </w:r>
      <w:r w:rsidRPr="00DE0807">
        <w:rPr>
          <w:rFonts w:hint="cs"/>
          <w:rtl/>
          <w:lang w:val="ar-SA"/>
        </w:rPr>
        <w:t xml:space="preserve"> </w:t>
      </w:r>
      <w:r w:rsidRPr="00DE0807">
        <w:rPr>
          <w:rtl/>
          <w:lang w:val="ar-SA"/>
        </w:rPr>
        <w:t xml:space="preserve">على </w:t>
      </w:r>
      <w:r w:rsidRPr="00DE0807">
        <w:rPr>
          <w:rFonts w:hint="cs"/>
          <w:rtl/>
          <w:lang w:val="ar-SA"/>
        </w:rPr>
        <w:t>تخصيصات</w:t>
      </w:r>
      <w:r w:rsidRPr="00DE0807">
        <w:rPr>
          <w:rtl/>
          <w:lang w:val="ar-SA"/>
        </w:rPr>
        <w:t xml:space="preserve"> التردد المعنية في</w:t>
      </w:r>
      <w:r w:rsidRPr="00DE0807">
        <w:rPr>
          <w:rFonts w:hint="cs"/>
          <w:rtl/>
          <w:lang w:val="ar-SA"/>
        </w:rPr>
        <w:t> </w:t>
      </w:r>
      <w:r w:rsidRPr="00DE0807">
        <w:rPr>
          <w:rtl/>
          <w:lang w:val="ar-SA"/>
        </w:rPr>
        <w:t>هذه الحالة.</w:t>
      </w:r>
      <w:r w:rsidRPr="008930CC">
        <w:rPr>
          <w:rFonts w:hint="eastAsia"/>
          <w:sz w:val="16"/>
          <w:szCs w:val="24"/>
          <w:rtl/>
          <w:lang w:bidi="ar-EG"/>
        </w:rPr>
        <w:t> </w:t>
      </w:r>
      <w:r w:rsidRPr="008930CC">
        <w:rPr>
          <w:rFonts w:hint="cs"/>
          <w:sz w:val="16"/>
          <w:szCs w:val="24"/>
          <w:rtl/>
          <w:lang w:bidi="ar-EG"/>
        </w:rPr>
        <w:t>  </w:t>
      </w:r>
      <w:r w:rsidRPr="008930CC">
        <w:rPr>
          <w:rFonts w:hint="eastAsia"/>
          <w:sz w:val="16"/>
          <w:szCs w:val="24"/>
          <w:rtl/>
          <w:lang w:bidi="ar-EG"/>
        </w:rPr>
        <w:t>   </w:t>
      </w:r>
      <w:r w:rsidRPr="008930CC">
        <w:rPr>
          <w:sz w:val="16"/>
          <w:szCs w:val="24"/>
          <w:lang w:val="en-GB"/>
        </w:rPr>
        <w:t>(WRC</w:t>
      </w:r>
      <w:r w:rsidRPr="008930CC">
        <w:rPr>
          <w:sz w:val="16"/>
          <w:szCs w:val="24"/>
          <w:lang w:val="en-GB"/>
        </w:rPr>
        <w:noBreakHyphen/>
        <w:t>15)</w:t>
      </w:r>
    </w:p>
    <w:p w:rsidR="004206F9" w:rsidRPr="00DE0807" w:rsidRDefault="004206F9" w:rsidP="004206F9">
      <w:pPr>
        <w:pStyle w:val="Reasons"/>
        <w:rPr>
          <w:rFonts w:hint="cs"/>
          <w:rtl/>
          <w:lang w:bidi="ar-EG"/>
        </w:rPr>
      </w:pPr>
    </w:p>
    <w:p w:rsidR="00DE0807" w:rsidRPr="007B2117" w:rsidRDefault="00DE0807" w:rsidP="007B2117">
      <w:pPr>
        <w:pStyle w:val="Note"/>
        <w:rPr>
          <w:b w:val="0"/>
          <w:bCs w:val="0"/>
          <w:i/>
          <w:iCs/>
          <w:rtl/>
        </w:rPr>
      </w:pPr>
      <w:r w:rsidRPr="007B2117">
        <w:rPr>
          <w:rFonts w:hint="cs"/>
          <w:i/>
          <w:iCs/>
          <w:rtl/>
        </w:rPr>
        <w:t>ملاحظة</w:t>
      </w:r>
      <w:r w:rsidR="007B2117">
        <w:rPr>
          <w:rFonts w:hint="cs"/>
          <w:i/>
          <w:iCs/>
          <w:rtl/>
        </w:rPr>
        <w:t xml:space="preserve"> </w:t>
      </w:r>
      <w:r w:rsidR="007B2117" w:rsidRPr="007B2117">
        <w:rPr>
          <w:rFonts w:hint="cs"/>
          <w:b w:val="0"/>
          <w:bCs w:val="0"/>
          <w:i/>
          <w:iCs/>
          <w:rtl/>
        </w:rPr>
        <w:t>-</w:t>
      </w:r>
      <w:r w:rsidRPr="007B2117">
        <w:rPr>
          <w:rFonts w:hint="cs"/>
          <w:b w:val="0"/>
          <w:bCs w:val="0"/>
          <w:i/>
          <w:iCs/>
          <w:rtl/>
        </w:rPr>
        <w:t xml:space="preserve"> إن إدراج حالات إضافية لفشل الإطلاق هو موضوع للمزيد من المناقشات في المؤتمر </w:t>
      </w:r>
      <w:r w:rsidRPr="007B2117">
        <w:rPr>
          <w:b w:val="0"/>
          <w:bCs w:val="0"/>
          <w:i/>
          <w:iCs/>
          <w:lang w:bidi="ar-SA"/>
        </w:rPr>
        <w:t>WRC-15</w:t>
      </w:r>
      <w:r w:rsidRPr="007B2117">
        <w:rPr>
          <w:rFonts w:hint="cs"/>
          <w:b w:val="0"/>
          <w:bCs w:val="0"/>
          <w:i/>
          <w:iCs/>
          <w:rtl/>
        </w:rPr>
        <w:t>.</w:t>
      </w:r>
    </w:p>
    <w:p w:rsidR="00FC7D09" w:rsidRDefault="00FC7D09">
      <w:pPr>
        <w:pStyle w:val="Reasons"/>
        <w:rPr>
          <w:rtl/>
        </w:rPr>
      </w:pPr>
    </w:p>
    <w:p w:rsidR="00DE0807" w:rsidRPr="00DE0807" w:rsidRDefault="00DE0807" w:rsidP="008930CC">
      <w:pPr>
        <w:jc w:val="center"/>
      </w:pPr>
      <w:r>
        <w:rPr>
          <w:rtl/>
        </w:rPr>
        <w:t>___________</w:t>
      </w:r>
    </w:p>
    <w:sectPr w:rsidR="00DE0807" w:rsidRPr="00DE0807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41" w:rsidRPr="00AE6541" w:rsidRDefault="00AE6541" w:rsidP="00AE6541">
    <w:pPr>
      <w:pStyle w:val="Footer"/>
    </w:pPr>
    <w:r>
      <w:fldChar w:fldCharType="begin"/>
    </w:r>
    <w:r w:rsidRPr="00AE6541">
      <w:instrText xml:space="preserve"> FILENAME \p \* MERGEFORMAT </w:instrText>
    </w:r>
    <w:r>
      <w:fldChar w:fldCharType="separate"/>
    </w:r>
    <w:r w:rsidR="00A557B9">
      <w:rPr>
        <w:noProof/>
      </w:rPr>
      <w:t>P:\ARA\ITU-R\CONF-R\CMR15\000\058ADD21ADD11A.docx</w:t>
    </w:r>
    <w:r>
      <w:fldChar w:fldCharType="end"/>
    </w:r>
    <w:r w:rsidRPr="00AE6541">
      <w:t xml:space="preserve">   (</w:t>
    </w:r>
    <w:r>
      <w:t>388543</w:t>
    </w:r>
    <w:r w:rsidRPr="00AE6541">
      <w:t>)</w:t>
    </w:r>
    <w:r w:rsidRPr="00AE6541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E31D6">
      <w:rPr>
        <w:noProof/>
      </w:rPr>
      <w:t>28.10.15</w:t>
    </w:r>
    <w:r w:rsidRPr="00B12661">
      <w:fldChar w:fldCharType="end"/>
    </w:r>
    <w:r w:rsidRPr="00AE6541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E6541" w:rsidRDefault="00281F5F" w:rsidP="00AE6541">
    <w:pPr>
      <w:pStyle w:val="Footer"/>
    </w:pPr>
    <w:r>
      <w:fldChar w:fldCharType="begin"/>
    </w:r>
    <w:r w:rsidRPr="00AE6541">
      <w:instrText xml:space="preserve"> FILENAME \p \* MERGEFORMAT </w:instrText>
    </w:r>
    <w:r>
      <w:fldChar w:fldCharType="separate"/>
    </w:r>
    <w:r w:rsidR="00A557B9">
      <w:rPr>
        <w:noProof/>
      </w:rPr>
      <w:t>P:\ARA\ITU-R\CONF-R\CMR15\000\058ADD21ADD11A.docx</w:t>
    </w:r>
    <w:r>
      <w:fldChar w:fldCharType="end"/>
    </w:r>
    <w:r w:rsidRPr="00AE6541">
      <w:t xml:space="preserve">   (</w:t>
    </w:r>
    <w:r w:rsidR="00AE6541">
      <w:t>388543</w:t>
    </w:r>
    <w:r w:rsidRPr="00AE6541">
      <w:t>)</w:t>
    </w:r>
    <w:r w:rsidRPr="00AE6541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E31D6">
      <w:rPr>
        <w:noProof/>
      </w:rPr>
      <w:t>28.10.15</w:t>
    </w:r>
    <w:r w:rsidRPr="00B12661">
      <w:fldChar w:fldCharType="end"/>
    </w:r>
    <w:r w:rsidRPr="00AE6541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E6541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813C6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58(Add.21)(Add.11)-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2EF5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41A4"/>
    <w:rsid w:val="003E02EF"/>
    <w:rsid w:val="003E1608"/>
    <w:rsid w:val="003E1D90"/>
    <w:rsid w:val="00400CD4"/>
    <w:rsid w:val="004147B9"/>
    <w:rsid w:val="004206F9"/>
    <w:rsid w:val="00422C04"/>
    <w:rsid w:val="00426144"/>
    <w:rsid w:val="00461FA7"/>
    <w:rsid w:val="004658F0"/>
    <w:rsid w:val="00470149"/>
    <w:rsid w:val="00470CBD"/>
    <w:rsid w:val="0047407D"/>
    <w:rsid w:val="0047573E"/>
    <w:rsid w:val="004909DD"/>
    <w:rsid w:val="004A0214"/>
    <w:rsid w:val="004A05E6"/>
    <w:rsid w:val="004A6C66"/>
    <w:rsid w:val="004A7AA0"/>
    <w:rsid w:val="004C11BC"/>
    <w:rsid w:val="004D4AE6"/>
    <w:rsid w:val="004E34FA"/>
    <w:rsid w:val="004F2563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0200"/>
    <w:rsid w:val="00564746"/>
    <w:rsid w:val="0056512C"/>
    <w:rsid w:val="00576D0A"/>
    <w:rsid w:val="00576FCC"/>
    <w:rsid w:val="00583FD1"/>
    <w:rsid w:val="00584333"/>
    <w:rsid w:val="005930D8"/>
    <w:rsid w:val="005953EC"/>
    <w:rsid w:val="005B00A1"/>
    <w:rsid w:val="005B06E2"/>
    <w:rsid w:val="005C29C8"/>
    <w:rsid w:val="005C5D25"/>
    <w:rsid w:val="005D6D48"/>
    <w:rsid w:val="005D72A4"/>
    <w:rsid w:val="005E1A4D"/>
    <w:rsid w:val="005F05CC"/>
    <w:rsid w:val="005F65DE"/>
    <w:rsid w:val="00613492"/>
    <w:rsid w:val="006315B5"/>
    <w:rsid w:val="00651343"/>
    <w:rsid w:val="0065562F"/>
    <w:rsid w:val="00673BF1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101D"/>
    <w:rsid w:val="007A77AB"/>
    <w:rsid w:val="007B1FCA"/>
    <w:rsid w:val="007B2117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0CC"/>
    <w:rsid w:val="00893E53"/>
    <w:rsid w:val="008A1137"/>
    <w:rsid w:val="008A1788"/>
    <w:rsid w:val="008A4185"/>
    <w:rsid w:val="008A6552"/>
    <w:rsid w:val="008B2440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B5D74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57B9"/>
    <w:rsid w:val="00A66D2B"/>
    <w:rsid w:val="00A813C6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6541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24DB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47A27"/>
    <w:rsid w:val="00D525F5"/>
    <w:rsid w:val="00D535D0"/>
    <w:rsid w:val="00D62C78"/>
    <w:rsid w:val="00D81703"/>
    <w:rsid w:val="00D82929"/>
    <w:rsid w:val="00D84214"/>
    <w:rsid w:val="00D943E5"/>
    <w:rsid w:val="00DA1AE0"/>
    <w:rsid w:val="00DA313C"/>
    <w:rsid w:val="00DC29DD"/>
    <w:rsid w:val="00DC7C0E"/>
    <w:rsid w:val="00DE0807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325C"/>
    <w:rsid w:val="00ED4B29"/>
    <w:rsid w:val="00EE31D6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64F1E"/>
    <w:rsid w:val="00F8654D"/>
    <w:rsid w:val="00F900C9"/>
    <w:rsid w:val="00F92C96"/>
    <w:rsid w:val="00FA0D4E"/>
    <w:rsid w:val="00FB0753"/>
    <w:rsid w:val="00FB5CC8"/>
    <w:rsid w:val="00FC2CD0"/>
    <w:rsid w:val="00FC7D09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A210C163-805D-4026-86B7-0AFF063A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R15-WRC15-C-0058!A21-A11!MSW-A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67F0-5FBC-4673-B159-26D208F9D4C0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elements/1.1/"/>
    <ds:schemaRef ds:uri="http://schemas.microsoft.com/office/infopath/2007/PartnerControl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E3D515-E1B2-4A2E-9D13-27B9B575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392</Words>
  <Characters>2011</Characters>
  <Application>Microsoft Office Word</Application>
  <DocSecurity>0</DocSecurity>
  <Lines>59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R15-WRC15-C-0058!A21-A11!MSW-A</vt:lpstr>
    </vt:vector>
  </TitlesOfParts>
  <Manager>General Secretariat - Pool</Manager>
  <Company>International Telecommunication Union (ITU)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R15-WRC15-C-0058!A21-A11!MSW-A</dc:title>
  <dc:creator>Documents Proposals Manager (DPM)</dc:creator>
  <cp:keywords>DPM_v5.2015.10.15_prod</cp:keywords>
  <cp:lastModifiedBy>Awad, Samy</cp:lastModifiedBy>
  <cp:revision>18</cp:revision>
  <cp:lastPrinted>2011-11-07T13:53:00Z</cp:lastPrinted>
  <dcterms:created xsi:type="dcterms:W3CDTF">2015-10-27T19:28:00Z</dcterms:created>
  <dcterms:modified xsi:type="dcterms:W3CDTF">2015-10-30T16:07:00Z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