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0708B6">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0708B6">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0708B6">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0708B6">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0708B6">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0708B6">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0708B6">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0708B6">
            <w:pPr>
              <w:spacing w:before="0"/>
              <w:rPr>
                <w:rFonts w:ascii="Verdana" w:hAnsi="Verdana"/>
                <w:sz w:val="20"/>
                <w:lang w:val="en-US"/>
              </w:rPr>
            </w:pPr>
            <w:r>
              <w:rPr>
                <w:rFonts w:ascii="Verdana" w:eastAsia="SimSun" w:hAnsi="Verdana" w:cs="Traditional Arabic"/>
                <w:b/>
                <w:sz w:val="20"/>
                <w:lang w:val="en-US"/>
              </w:rPr>
              <w:t>Document 54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0708B6">
            <w:pPr>
              <w:spacing w:before="0"/>
              <w:rPr>
                <w:rFonts w:ascii="Verdana" w:hAnsi="Verdana"/>
                <w:b/>
                <w:sz w:val="20"/>
                <w:lang w:val="en-US"/>
              </w:rPr>
            </w:pPr>
          </w:p>
        </w:tc>
        <w:tc>
          <w:tcPr>
            <w:tcW w:w="3120" w:type="dxa"/>
            <w:shd w:val="clear" w:color="auto" w:fill="auto"/>
          </w:tcPr>
          <w:p w:rsidR="00690C7B" w:rsidRPr="002A6F8F" w:rsidRDefault="00690C7B" w:rsidP="000708B6">
            <w:pPr>
              <w:spacing w:before="0"/>
              <w:rPr>
                <w:rFonts w:ascii="Verdana" w:hAnsi="Verdana"/>
                <w:b/>
                <w:sz w:val="20"/>
                <w:lang w:val="en-US"/>
              </w:rPr>
            </w:pPr>
            <w:r w:rsidRPr="002A6F8F">
              <w:rPr>
                <w:rFonts w:ascii="Verdana" w:hAnsi="Verdana"/>
                <w:b/>
                <w:sz w:val="20"/>
                <w:lang w:val="en-US"/>
              </w:rPr>
              <w:t>8 octobre 2015</w:t>
            </w:r>
          </w:p>
        </w:tc>
      </w:tr>
      <w:tr w:rsidR="00690C7B" w:rsidRPr="002A6F8F" w:rsidTr="00BB1D82">
        <w:trPr>
          <w:cantSplit/>
        </w:trPr>
        <w:tc>
          <w:tcPr>
            <w:tcW w:w="6911" w:type="dxa"/>
          </w:tcPr>
          <w:p w:rsidR="00690C7B" w:rsidRPr="002A6F8F" w:rsidRDefault="00690C7B" w:rsidP="000708B6">
            <w:pPr>
              <w:spacing w:before="0" w:after="48"/>
              <w:rPr>
                <w:rFonts w:ascii="Verdana" w:hAnsi="Verdana"/>
                <w:b/>
                <w:smallCaps/>
                <w:sz w:val="20"/>
                <w:lang w:val="en-US"/>
              </w:rPr>
            </w:pPr>
            <w:bookmarkStart w:id="2" w:name="_GoBack"/>
            <w:bookmarkEnd w:id="2"/>
          </w:p>
        </w:tc>
        <w:tc>
          <w:tcPr>
            <w:tcW w:w="3120" w:type="dxa"/>
          </w:tcPr>
          <w:p w:rsidR="00690C7B" w:rsidRPr="002A6F8F" w:rsidRDefault="00690C7B" w:rsidP="000708B6">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0708B6">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5A094B">
            <w:pPr>
              <w:pStyle w:val="Source"/>
              <w:rPr>
                <w:lang w:val="en-US"/>
              </w:rPr>
            </w:pPr>
            <w:bookmarkStart w:id="3" w:name="dsource" w:colFirst="0" w:colLast="0"/>
            <w:r w:rsidRPr="002A6F8F">
              <w:rPr>
                <w:lang w:val="en-US"/>
              </w:rPr>
              <w:t>Canada</w:t>
            </w:r>
            <w:r w:rsidR="005A094B">
              <w:rPr>
                <w:lang w:val="en-US"/>
              </w:rPr>
              <w:t xml:space="preserve">, </w:t>
            </w:r>
            <w:r w:rsidRPr="002A6F8F">
              <w:rPr>
                <w:lang w:val="en-US"/>
              </w:rPr>
              <w:t>Equateur</w:t>
            </w:r>
          </w:p>
        </w:tc>
      </w:tr>
      <w:tr w:rsidR="00690C7B" w:rsidRPr="002A6F8F" w:rsidTr="0050008E">
        <w:trPr>
          <w:cantSplit/>
        </w:trPr>
        <w:tc>
          <w:tcPr>
            <w:tcW w:w="10031" w:type="dxa"/>
            <w:gridSpan w:val="2"/>
          </w:tcPr>
          <w:p w:rsidR="00690C7B" w:rsidRPr="00C80EEB" w:rsidRDefault="00690C7B" w:rsidP="000708B6">
            <w:pPr>
              <w:pStyle w:val="Title1"/>
              <w:rPr>
                <w:lang w:val="fr-CH"/>
              </w:rPr>
            </w:pPr>
            <w:bookmarkStart w:id="4" w:name="dtitle1" w:colFirst="0" w:colLast="0"/>
            <w:bookmarkEnd w:id="3"/>
            <w:r w:rsidRPr="00C80EEB">
              <w:rPr>
                <w:lang w:val="fr-CH"/>
              </w:rPr>
              <w:t>Propositions pour les travaux de la conférence</w:t>
            </w:r>
          </w:p>
        </w:tc>
      </w:tr>
      <w:tr w:rsidR="00690C7B" w:rsidRPr="002A6F8F" w:rsidTr="0050008E">
        <w:trPr>
          <w:cantSplit/>
        </w:trPr>
        <w:tc>
          <w:tcPr>
            <w:tcW w:w="10031" w:type="dxa"/>
            <w:gridSpan w:val="2"/>
          </w:tcPr>
          <w:p w:rsidR="00690C7B" w:rsidRPr="00C80EEB" w:rsidRDefault="00690C7B" w:rsidP="000708B6">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0708B6">
            <w:pPr>
              <w:pStyle w:val="Agendaitem"/>
            </w:pPr>
            <w:bookmarkStart w:id="6" w:name="dtitle3" w:colFirst="0" w:colLast="0"/>
            <w:bookmarkEnd w:id="5"/>
            <w:r w:rsidRPr="006D4724">
              <w:t>Point 7(K) de l'ordre du jour</w:t>
            </w:r>
          </w:p>
        </w:tc>
      </w:tr>
    </w:tbl>
    <w:bookmarkEnd w:id="6"/>
    <w:p w:rsidR="001C0E40" w:rsidRPr="00EC691D" w:rsidRDefault="005A72FE" w:rsidP="000708B6">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44947" w:rsidRPr="000C3CB0" w:rsidRDefault="005A72FE" w:rsidP="000708B6">
      <w:pPr>
        <w:rPr>
          <w:lang w:val="fr-CH"/>
        </w:rPr>
      </w:pPr>
      <w:r>
        <w:rPr>
          <w:lang w:val="fr-CH"/>
        </w:rPr>
        <w:t xml:space="preserve">7(K) </w:t>
      </w:r>
      <w:r>
        <w:rPr>
          <w:lang w:val="fr-CH"/>
        </w:rPr>
        <w:tab/>
      </w:r>
      <w:r w:rsidRPr="000C3CB0">
        <w:rPr>
          <w:lang w:val="fr-CH"/>
        </w:rPr>
        <w:t>Question K – Adjonction d'une disposition réglementaire dans l'Article </w:t>
      </w:r>
      <w:r w:rsidRPr="00A57B3B">
        <w:rPr>
          <w:b/>
          <w:bCs/>
          <w:lang w:val="fr-CH"/>
        </w:rPr>
        <w:t>11</w:t>
      </w:r>
      <w:r w:rsidRPr="000C3CB0">
        <w:rPr>
          <w:lang w:val="fr-CH"/>
        </w:rPr>
        <w:t xml:space="preserve"> du RR concernant les cas d'échec de lancement</w:t>
      </w:r>
      <w:r>
        <w:rPr>
          <w:lang w:val="fr-CH"/>
        </w:rPr>
        <w:t>.</w:t>
      </w:r>
    </w:p>
    <w:p w:rsidR="00C80EEB" w:rsidRDefault="00C80EEB" w:rsidP="000708B6">
      <w:pPr>
        <w:pStyle w:val="Headingb"/>
      </w:pPr>
      <w:r>
        <w:t>Considérations générales</w:t>
      </w:r>
    </w:p>
    <w:p w:rsidR="00C80EEB" w:rsidRDefault="00C43E6A" w:rsidP="000708B6">
      <w:pPr>
        <w:rPr>
          <w:color w:val="000000"/>
        </w:rPr>
      </w:pPr>
      <w:r>
        <w:t xml:space="preserve">Au titre de la Question K du point 7 de l’ordre du jour de la CMR-15, la possibilité d’une </w:t>
      </w:r>
      <w:r w:rsidR="00DE3A41">
        <w:rPr>
          <w:color w:val="000000"/>
        </w:rPr>
        <w:t>prolongation</w:t>
      </w:r>
      <w:r w:rsidR="00C511DC">
        <w:t xml:space="preserve">, de trois ans au plus, </w:t>
      </w:r>
      <w:r>
        <w:rPr>
          <w:color w:val="000000"/>
        </w:rPr>
        <w:t xml:space="preserve">du délai </w:t>
      </w:r>
      <w:r>
        <w:t>réglementaire de sept ans</w:t>
      </w:r>
      <w:r w:rsidR="00C511DC">
        <w:t xml:space="preserve">, </w:t>
      </w:r>
      <w:r>
        <w:t xml:space="preserve">en </w:t>
      </w:r>
      <w:r w:rsidR="00C511DC">
        <w:rPr>
          <w:color w:val="000000"/>
        </w:rPr>
        <w:t>cas d'é</w:t>
      </w:r>
      <w:r w:rsidR="00E04C6A">
        <w:rPr>
          <w:color w:val="000000"/>
        </w:rPr>
        <w:t>chec de lancement se produisant</w:t>
      </w:r>
      <w:r w:rsidR="00C511DC" w:rsidRPr="00CD173B">
        <w:rPr>
          <w:color w:val="000000"/>
        </w:rPr>
        <w:t xml:space="preserve"> </w:t>
      </w:r>
      <w:r w:rsidR="00F335F0">
        <w:rPr>
          <w:color w:val="000000"/>
        </w:rPr>
        <w:t xml:space="preserve">au moins </w:t>
      </w:r>
      <w:r w:rsidR="00C511DC">
        <w:rPr>
          <w:color w:val="000000"/>
        </w:rPr>
        <w:t>quatre ans après réc</w:t>
      </w:r>
      <w:r w:rsidR="00E04C6A">
        <w:rPr>
          <w:color w:val="000000"/>
        </w:rPr>
        <w:t>eption des renseignements pour</w:t>
      </w:r>
      <w:r w:rsidR="00C511DC">
        <w:rPr>
          <w:color w:val="000000"/>
        </w:rPr>
        <w:t xml:space="preserve"> la publication anticipée</w:t>
      </w:r>
      <w:r w:rsidR="00E04C6A">
        <w:rPr>
          <w:color w:val="000000"/>
        </w:rPr>
        <w:t xml:space="preserve"> concernant un </w:t>
      </w:r>
      <w:r w:rsidR="00E04C6A">
        <w:rPr>
          <w:color w:val="000000"/>
          <w:lang w:val="fr-CH"/>
        </w:rPr>
        <w:t>réseau satellite</w:t>
      </w:r>
      <w:r w:rsidR="00C511DC">
        <w:rPr>
          <w:color w:val="000000"/>
        </w:rPr>
        <w:t>, et ayant pour conséquence la destruction du satellite concerné</w:t>
      </w:r>
      <w:r w:rsidR="008555B1">
        <w:rPr>
          <w:color w:val="000000"/>
        </w:rPr>
        <w:t>,</w:t>
      </w:r>
      <w:r w:rsidR="00596497">
        <w:rPr>
          <w:color w:val="000000"/>
        </w:rPr>
        <w:t xml:space="preserve"> sera soumise à l’examen de la Conférence.</w:t>
      </w:r>
    </w:p>
    <w:p w:rsidR="006B0E60" w:rsidRDefault="006B0E60" w:rsidP="000708B6">
      <w:pPr>
        <w:tabs>
          <w:tab w:val="clear" w:pos="1134"/>
          <w:tab w:val="clear" w:pos="1871"/>
          <w:tab w:val="clear" w:pos="2268"/>
        </w:tabs>
        <w:overflowPunct/>
        <w:autoSpaceDE/>
        <w:autoSpaceDN/>
        <w:adjustRightInd/>
        <w:spacing w:before="0"/>
        <w:textAlignment w:val="auto"/>
        <w:rPr>
          <w:color w:val="000000"/>
        </w:rPr>
      </w:pPr>
      <w:r>
        <w:rPr>
          <w:color w:val="000000"/>
        </w:rPr>
        <w:br w:type="page"/>
      </w:r>
    </w:p>
    <w:p w:rsidR="00C80EEB" w:rsidRDefault="0091319D" w:rsidP="000708B6">
      <w:r>
        <w:rPr>
          <w:color w:val="000000"/>
        </w:rPr>
        <w:lastRenderedPageBreak/>
        <w:t xml:space="preserve">Auparavant, le Règlement des radiocommunications </w:t>
      </w:r>
      <w:r w:rsidR="00F8250D">
        <w:rPr>
          <w:color w:val="000000"/>
        </w:rPr>
        <w:t xml:space="preserve">(RR) </w:t>
      </w:r>
      <w:r>
        <w:rPr>
          <w:color w:val="000000"/>
        </w:rPr>
        <w:t>comportait diverses disposition</w:t>
      </w:r>
      <w:r w:rsidR="00F335F0">
        <w:rPr>
          <w:color w:val="000000"/>
        </w:rPr>
        <w:t>s qui permettaient de décider de l’octroi d’</w:t>
      </w:r>
      <w:r>
        <w:rPr>
          <w:color w:val="000000"/>
        </w:rPr>
        <w:t xml:space="preserve">une </w:t>
      </w:r>
      <w:r w:rsidR="00DE3A41">
        <w:rPr>
          <w:color w:val="000000"/>
        </w:rPr>
        <w:t>prolon</w:t>
      </w:r>
      <w:r w:rsidR="004F2B4F">
        <w:rPr>
          <w:color w:val="000000"/>
        </w:rPr>
        <w:t>gation</w:t>
      </w:r>
      <w:r>
        <w:rPr>
          <w:color w:val="000000"/>
        </w:rPr>
        <w:t xml:space="preserve">. Le tableau </w:t>
      </w:r>
      <w:r w:rsidR="00F335F0">
        <w:rPr>
          <w:color w:val="000000"/>
        </w:rPr>
        <w:t>suivant</w:t>
      </w:r>
      <w:r>
        <w:rPr>
          <w:color w:val="000000"/>
        </w:rPr>
        <w:t xml:space="preserve"> indique les délais réglementaires et les possibilités de </w:t>
      </w:r>
      <w:r w:rsidR="00DE3A41">
        <w:rPr>
          <w:color w:val="000000"/>
        </w:rPr>
        <w:t>prolongation</w:t>
      </w:r>
      <w:r>
        <w:rPr>
          <w:color w:val="000000"/>
        </w:rPr>
        <w:t xml:space="preserve"> qui existaient autrefois.</w:t>
      </w:r>
    </w:p>
    <w:p w:rsidR="00E04C6A" w:rsidRDefault="00E04C6A" w:rsidP="000708B6"/>
    <w:tbl>
      <w:tblPr>
        <w:tblStyle w:val="TableGrid"/>
        <w:tblW w:w="0" w:type="auto"/>
        <w:tblLook w:val="04A0" w:firstRow="1" w:lastRow="0" w:firstColumn="1" w:lastColumn="0" w:noHBand="0" w:noVBand="1"/>
      </w:tblPr>
      <w:tblGrid>
        <w:gridCol w:w="1736"/>
        <w:gridCol w:w="2842"/>
        <w:gridCol w:w="2816"/>
        <w:gridCol w:w="2235"/>
      </w:tblGrid>
      <w:tr w:rsidR="00C80EEB" w:rsidRPr="00144B87" w:rsidTr="006F42F5">
        <w:tc>
          <w:tcPr>
            <w:tcW w:w="1736" w:type="dxa"/>
          </w:tcPr>
          <w:p w:rsidR="00C80EEB" w:rsidRPr="00C14298" w:rsidRDefault="00C80EEB" w:rsidP="00ED601D">
            <w:pPr>
              <w:pStyle w:val="Tablehead"/>
              <w:rPr>
                <w:lang w:val="fr-CH"/>
              </w:rPr>
            </w:pPr>
            <w:r w:rsidRPr="00001C81">
              <w:rPr>
                <w:lang w:val="fr-CH"/>
              </w:rPr>
              <w:t xml:space="preserve">Version </w:t>
            </w:r>
            <w:r w:rsidR="00001C81" w:rsidRPr="00001C81">
              <w:rPr>
                <w:lang w:val="fr-CH"/>
              </w:rPr>
              <w:t xml:space="preserve">du </w:t>
            </w:r>
            <w:r w:rsidR="00F335F0">
              <w:rPr>
                <w:color w:val="000000"/>
              </w:rPr>
              <w:t>RR</w:t>
            </w:r>
          </w:p>
        </w:tc>
        <w:tc>
          <w:tcPr>
            <w:tcW w:w="2842" w:type="dxa"/>
          </w:tcPr>
          <w:p w:rsidR="00C80EEB" w:rsidRPr="00C14298" w:rsidRDefault="00001C81" w:rsidP="00ED601D">
            <w:pPr>
              <w:pStyle w:val="Tablehead"/>
              <w:rPr>
                <w:lang w:val="fr-CH"/>
              </w:rPr>
            </w:pPr>
            <w:r w:rsidRPr="00C14298">
              <w:rPr>
                <w:lang w:val="fr-CH"/>
              </w:rPr>
              <w:t>Durée</w:t>
            </w:r>
            <w:r w:rsidRPr="00001C81">
              <w:rPr>
                <w:lang w:val="en-CA"/>
              </w:rPr>
              <w:t xml:space="preserve"> du</w:t>
            </w:r>
            <w:r w:rsidR="00C14298">
              <w:rPr>
                <w:lang w:val="en-CA"/>
              </w:rPr>
              <w:t xml:space="preserve"> </w:t>
            </w:r>
            <w:r w:rsidRPr="00001C81">
              <w:rPr>
                <w:color w:val="000000"/>
              </w:rPr>
              <w:t>délai réglementaire</w:t>
            </w:r>
          </w:p>
        </w:tc>
        <w:tc>
          <w:tcPr>
            <w:tcW w:w="2816" w:type="dxa"/>
          </w:tcPr>
          <w:p w:rsidR="00C80EEB" w:rsidRPr="00001C81" w:rsidRDefault="00001C81" w:rsidP="00ED601D">
            <w:pPr>
              <w:pStyle w:val="Tablehead"/>
              <w:rPr>
                <w:lang w:val="en-CA"/>
              </w:rPr>
            </w:pPr>
            <w:r w:rsidRPr="00C14298">
              <w:rPr>
                <w:lang w:val="fr-CH"/>
              </w:rPr>
              <w:t>Durée</w:t>
            </w:r>
            <w:r w:rsidRPr="00001C81">
              <w:rPr>
                <w:lang w:val="en-CA"/>
              </w:rPr>
              <w:t xml:space="preserve"> de </w:t>
            </w:r>
            <w:r w:rsidR="00262A71">
              <w:rPr>
                <w:lang w:val="en-CA"/>
              </w:rPr>
              <w:t>prolon</w:t>
            </w:r>
            <w:r w:rsidR="004F2B4F">
              <w:rPr>
                <w:lang w:val="en-CA"/>
              </w:rPr>
              <w:t>gation</w:t>
            </w:r>
            <w:r w:rsidRPr="00001C81">
              <w:rPr>
                <w:lang w:val="en-CA"/>
              </w:rPr>
              <w:t xml:space="preserve"> possible</w:t>
            </w:r>
          </w:p>
        </w:tc>
        <w:tc>
          <w:tcPr>
            <w:tcW w:w="2235" w:type="dxa"/>
          </w:tcPr>
          <w:p w:rsidR="00C80EEB" w:rsidRPr="00001C81" w:rsidRDefault="00001C81" w:rsidP="00ED601D">
            <w:pPr>
              <w:pStyle w:val="Tablehead"/>
              <w:rPr>
                <w:lang w:val="en-CA"/>
              </w:rPr>
            </w:pPr>
            <w:r w:rsidRPr="00001C81">
              <w:rPr>
                <w:color w:val="000000"/>
              </w:rPr>
              <w:t>Période de suspension</w:t>
            </w:r>
          </w:p>
        </w:tc>
      </w:tr>
      <w:tr w:rsidR="00C80EEB" w:rsidRPr="00144B87" w:rsidTr="006F42F5">
        <w:tc>
          <w:tcPr>
            <w:tcW w:w="1736" w:type="dxa"/>
          </w:tcPr>
          <w:p w:rsidR="00C80EEB" w:rsidRPr="00144B87" w:rsidRDefault="00C80EEB" w:rsidP="000708B6">
            <w:pPr>
              <w:rPr>
                <w:szCs w:val="24"/>
                <w:lang w:val="en-CA"/>
              </w:rPr>
            </w:pPr>
            <w:r w:rsidRPr="00144B87">
              <w:rPr>
                <w:szCs w:val="24"/>
                <w:lang w:val="en-CA"/>
              </w:rPr>
              <w:t>Orb-88</w:t>
            </w:r>
          </w:p>
        </w:tc>
        <w:tc>
          <w:tcPr>
            <w:tcW w:w="2842" w:type="dxa"/>
          </w:tcPr>
          <w:p w:rsidR="00C80EEB" w:rsidRPr="00001C81" w:rsidRDefault="00C80EEB" w:rsidP="000708B6">
            <w:pPr>
              <w:rPr>
                <w:szCs w:val="24"/>
                <w:lang w:val="fr-CH"/>
              </w:rPr>
            </w:pPr>
            <w:r w:rsidRPr="00001C81">
              <w:rPr>
                <w:szCs w:val="24"/>
                <w:lang w:val="fr-CH"/>
              </w:rPr>
              <w:t>6 ans (</w:t>
            </w:r>
            <w:r w:rsidR="00001C81" w:rsidRPr="00001C81">
              <w:rPr>
                <w:szCs w:val="24"/>
                <w:lang w:val="fr-CH"/>
              </w:rPr>
              <w:t>à partir de la date de publication</w:t>
            </w:r>
            <w:r w:rsidRPr="00001C81">
              <w:rPr>
                <w:szCs w:val="24"/>
                <w:lang w:val="fr-CH"/>
              </w:rPr>
              <w:t>)</w:t>
            </w:r>
          </w:p>
        </w:tc>
        <w:tc>
          <w:tcPr>
            <w:tcW w:w="2816" w:type="dxa"/>
          </w:tcPr>
          <w:p w:rsidR="00C80EEB" w:rsidRPr="00144B87" w:rsidRDefault="00C80EEB" w:rsidP="000708B6">
            <w:pPr>
              <w:rPr>
                <w:szCs w:val="24"/>
                <w:lang w:val="en-CA"/>
              </w:rPr>
            </w:pPr>
            <w:r w:rsidRPr="00144B87">
              <w:rPr>
                <w:szCs w:val="24"/>
                <w:lang w:val="en-CA"/>
              </w:rPr>
              <w:t>3</w:t>
            </w:r>
            <w:r w:rsidRPr="00C14298">
              <w:rPr>
                <w:szCs w:val="24"/>
                <w:lang w:val="fr-CH"/>
              </w:rPr>
              <w:t xml:space="preserve"> ans</w:t>
            </w:r>
          </w:p>
        </w:tc>
        <w:tc>
          <w:tcPr>
            <w:tcW w:w="2235" w:type="dxa"/>
          </w:tcPr>
          <w:p w:rsidR="00C80EEB" w:rsidRPr="00144B87" w:rsidRDefault="00001C81" w:rsidP="000708B6">
            <w:pPr>
              <w:rPr>
                <w:szCs w:val="24"/>
                <w:lang w:val="en-CA"/>
              </w:rPr>
            </w:pPr>
            <w:r>
              <w:rPr>
                <w:color w:val="000000"/>
              </w:rPr>
              <w:t>Sans objet</w:t>
            </w:r>
          </w:p>
        </w:tc>
      </w:tr>
      <w:tr w:rsidR="00C80EEB" w:rsidRPr="00144B87" w:rsidTr="006F42F5">
        <w:tc>
          <w:tcPr>
            <w:tcW w:w="1736" w:type="dxa"/>
          </w:tcPr>
          <w:p w:rsidR="00C80EEB" w:rsidRPr="00144B87" w:rsidRDefault="00C80EEB" w:rsidP="000708B6">
            <w:pPr>
              <w:rPr>
                <w:szCs w:val="24"/>
                <w:lang w:val="en-CA"/>
              </w:rPr>
            </w:pPr>
            <w:r w:rsidRPr="00144B87">
              <w:rPr>
                <w:szCs w:val="24"/>
                <w:lang w:val="en-CA"/>
              </w:rPr>
              <w:t>1990</w:t>
            </w:r>
          </w:p>
        </w:tc>
        <w:tc>
          <w:tcPr>
            <w:tcW w:w="2842" w:type="dxa"/>
          </w:tcPr>
          <w:p w:rsidR="00C80EEB" w:rsidRPr="00001C81" w:rsidRDefault="00C80EEB" w:rsidP="000708B6">
            <w:pPr>
              <w:rPr>
                <w:szCs w:val="24"/>
                <w:lang w:val="fr-CH"/>
              </w:rPr>
            </w:pPr>
            <w:r w:rsidRPr="00001C81">
              <w:rPr>
                <w:szCs w:val="24"/>
                <w:lang w:val="fr-CH"/>
              </w:rPr>
              <w:t>6 ans (</w:t>
            </w:r>
            <w:r w:rsidR="00001C81" w:rsidRPr="00001C81">
              <w:rPr>
                <w:szCs w:val="24"/>
                <w:lang w:val="fr-CH"/>
              </w:rPr>
              <w:t>à partir de la date de publication</w:t>
            </w:r>
            <w:r w:rsidRPr="00001C81">
              <w:rPr>
                <w:szCs w:val="24"/>
                <w:lang w:val="fr-CH"/>
              </w:rPr>
              <w:t>)</w:t>
            </w:r>
          </w:p>
        </w:tc>
        <w:tc>
          <w:tcPr>
            <w:tcW w:w="2816" w:type="dxa"/>
          </w:tcPr>
          <w:p w:rsidR="00C80EEB" w:rsidRPr="00144B87" w:rsidRDefault="00C80EEB" w:rsidP="000708B6">
            <w:pPr>
              <w:rPr>
                <w:szCs w:val="24"/>
                <w:lang w:val="en-CA"/>
              </w:rPr>
            </w:pPr>
            <w:r w:rsidRPr="00144B87">
              <w:rPr>
                <w:szCs w:val="24"/>
                <w:lang w:val="en-CA"/>
              </w:rPr>
              <w:t>3</w:t>
            </w:r>
            <w:r w:rsidRPr="00C14298">
              <w:rPr>
                <w:szCs w:val="24"/>
                <w:lang w:val="fr-CH"/>
              </w:rPr>
              <w:t xml:space="preserve"> ans</w:t>
            </w:r>
          </w:p>
        </w:tc>
        <w:tc>
          <w:tcPr>
            <w:tcW w:w="2235" w:type="dxa"/>
          </w:tcPr>
          <w:p w:rsidR="00C80EEB" w:rsidRPr="00144B87" w:rsidRDefault="00001C81" w:rsidP="000708B6">
            <w:pPr>
              <w:rPr>
                <w:szCs w:val="24"/>
                <w:lang w:val="en-CA"/>
              </w:rPr>
            </w:pPr>
            <w:r>
              <w:rPr>
                <w:color w:val="000000"/>
              </w:rPr>
              <w:t>Sans objet</w:t>
            </w:r>
          </w:p>
        </w:tc>
      </w:tr>
      <w:tr w:rsidR="00C80EEB" w:rsidRPr="00144B87" w:rsidTr="006F42F5">
        <w:tc>
          <w:tcPr>
            <w:tcW w:w="1736" w:type="dxa"/>
          </w:tcPr>
          <w:p w:rsidR="00C80EEB" w:rsidRPr="00144B87" w:rsidRDefault="00C80EEB" w:rsidP="000708B6">
            <w:pPr>
              <w:rPr>
                <w:szCs w:val="24"/>
                <w:lang w:val="en-CA"/>
              </w:rPr>
            </w:pPr>
            <w:r w:rsidRPr="00144B87">
              <w:rPr>
                <w:szCs w:val="24"/>
                <w:lang w:val="en-CA"/>
              </w:rPr>
              <w:t>1994</w:t>
            </w:r>
          </w:p>
        </w:tc>
        <w:tc>
          <w:tcPr>
            <w:tcW w:w="2842" w:type="dxa"/>
          </w:tcPr>
          <w:p w:rsidR="00C80EEB" w:rsidRPr="00001C81" w:rsidRDefault="00C80EEB" w:rsidP="000708B6">
            <w:pPr>
              <w:rPr>
                <w:szCs w:val="24"/>
                <w:lang w:val="fr-CH"/>
              </w:rPr>
            </w:pPr>
            <w:r w:rsidRPr="00001C81">
              <w:rPr>
                <w:szCs w:val="24"/>
                <w:lang w:val="fr-CH"/>
              </w:rPr>
              <w:t>6 ans (</w:t>
            </w:r>
            <w:r w:rsidR="00001C81" w:rsidRPr="00001C81">
              <w:rPr>
                <w:szCs w:val="24"/>
                <w:lang w:val="fr-CH"/>
              </w:rPr>
              <w:t>à partir de la date de publication</w:t>
            </w:r>
            <w:r w:rsidRPr="00001C81">
              <w:rPr>
                <w:szCs w:val="24"/>
                <w:lang w:val="fr-CH"/>
              </w:rPr>
              <w:t>)</w:t>
            </w:r>
          </w:p>
        </w:tc>
        <w:tc>
          <w:tcPr>
            <w:tcW w:w="2816" w:type="dxa"/>
          </w:tcPr>
          <w:p w:rsidR="00C80EEB" w:rsidRPr="00144B87" w:rsidRDefault="00C80EEB" w:rsidP="000708B6">
            <w:pPr>
              <w:rPr>
                <w:szCs w:val="24"/>
                <w:lang w:val="en-CA"/>
              </w:rPr>
            </w:pPr>
            <w:r w:rsidRPr="00144B87">
              <w:rPr>
                <w:szCs w:val="24"/>
                <w:lang w:val="en-CA"/>
              </w:rPr>
              <w:t xml:space="preserve">3 </w:t>
            </w:r>
            <w:r>
              <w:rPr>
                <w:szCs w:val="24"/>
                <w:lang w:val="en-CA"/>
              </w:rPr>
              <w:t>ans</w:t>
            </w:r>
          </w:p>
        </w:tc>
        <w:tc>
          <w:tcPr>
            <w:tcW w:w="2235" w:type="dxa"/>
          </w:tcPr>
          <w:p w:rsidR="00C80EEB" w:rsidRPr="00144B87" w:rsidRDefault="00001C81" w:rsidP="000708B6">
            <w:pPr>
              <w:rPr>
                <w:szCs w:val="24"/>
                <w:lang w:val="en-CA"/>
              </w:rPr>
            </w:pPr>
            <w:r>
              <w:rPr>
                <w:color w:val="000000"/>
              </w:rPr>
              <w:t>Sans objet</w:t>
            </w:r>
          </w:p>
        </w:tc>
      </w:tr>
      <w:tr w:rsidR="00C80EEB" w:rsidRPr="00144B87" w:rsidTr="006F42F5">
        <w:tc>
          <w:tcPr>
            <w:tcW w:w="1736" w:type="dxa"/>
          </w:tcPr>
          <w:p w:rsidR="00C80EEB" w:rsidRPr="00144B87" w:rsidRDefault="00C80EEB" w:rsidP="000708B6">
            <w:pPr>
              <w:rPr>
                <w:szCs w:val="24"/>
                <w:lang w:val="en-CA"/>
              </w:rPr>
            </w:pPr>
            <w:r w:rsidRPr="00144B87">
              <w:rPr>
                <w:szCs w:val="24"/>
                <w:lang w:val="en-CA"/>
              </w:rPr>
              <w:t>1998</w:t>
            </w:r>
          </w:p>
        </w:tc>
        <w:tc>
          <w:tcPr>
            <w:tcW w:w="2842" w:type="dxa"/>
          </w:tcPr>
          <w:p w:rsidR="00C80EEB" w:rsidRPr="00144B87" w:rsidRDefault="00C80EEB" w:rsidP="000708B6">
            <w:pPr>
              <w:rPr>
                <w:szCs w:val="24"/>
                <w:lang w:val="en-CA"/>
              </w:rPr>
            </w:pPr>
            <w:r w:rsidRPr="00144B87">
              <w:rPr>
                <w:szCs w:val="24"/>
                <w:lang w:val="en-CA"/>
              </w:rPr>
              <w:t xml:space="preserve">5 </w:t>
            </w:r>
            <w:r>
              <w:rPr>
                <w:szCs w:val="24"/>
                <w:lang w:val="en-CA"/>
              </w:rPr>
              <w:t>ans</w:t>
            </w:r>
          </w:p>
        </w:tc>
        <w:tc>
          <w:tcPr>
            <w:tcW w:w="2816" w:type="dxa"/>
          </w:tcPr>
          <w:p w:rsidR="00C80EEB" w:rsidRPr="00144B87" w:rsidRDefault="00C80EEB" w:rsidP="000708B6">
            <w:pPr>
              <w:rPr>
                <w:szCs w:val="24"/>
                <w:lang w:val="en-CA"/>
              </w:rPr>
            </w:pPr>
            <w:r w:rsidRPr="00144B87">
              <w:rPr>
                <w:szCs w:val="24"/>
                <w:lang w:val="en-CA"/>
              </w:rPr>
              <w:t xml:space="preserve">2 </w:t>
            </w:r>
            <w:r>
              <w:rPr>
                <w:szCs w:val="24"/>
                <w:lang w:val="en-CA"/>
              </w:rPr>
              <w:t>ans</w:t>
            </w:r>
          </w:p>
        </w:tc>
        <w:tc>
          <w:tcPr>
            <w:tcW w:w="2235" w:type="dxa"/>
          </w:tcPr>
          <w:p w:rsidR="00C80EEB" w:rsidRPr="00144B87" w:rsidRDefault="00C80EEB" w:rsidP="000708B6">
            <w:pPr>
              <w:rPr>
                <w:szCs w:val="24"/>
                <w:lang w:val="en-CA"/>
              </w:rPr>
            </w:pPr>
            <w:r w:rsidRPr="00144B87">
              <w:rPr>
                <w:szCs w:val="24"/>
                <w:lang w:val="en-CA"/>
              </w:rPr>
              <w:t>18</w:t>
            </w:r>
            <w:r w:rsidRPr="00C14298">
              <w:rPr>
                <w:szCs w:val="24"/>
                <w:lang w:val="fr-CH"/>
              </w:rPr>
              <w:t xml:space="preserve"> mois</w:t>
            </w:r>
          </w:p>
        </w:tc>
      </w:tr>
      <w:tr w:rsidR="00C80EEB" w:rsidRPr="00144B87" w:rsidTr="006F42F5">
        <w:tc>
          <w:tcPr>
            <w:tcW w:w="1736" w:type="dxa"/>
          </w:tcPr>
          <w:p w:rsidR="00C80EEB" w:rsidRPr="00144B87" w:rsidRDefault="00C80EEB" w:rsidP="000708B6">
            <w:pPr>
              <w:rPr>
                <w:szCs w:val="24"/>
                <w:lang w:val="en-CA"/>
              </w:rPr>
            </w:pPr>
            <w:r w:rsidRPr="00144B87">
              <w:rPr>
                <w:szCs w:val="24"/>
                <w:lang w:val="en-CA"/>
              </w:rPr>
              <w:t>2001</w:t>
            </w:r>
          </w:p>
        </w:tc>
        <w:tc>
          <w:tcPr>
            <w:tcW w:w="2842" w:type="dxa"/>
          </w:tcPr>
          <w:p w:rsidR="00C80EEB" w:rsidRPr="00144B87" w:rsidRDefault="00C80EEB" w:rsidP="000708B6">
            <w:pPr>
              <w:rPr>
                <w:szCs w:val="24"/>
                <w:lang w:val="en-CA"/>
              </w:rPr>
            </w:pPr>
            <w:r w:rsidRPr="00144B87">
              <w:rPr>
                <w:szCs w:val="24"/>
                <w:lang w:val="en-CA"/>
              </w:rPr>
              <w:t xml:space="preserve">5 </w:t>
            </w:r>
            <w:r>
              <w:rPr>
                <w:szCs w:val="24"/>
                <w:lang w:val="en-CA"/>
              </w:rPr>
              <w:t>ans</w:t>
            </w:r>
          </w:p>
        </w:tc>
        <w:tc>
          <w:tcPr>
            <w:tcW w:w="2816" w:type="dxa"/>
          </w:tcPr>
          <w:p w:rsidR="00C80EEB" w:rsidRPr="00144B87" w:rsidRDefault="00C80EEB" w:rsidP="000708B6">
            <w:pPr>
              <w:rPr>
                <w:szCs w:val="24"/>
                <w:lang w:val="en-CA"/>
              </w:rPr>
            </w:pPr>
            <w:r w:rsidRPr="00144B87">
              <w:rPr>
                <w:szCs w:val="24"/>
                <w:lang w:val="en-CA"/>
              </w:rPr>
              <w:t xml:space="preserve">2 </w:t>
            </w:r>
            <w:r>
              <w:rPr>
                <w:szCs w:val="24"/>
                <w:lang w:val="en-CA"/>
              </w:rPr>
              <w:t>ans</w:t>
            </w:r>
          </w:p>
        </w:tc>
        <w:tc>
          <w:tcPr>
            <w:tcW w:w="2235" w:type="dxa"/>
          </w:tcPr>
          <w:p w:rsidR="00C80EEB" w:rsidRPr="00144B87" w:rsidRDefault="00C80EEB" w:rsidP="000708B6">
            <w:pPr>
              <w:rPr>
                <w:szCs w:val="24"/>
                <w:lang w:val="en-CA"/>
              </w:rPr>
            </w:pPr>
            <w:r w:rsidRPr="00144B87">
              <w:rPr>
                <w:szCs w:val="24"/>
                <w:lang w:val="en-CA"/>
              </w:rPr>
              <w:t xml:space="preserve">2 </w:t>
            </w:r>
            <w:r>
              <w:rPr>
                <w:szCs w:val="24"/>
                <w:lang w:val="en-CA"/>
              </w:rPr>
              <w:t>ans</w:t>
            </w:r>
          </w:p>
        </w:tc>
      </w:tr>
      <w:tr w:rsidR="00C80EEB" w:rsidRPr="00144B87" w:rsidTr="006F42F5">
        <w:tc>
          <w:tcPr>
            <w:tcW w:w="1736" w:type="dxa"/>
          </w:tcPr>
          <w:p w:rsidR="00C80EEB" w:rsidRPr="00144B87" w:rsidRDefault="00C80EEB" w:rsidP="000708B6">
            <w:pPr>
              <w:tabs>
                <w:tab w:val="left" w:pos="899"/>
              </w:tabs>
              <w:rPr>
                <w:szCs w:val="24"/>
                <w:lang w:val="en-CA"/>
              </w:rPr>
            </w:pPr>
            <w:r w:rsidRPr="00144B87">
              <w:rPr>
                <w:szCs w:val="24"/>
                <w:lang w:val="en-CA"/>
              </w:rPr>
              <w:t>2004</w:t>
            </w:r>
          </w:p>
        </w:tc>
        <w:tc>
          <w:tcPr>
            <w:tcW w:w="2842" w:type="dxa"/>
          </w:tcPr>
          <w:p w:rsidR="00C80EEB" w:rsidRPr="00144B87" w:rsidRDefault="00C80EEB" w:rsidP="000708B6">
            <w:pPr>
              <w:rPr>
                <w:szCs w:val="24"/>
                <w:lang w:val="en-CA"/>
              </w:rPr>
            </w:pPr>
            <w:r w:rsidRPr="00144B87">
              <w:rPr>
                <w:szCs w:val="24"/>
                <w:lang w:val="en-CA"/>
              </w:rPr>
              <w:t xml:space="preserve">7 </w:t>
            </w:r>
            <w:r>
              <w:rPr>
                <w:szCs w:val="24"/>
                <w:lang w:val="en-CA"/>
              </w:rPr>
              <w:t>ans</w:t>
            </w:r>
          </w:p>
        </w:tc>
        <w:tc>
          <w:tcPr>
            <w:tcW w:w="2816" w:type="dxa"/>
          </w:tcPr>
          <w:p w:rsidR="00C80EEB" w:rsidRPr="00144B87" w:rsidRDefault="00C80EEB" w:rsidP="000708B6">
            <w:pPr>
              <w:rPr>
                <w:szCs w:val="24"/>
                <w:lang w:val="en-CA"/>
              </w:rPr>
            </w:pPr>
            <w:r w:rsidRPr="00144B87">
              <w:rPr>
                <w:szCs w:val="24"/>
                <w:lang w:val="en-CA"/>
              </w:rPr>
              <w:t>0</w:t>
            </w:r>
          </w:p>
        </w:tc>
        <w:tc>
          <w:tcPr>
            <w:tcW w:w="2235" w:type="dxa"/>
          </w:tcPr>
          <w:p w:rsidR="00C80EEB" w:rsidRPr="00144B87" w:rsidRDefault="00C80EEB" w:rsidP="000708B6">
            <w:pPr>
              <w:rPr>
                <w:szCs w:val="24"/>
                <w:lang w:val="en-CA"/>
              </w:rPr>
            </w:pPr>
            <w:r w:rsidRPr="00144B87">
              <w:rPr>
                <w:szCs w:val="24"/>
                <w:lang w:val="en-CA"/>
              </w:rPr>
              <w:t xml:space="preserve">2 </w:t>
            </w:r>
            <w:r>
              <w:rPr>
                <w:szCs w:val="24"/>
                <w:lang w:val="en-CA"/>
              </w:rPr>
              <w:t>ans</w:t>
            </w:r>
          </w:p>
        </w:tc>
      </w:tr>
      <w:tr w:rsidR="00C80EEB" w:rsidRPr="00144B87" w:rsidTr="006F42F5">
        <w:tc>
          <w:tcPr>
            <w:tcW w:w="1736" w:type="dxa"/>
          </w:tcPr>
          <w:p w:rsidR="00C80EEB" w:rsidRPr="00144B87" w:rsidRDefault="00C80EEB" w:rsidP="000708B6">
            <w:pPr>
              <w:rPr>
                <w:szCs w:val="24"/>
                <w:lang w:val="en-CA"/>
              </w:rPr>
            </w:pPr>
            <w:r w:rsidRPr="00144B87">
              <w:rPr>
                <w:szCs w:val="24"/>
                <w:lang w:val="en-CA"/>
              </w:rPr>
              <w:t>2008</w:t>
            </w:r>
          </w:p>
        </w:tc>
        <w:tc>
          <w:tcPr>
            <w:tcW w:w="2842" w:type="dxa"/>
          </w:tcPr>
          <w:p w:rsidR="00C80EEB" w:rsidRPr="00144B87" w:rsidRDefault="00C80EEB" w:rsidP="000708B6">
            <w:pPr>
              <w:rPr>
                <w:szCs w:val="24"/>
                <w:lang w:val="en-CA"/>
              </w:rPr>
            </w:pPr>
            <w:r w:rsidRPr="00144B87">
              <w:rPr>
                <w:szCs w:val="24"/>
                <w:lang w:val="en-CA"/>
              </w:rPr>
              <w:t xml:space="preserve">7 </w:t>
            </w:r>
            <w:r>
              <w:rPr>
                <w:szCs w:val="24"/>
                <w:lang w:val="en-CA"/>
              </w:rPr>
              <w:t>ans</w:t>
            </w:r>
          </w:p>
        </w:tc>
        <w:tc>
          <w:tcPr>
            <w:tcW w:w="2816" w:type="dxa"/>
          </w:tcPr>
          <w:p w:rsidR="00C80EEB" w:rsidRPr="00144B87" w:rsidRDefault="00C80EEB" w:rsidP="000708B6">
            <w:pPr>
              <w:rPr>
                <w:szCs w:val="24"/>
                <w:lang w:val="en-CA"/>
              </w:rPr>
            </w:pPr>
            <w:r w:rsidRPr="00144B87">
              <w:rPr>
                <w:szCs w:val="24"/>
                <w:lang w:val="en-CA"/>
              </w:rPr>
              <w:t>0</w:t>
            </w:r>
          </w:p>
        </w:tc>
        <w:tc>
          <w:tcPr>
            <w:tcW w:w="2235" w:type="dxa"/>
          </w:tcPr>
          <w:p w:rsidR="00C80EEB" w:rsidRPr="00144B87" w:rsidRDefault="00C80EEB" w:rsidP="000708B6">
            <w:pPr>
              <w:rPr>
                <w:szCs w:val="24"/>
                <w:lang w:val="en-CA"/>
              </w:rPr>
            </w:pPr>
            <w:r w:rsidRPr="00144B87">
              <w:rPr>
                <w:szCs w:val="24"/>
                <w:lang w:val="en-CA"/>
              </w:rPr>
              <w:t xml:space="preserve">2 </w:t>
            </w:r>
            <w:r>
              <w:rPr>
                <w:szCs w:val="24"/>
                <w:lang w:val="en-CA"/>
              </w:rPr>
              <w:t>ans</w:t>
            </w:r>
          </w:p>
        </w:tc>
      </w:tr>
      <w:tr w:rsidR="00C80EEB" w:rsidTr="006F42F5">
        <w:tc>
          <w:tcPr>
            <w:tcW w:w="1736" w:type="dxa"/>
          </w:tcPr>
          <w:p w:rsidR="00C80EEB" w:rsidRPr="00144B87" w:rsidRDefault="00C80EEB" w:rsidP="000708B6">
            <w:pPr>
              <w:rPr>
                <w:szCs w:val="24"/>
                <w:lang w:val="en-CA"/>
              </w:rPr>
            </w:pPr>
            <w:r w:rsidRPr="00144B87">
              <w:rPr>
                <w:szCs w:val="24"/>
                <w:lang w:val="en-CA"/>
              </w:rPr>
              <w:t>2012</w:t>
            </w:r>
          </w:p>
        </w:tc>
        <w:tc>
          <w:tcPr>
            <w:tcW w:w="2842" w:type="dxa"/>
          </w:tcPr>
          <w:p w:rsidR="00C80EEB" w:rsidRPr="00144B87" w:rsidRDefault="00C80EEB" w:rsidP="000708B6">
            <w:pPr>
              <w:rPr>
                <w:szCs w:val="24"/>
                <w:lang w:val="en-CA"/>
              </w:rPr>
            </w:pPr>
            <w:r w:rsidRPr="00144B87">
              <w:rPr>
                <w:szCs w:val="24"/>
                <w:lang w:val="en-CA"/>
              </w:rPr>
              <w:t xml:space="preserve">7 </w:t>
            </w:r>
            <w:r>
              <w:rPr>
                <w:szCs w:val="24"/>
                <w:lang w:val="en-CA"/>
              </w:rPr>
              <w:t>ans</w:t>
            </w:r>
          </w:p>
        </w:tc>
        <w:tc>
          <w:tcPr>
            <w:tcW w:w="2816" w:type="dxa"/>
          </w:tcPr>
          <w:p w:rsidR="00C80EEB" w:rsidRPr="00144B87" w:rsidRDefault="00C80EEB" w:rsidP="000708B6">
            <w:pPr>
              <w:rPr>
                <w:szCs w:val="24"/>
                <w:lang w:val="en-CA"/>
              </w:rPr>
            </w:pPr>
            <w:r w:rsidRPr="00144B87">
              <w:rPr>
                <w:szCs w:val="24"/>
                <w:lang w:val="en-CA"/>
              </w:rPr>
              <w:t>0</w:t>
            </w:r>
          </w:p>
        </w:tc>
        <w:tc>
          <w:tcPr>
            <w:tcW w:w="2235" w:type="dxa"/>
          </w:tcPr>
          <w:p w:rsidR="00C80EEB" w:rsidRPr="00144B87" w:rsidRDefault="00C80EEB" w:rsidP="000708B6">
            <w:pPr>
              <w:rPr>
                <w:szCs w:val="24"/>
                <w:lang w:val="en-CA"/>
              </w:rPr>
            </w:pPr>
            <w:r w:rsidRPr="00144B87">
              <w:rPr>
                <w:szCs w:val="24"/>
                <w:lang w:val="en-CA"/>
              </w:rPr>
              <w:t xml:space="preserve">3 </w:t>
            </w:r>
            <w:r>
              <w:rPr>
                <w:szCs w:val="24"/>
                <w:lang w:val="en-CA"/>
              </w:rPr>
              <w:t>ans</w:t>
            </w:r>
          </w:p>
        </w:tc>
      </w:tr>
    </w:tbl>
    <w:p w:rsidR="005A72FE" w:rsidRDefault="000375E2" w:rsidP="000708B6">
      <w:pPr>
        <w:rPr>
          <w:color w:val="000000"/>
        </w:rPr>
      </w:pPr>
      <w:r>
        <w:t xml:space="preserve">Comme </w:t>
      </w:r>
      <w:r w:rsidR="00977159">
        <w:t>l’illustre</w:t>
      </w:r>
      <w:r>
        <w:t xml:space="preserve"> le tableau, avant la CMR-97</w:t>
      </w:r>
      <w:r w:rsidR="00977159">
        <w:t>, une administration disposait de six</w:t>
      </w:r>
      <w:r>
        <w:t xml:space="preserve"> ans pour </w:t>
      </w:r>
      <w:r>
        <w:rPr>
          <w:color w:val="000000"/>
        </w:rPr>
        <w:t>mettre en service</w:t>
      </w:r>
      <w:r w:rsidR="005A094B">
        <w:rPr>
          <w:color w:val="000000"/>
        </w:rPr>
        <w:t xml:space="preserve"> ses assignations de fréquence</w:t>
      </w:r>
      <w:r w:rsidR="00977159">
        <w:rPr>
          <w:color w:val="000000"/>
        </w:rPr>
        <w:t>,</w:t>
      </w:r>
      <w:r>
        <w:rPr>
          <w:color w:val="000000"/>
        </w:rPr>
        <w:t xml:space="preserve"> </w:t>
      </w:r>
      <w:r w:rsidR="00977159">
        <w:rPr>
          <w:color w:val="000000"/>
        </w:rPr>
        <w:t xml:space="preserve">avec possibilité de </w:t>
      </w:r>
      <w:r w:rsidR="00262A71">
        <w:rPr>
          <w:color w:val="000000"/>
        </w:rPr>
        <w:t>prolon</w:t>
      </w:r>
      <w:r w:rsidR="004F2B4F">
        <w:rPr>
          <w:color w:val="000000"/>
        </w:rPr>
        <w:t>gation</w:t>
      </w:r>
      <w:r w:rsidR="00977159">
        <w:rPr>
          <w:color w:val="000000"/>
        </w:rPr>
        <w:t xml:space="preserve"> de trois</w:t>
      </w:r>
      <w:r>
        <w:rPr>
          <w:color w:val="000000"/>
        </w:rPr>
        <w:t xml:space="preserve"> ans. Lors de la CMR-97, il a été décidé de réduire le délai réglementaire d’un an, tout comme la durée de </w:t>
      </w:r>
      <w:r w:rsidR="00977159">
        <w:rPr>
          <w:color w:val="000000"/>
        </w:rPr>
        <w:t xml:space="preserve">la </w:t>
      </w:r>
      <w:r w:rsidR="00262A71">
        <w:rPr>
          <w:color w:val="000000"/>
        </w:rPr>
        <w:t>prolon</w:t>
      </w:r>
      <w:r w:rsidR="004F2B4F">
        <w:rPr>
          <w:color w:val="000000"/>
        </w:rPr>
        <w:t>gation</w:t>
      </w:r>
      <w:r>
        <w:rPr>
          <w:color w:val="000000"/>
        </w:rPr>
        <w:t>.</w:t>
      </w:r>
      <w:r w:rsidR="00877264">
        <w:rPr>
          <w:color w:val="000000"/>
        </w:rPr>
        <w:t xml:space="preserve"> Le délai </w:t>
      </w:r>
      <w:r w:rsidR="00977159">
        <w:rPr>
          <w:color w:val="000000"/>
        </w:rPr>
        <w:t>réglementaire est donc passé à cinq</w:t>
      </w:r>
      <w:r w:rsidR="00877264">
        <w:rPr>
          <w:color w:val="000000"/>
        </w:rPr>
        <w:t xml:space="preserve"> ans et, si besoin</w:t>
      </w:r>
      <w:r w:rsidR="00977159">
        <w:rPr>
          <w:color w:val="000000"/>
        </w:rPr>
        <w:t xml:space="preserve">, </w:t>
      </w:r>
      <w:r w:rsidR="00425A64">
        <w:rPr>
          <w:color w:val="000000"/>
        </w:rPr>
        <w:t>en</w:t>
      </w:r>
      <w:r w:rsidR="00977159">
        <w:rPr>
          <w:color w:val="000000"/>
        </w:rPr>
        <w:t xml:space="preserve"> cas de</w:t>
      </w:r>
      <w:r w:rsidR="00877264">
        <w:rPr>
          <w:color w:val="000000"/>
        </w:rPr>
        <w:t xml:space="preserve"> circonstances atténuantes, une administration pouvait demander à bé</w:t>
      </w:r>
      <w:r w:rsidR="00977159">
        <w:rPr>
          <w:color w:val="000000"/>
        </w:rPr>
        <w:t xml:space="preserve">néficier d’une </w:t>
      </w:r>
      <w:r w:rsidR="00262A71">
        <w:rPr>
          <w:color w:val="000000"/>
        </w:rPr>
        <w:t>prolon</w:t>
      </w:r>
      <w:r w:rsidR="004F2B4F">
        <w:rPr>
          <w:color w:val="000000"/>
        </w:rPr>
        <w:t>gation</w:t>
      </w:r>
      <w:r w:rsidR="00977159">
        <w:rPr>
          <w:color w:val="000000"/>
        </w:rPr>
        <w:t xml:space="preserve"> de deux </w:t>
      </w:r>
      <w:r w:rsidR="00877264">
        <w:rPr>
          <w:color w:val="000000"/>
        </w:rPr>
        <w:t xml:space="preserve">ans. </w:t>
      </w:r>
    </w:p>
    <w:p w:rsidR="00D315BC" w:rsidRDefault="009E42A2" w:rsidP="005A094B">
      <w:pPr>
        <w:rPr>
          <w:color w:val="000000"/>
        </w:rPr>
      </w:pPr>
      <w:r>
        <w:rPr>
          <w:color w:val="000000"/>
        </w:rPr>
        <w:t>Avant la CMR-03, le délai réglementaire pour effectuer la mise en service</w:t>
      </w:r>
      <w:r w:rsidR="00E04C6A">
        <w:rPr>
          <w:color w:val="000000"/>
        </w:rPr>
        <w:t xml:space="preserve"> d’une assignation de fréquence</w:t>
      </w:r>
      <w:r>
        <w:rPr>
          <w:color w:val="000000"/>
        </w:rPr>
        <w:t xml:space="preserve"> </w:t>
      </w:r>
      <w:r w:rsidR="00AE2402">
        <w:rPr>
          <w:color w:val="000000"/>
        </w:rPr>
        <w:t>à un</w:t>
      </w:r>
      <w:r w:rsidR="00BD2F72">
        <w:rPr>
          <w:color w:val="000000"/>
        </w:rPr>
        <w:t xml:space="preserve"> réseau à satellite était de cinq ans, avec</w:t>
      </w:r>
      <w:r>
        <w:rPr>
          <w:color w:val="000000"/>
        </w:rPr>
        <w:t xml:space="preserve"> possibilité </w:t>
      </w:r>
      <w:r w:rsidR="00BD2F72">
        <w:rPr>
          <w:color w:val="000000"/>
        </w:rPr>
        <w:t xml:space="preserve">de </w:t>
      </w:r>
      <w:r w:rsidR="00262A71">
        <w:rPr>
          <w:color w:val="000000"/>
        </w:rPr>
        <w:t>prolon</w:t>
      </w:r>
      <w:r w:rsidR="004F2B4F">
        <w:rPr>
          <w:color w:val="000000"/>
        </w:rPr>
        <w:t>gation</w:t>
      </w:r>
      <w:r w:rsidR="00BD2F72">
        <w:rPr>
          <w:color w:val="000000"/>
        </w:rPr>
        <w:t xml:space="preserve"> de deux</w:t>
      </w:r>
      <w:r>
        <w:rPr>
          <w:color w:val="000000"/>
        </w:rPr>
        <w:t xml:space="preserve"> ans </w:t>
      </w:r>
      <w:r w:rsidR="00BD2F72">
        <w:rPr>
          <w:color w:val="000000"/>
        </w:rPr>
        <w:t>aux conditions expressément prévues par</w:t>
      </w:r>
      <w:r>
        <w:rPr>
          <w:color w:val="000000"/>
        </w:rPr>
        <w:t xml:space="preserve"> l’Article 11 (</w:t>
      </w:r>
      <w:r w:rsidR="00E04C6A">
        <w:rPr>
          <w:color w:val="000000"/>
        </w:rPr>
        <w:t>numéros</w:t>
      </w:r>
      <w:r>
        <w:rPr>
          <w:color w:val="000000"/>
        </w:rPr>
        <w:t xml:space="preserve"> 11.44C à 11.44I du </w:t>
      </w:r>
      <w:r w:rsidR="00BD2F72">
        <w:rPr>
          <w:color w:val="000000"/>
        </w:rPr>
        <w:t>RR</w:t>
      </w:r>
      <w:r>
        <w:rPr>
          <w:color w:val="000000"/>
        </w:rPr>
        <w:t>, version de 2011)</w:t>
      </w:r>
      <w:r w:rsidR="004B1BC0">
        <w:rPr>
          <w:color w:val="000000"/>
        </w:rPr>
        <w:t xml:space="preserve">, notamment, mais pas </w:t>
      </w:r>
      <w:r w:rsidR="00BD2F72">
        <w:rPr>
          <w:color w:val="000000"/>
        </w:rPr>
        <w:t>exclusivement</w:t>
      </w:r>
      <w:r w:rsidR="004B1BC0">
        <w:rPr>
          <w:color w:val="000000"/>
        </w:rPr>
        <w:t xml:space="preserve">, en cas d’échec de lancement. </w:t>
      </w:r>
      <w:r w:rsidR="00662770">
        <w:rPr>
          <w:color w:val="000000"/>
        </w:rPr>
        <w:t xml:space="preserve">Dans son Rapport à la CMR-03, le Directeur du Bureau des radiocommunications a </w:t>
      </w:r>
      <w:r w:rsidR="003277A8">
        <w:rPr>
          <w:color w:val="000000"/>
        </w:rPr>
        <w:t>souligné</w:t>
      </w:r>
      <w:r w:rsidR="00662770">
        <w:rPr>
          <w:color w:val="000000"/>
        </w:rPr>
        <w:t xml:space="preserve"> que l’examen des demandes de </w:t>
      </w:r>
      <w:r w:rsidR="00262A71">
        <w:rPr>
          <w:color w:val="000000"/>
        </w:rPr>
        <w:t>prolon</w:t>
      </w:r>
      <w:r w:rsidR="004F2B4F">
        <w:rPr>
          <w:color w:val="000000"/>
        </w:rPr>
        <w:t>gation</w:t>
      </w:r>
      <w:r w:rsidR="00662770">
        <w:rPr>
          <w:color w:val="000000"/>
        </w:rPr>
        <w:t xml:space="preserve"> du délai réglementaire conformément aux conditions spécifiées aux </w:t>
      </w:r>
      <w:r w:rsidR="00E04C6A">
        <w:rPr>
          <w:color w:val="000000"/>
        </w:rPr>
        <w:t>numéros</w:t>
      </w:r>
      <w:r w:rsidR="00662770">
        <w:rPr>
          <w:color w:val="000000"/>
        </w:rPr>
        <w:t> 11.44C à 11.44I du RR</w:t>
      </w:r>
      <w:r w:rsidR="0054216C">
        <w:rPr>
          <w:color w:val="000000"/>
        </w:rPr>
        <w:t xml:space="preserve"> mobilisai</w:t>
      </w:r>
      <w:r w:rsidR="00D0572C">
        <w:rPr>
          <w:color w:val="000000"/>
        </w:rPr>
        <w:t>t beaucoup de temps et de ressources, pour aboutir de manière quasi-systématique à l’octroi d’un</w:t>
      </w:r>
      <w:r w:rsidR="00B45998">
        <w:rPr>
          <w:color w:val="000000"/>
        </w:rPr>
        <w:t xml:space="preserve">e </w:t>
      </w:r>
      <w:r w:rsidR="00262A71">
        <w:rPr>
          <w:color w:val="000000"/>
        </w:rPr>
        <w:t>prolon</w:t>
      </w:r>
      <w:r w:rsidR="004F2B4F">
        <w:rPr>
          <w:color w:val="000000"/>
        </w:rPr>
        <w:t>gation</w:t>
      </w:r>
      <w:r w:rsidR="00D0572C">
        <w:rPr>
          <w:color w:val="000000"/>
        </w:rPr>
        <w:t xml:space="preserve"> </w:t>
      </w:r>
      <w:r w:rsidR="003277A8">
        <w:rPr>
          <w:color w:val="000000"/>
        </w:rPr>
        <w:t xml:space="preserve">ramenant le délai </w:t>
      </w:r>
      <w:r w:rsidR="00D0572C">
        <w:rPr>
          <w:color w:val="000000"/>
        </w:rPr>
        <w:t>à sept ans.</w:t>
      </w:r>
      <w:r w:rsidR="004B6750">
        <w:rPr>
          <w:color w:val="000000"/>
        </w:rPr>
        <w:t xml:space="preserve"> En effet, très peu d</w:t>
      </w:r>
      <w:r w:rsidR="00E04C6A">
        <w:rPr>
          <w:color w:val="000000"/>
        </w:rPr>
        <w:t>’assignations de fréquence</w:t>
      </w:r>
      <w:r w:rsidR="00355C06">
        <w:rPr>
          <w:color w:val="000000"/>
        </w:rPr>
        <w:t xml:space="preserve"> à des réseaux </w:t>
      </w:r>
      <w:r w:rsidR="003277A8">
        <w:rPr>
          <w:color w:val="000000"/>
        </w:rPr>
        <w:t>à satellite</w:t>
      </w:r>
      <w:r w:rsidR="00355C06">
        <w:rPr>
          <w:color w:val="000000"/>
        </w:rPr>
        <w:t xml:space="preserve"> </w:t>
      </w:r>
      <w:r w:rsidR="003277A8">
        <w:rPr>
          <w:color w:val="000000"/>
        </w:rPr>
        <w:t>ont été</w:t>
      </w:r>
      <w:r w:rsidR="00355C06">
        <w:rPr>
          <w:color w:val="000000"/>
        </w:rPr>
        <w:t xml:space="preserve"> supprimées au terme du délai réglementaire de </w:t>
      </w:r>
      <w:r w:rsidR="003277A8">
        <w:rPr>
          <w:color w:val="000000"/>
        </w:rPr>
        <w:t>cinq</w:t>
      </w:r>
      <w:r w:rsidR="00355C06">
        <w:rPr>
          <w:color w:val="000000"/>
        </w:rPr>
        <w:t xml:space="preserve"> ans. La CMR-03, </w:t>
      </w:r>
      <w:r w:rsidR="008938C7">
        <w:rPr>
          <w:color w:val="000000"/>
        </w:rPr>
        <w:t>par l’adoption d’</w:t>
      </w:r>
      <w:r w:rsidR="00355C06">
        <w:rPr>
          <w:color w:val="000000"/>
        </w:rPr>
        <w:t xml:space="preserve">un délai réglementaire unique de </w:t>
      </w:r>
      <w:r w:rsidR="008938C7">
        <w:rPr>
          <w:color w:val="000000"/>
        </w:rPr>
        <w:t>sept</w:t>
      </w:r>
      <w:r w:rsidR="00355C06">
        <w:rPr>
          <w:color w:val="000000"/>
        </w:rPr>
        <w:t xml:space="preserve"> ans, a décidé </w:t>
      </w:r>
      <w:r w:rsidR="003277A8">
        <w:rPr>
          <w:color w:val="000000"/>
        </w:rPr>
        <w:t>de rendre le</w:t>
      </w:r>
      <w:r w:rsidR="00355C06">
        <w:rPr>
          <w:color w:val="000000"/>
        </w:rPr>
        <w:t xml:space="preserve"> délai réglementaire</w:t>
      </w:r>
      <w:r w:rsidR="003277A8">
        <w:rPr>
          <w:color w:val="000000"/>
        </w:rPr>
        <w:t xml:space="preserve"> plus souple</w:t>
      </w:r>
      <w:r w:rsidR="00653A8A">
        <w:rPr>
          <w:color w:val="000000"/>
        </w:rPr>
        <w:t xml:space="preserve"> afin de pouvoir gérer des cas </w:t>
      </w:r>
      <w:r w:rsidR="003277A8">
        <w:rPr>
          <w:color w:val="000000"/>
        </w:rPr>
        <w:t>d’</w:t>
      </w:r>
      <w:r w:rsidR="00653A8A">
        <w:rPr>
          <w:color w:val="000000"/>
        </w:rPr>
        <w:t xml:space="preserve">échec de lancement. </w:t>
      </w:r>
      <w:r w:rsidR="00482CE9">
        <w:rPr>
          <w:color w:val="000000"/>
        </w:rPr>
        <w:t>Théoriqueme</w:t>
      </w:r>
      <w:r w:rsidR="008938C7">
        <w:rPr>
          <w:color w:val="000000"/>
        </w:rPr>
        <w:t>nt, une administration dispose</w:t>
      </w:r>
      <w:r w:rsidR="00680CF4">
        <w:rPr>
          <w:color w:val="000000"/>
        </w:rPr>
        <w:t>rait</w:t>
      </w:r>
      <w:r w:rsidR="00482CE9">
        <w:rPr>
          <w:color w:val="000000"/>
        </w:rPr>
        <w:t xml:space="preserve"> de </w:t>
      </w:r>
      <w:r w:rsidR="008938C7">
        <w:rPr>
          <w:color w:val="000000"/>
        </w:rPr>
        <w:t>cinq</w:t>
      </w:r>
      <w:r w:rsidR="00482CE9">
        <w:rPr>
          <w:color w:val="000000"/>
        </w:rPr>
        <w:t xml:space="preserve"> ans maximum pour </w:t>
      </w:r>
      <w:r w:rsidR="008938C7">
        <w:rPr>
          <w:color w:val="000000"/>
        </w:rPr>
        <w:t>effectuer la mise</w:t>
      </w:r>
      <w:r w:rsidR="00482CE9">
        <w:rPr>
          <w:color w:val="000000"/>
        </w:rPr>
        <w:t xml:space="preserve"> en service </w:t>
      </w:r>
      <w:r w:rsidR="008938C7">
        <w:rPr>
          <w:color w:val="000000"/>
        </w:rPr>
        <w:t xml:space="preserve">de </w:t>
      </w:r>
      <w:r w:rsidR="00482CE9">
        <w:rPr>
          <w:color w:val="000000"/>
        </w:rPr>
        <w:t>so</w:t>
      </w:r>
      <w:r w:rsidR="008938C7">
        <w:rPr>
          <w:color w:val="000000"/>
        </w:rPr>
        <w:t>n satellite, auxquels s’ajoute</w:t>
      </w:r>
      <w:r w:rsidR="00482CE9">
        <w:rPr>
          <w:color w:val="000000"/>
        </w:rPr>
        <w:t xml:space="preserve"> automatiquement </w:t>
      </w:r>
      <w:r w:rsidR="008938C7">
        <w:rPr>
          <w:color w:val="000000"/>
        </w:rPr>
        <w:t>une</w:t>
      </w:r>
      <w:r w:rsidR="00482CE9">
        <w:rPr>
          <w:color w:val="000000"/>
        </w:rPr>
        <w:t xml:space="preserve"> </w:t>
      </w:r>
      <w:r w:rsidR="00262A71">
        <w:rPr>
          <w:color w:val="000000"/>
        </w:rPr>
        <w:t>prolon</w:t>
      </w:r>
      <w:r w:rsidR="004F2B4F">
        <w:rPr>
          <w:color w:val="000000"/>
        </w:rPr>
        <w:t>gation</w:t>
      </w:r>
      <w:r w:rsidR="00482CE9">
        <w:rPr>
          <w:color w:val="000000"/>
        </w:rPr>
        <w:t xml:space="preserve"> en cas de force majeure. </w:t>
      </w:r>
      <w:r w:rsidR="00835951">
        <w:rPr>
          <w:color w:val="000000"/>
        </w:rPr>
        <w:t xml:space="preserve">Malheureusement, </w:t>
      </w:r>
      <w:r w:rsidR="00D62895">
        <w:rPr>
          <w:color w:val="000000"/>
        </w:rPr>
        <w:t>d’expérience,</w:t>
      </w:r>
      <w:r w:rsidR="00835951">
        <w:rPr>
          <w:color w:val="000000"/>
        </w:rPr>
        <w:t xml:space="preserve"> le délai </w:t>
      </w:r>
      <w:r w:rsidR="008938C7">
        <w:rPr>
          <w:color w:val="000000"/>
        </w:rPr>
        <w:t>réglementaire</w:t>
      </w:r>
      <w:r w:rsidR="00101D66">
        <w:rPr>
          <w:color w:val="000000"/>
        </w:rPr>
        <w:t xml:space="preserve"> </w:t>
      </w:r>
      <w:r w:rsidR="00835951">
        <w:rPr>
          <w:color w:val="000000"/>
        </w:rPr>
        <w:t xml:space="preserve">de </w:t>
      </w:r>
      <w:r w:rsidR="008938C7">
        <w:rPr>
          <w:color w:val="000000"/>
        </w:rPr>
        <w:t>sept</w:t>
      </w:r>
      <w:r w:rsidR="00835951">
        <w:rPr>
          <w:color w:val="000000"/>
        </w:rPr>
        <w:t xml:space="preserve"> ans</w:t>
      </w:r>
      <w:r w:rsidR="001A7C49">
        <w:rPr>
          <w:color w:val="000000"/>
        </w:rPr>
        <w:t xml:space="preserve"> est généralement </w:t>
      </w:r>
      <w:r w:rsidR="000114D1">
        <w:rPr>
          <w:color w:val="000000"/>
        </w:rPr>
        <w:t xml:space="preserve">entièrement </w:t>
      </w:r>
      <w:r w:rsidR="001A7C49">
        <w:rPr>
          <w:color w:val="000000"/>
        </w:rPr>
        <w:t xml:space="preserve">utilisé pour la mise en service des assignations, </w:t>
      </w:r>
      <w:r w:rsidR="009D45E3">
        <w:rPr>
          <w:color w:val="000000"/>
        </w:rPr>
        <w:t xml:space="preserve">sans </w:t>
      </w:r>
      <w:r w:rsidR="000114D1">
        <w:rPr>
          <w:color w:val="000000"/>
        </w:rPr>
        <w:t>tenir compte du fait qu’il peut être nécessaire de gérer un échec</w:t>
      </w:r>
      <w:r w:rsidR="009D45E3">
        <w:rPr>
          <w:color w:val="000000"/>
        </w:rPr>
        <w:t xml:space="preserve"> de lancement, ou tout autre événement pouvant occasionner </w:t>
      </w:r>
      <w:r w:rsidR="000114D1">
        <w:rPr>
          <w:color w:val="000000"/>
        </w:rPr>
        <w:t xml:space="preserve">des </w:t>
      </w:r>
      <w:r w:rsidR="009D45E3">
        <w:rPr>
          <w:color w:val="000000"/>
        </w:rPr>
        <w:t>retard</w:t>
      </w:r>
      <w:r w:rsidR="000114D1">
        <w:rPr>
          <w:color w:val="000000"/>
        </w:rPr>
        <w:t>s</w:t>
      </w:r>
      <w:r w:rsidR="009D45E3">
        <w:rPr>
          <w:color w:val="000000"/>
        </w:rPr>
        <w:t>.</w:t>
      </w:r>
      <w:r w:rsidR="005A094B">
        <w:rPr>
          <w:color w:val="000000"/>
        </w:rPr>
        <w:t xml:space="preserve"> </w:t>
      </w:r>
      <w:r w:rsidR="00E07892">
        <w:rPr>
          <w:color w:val="000000"/>
        </w:rPr>
        <w:t>Il est intéressant de remarquer que certaines administrations disposent de règles national</w:t>
      </w:r>
      <w:r w:rsidR="009A6882">
        <w:rPr>
          <w:color w:val="000000"/>
        </w:rPr>
        <w:t>es</w:t>
      </w:r>
      <w:r w:rsidR="00E07892">
        <w:rPr>
          <w:color w:val="000000"/>
        </w:rPr>
        <w:t xml:space="preserve"> qui </w:t>
      </w:r>
      <w:r w:rsidR="009A6882">
        <w:rPr>
          <w:color w:val="000000"/>
        </w:rPr>
        <w:t>imposent aux</w:t>
      </w:r>
      <w:r w:rsidR="00E07892">
        <w:rPr>
          <w:color w:val="000000"/>
        </w:rPr>
        <w:t xml:space="preserve"> opé</w:t>
      </w:r>
      <w:r w:rsidR="009B4A67">
        <w:rPr>
          <w:color w:val="000000"/>
        </w:rPr>
        <w:t>rateurs de systèmes à satellite</w:t>
      </w:r>
      <w:r w:rsidR="00680CF4">
        <w:rPr>
          <w:color w:val="000000"/>
        </w:rPr>
        <w:t>s</w:t>
      </w:r>
      <w:r w:rsidR="009A6882">
        <w:rPr>
          <w:color w:val="000000"/>
        </w:rPr>
        <w:t xml:space="preserve"> d’effectuer</w:t>
      </w:r>
      <w:r w:rsidR="00E07892">
        <w:rPr>
          <w:color w:val="000000"/>
        </w:rPr>
        <w:t xml:space="preserve"> la mise en service de leu</w:t>
      </w:r>
      <w:r w:rsidR="009A6882">
        <w:rPr>
          <w:color w:val="000000"/>
        </w:rPr>
        <w:t>rs satellites dans un délai de cinq</w:t>
      </w:r>
      <w:r w:rsidR="00E07892">
        <w:rPr>
          <w:color w:val="000000"/>
        </w:rPr>
        <w:t xml:space="preserve"> ans </w:t>
      </w:r>
      <w:r w:rsidR="009A6882">
        <w:rPr>
          <w:color w:val="000000"/>
        </w:rPr>
        <w:t>sous peine de se voir retirer</w:t>
      </w:r>
      <w:r w:rsidR="00E07892">
        <w:rPr>
          <w:color w:val="000000"/>
        </w:rPr>
        <w:t xml:space="preserve"> leur licence.</w:t>
      </w:r>
      <w:r w:rsidR="00116BCC">
        <w:rPr>
          <w:color w:val="000000"/>
        </w:rPr>
        <w:t xml:space="preserve"> </w:t>
      </w:r>
      <w:r w:rsidR="009A6882">
        <w:rPr>
          <w:color w:val="000000"/>
        </w:rPr>
        <w:t>Le délai réglementaire de sept</w:t>
      </w:r>
      <w:r w:rsidR="008A3778">
        <w:rPr>
          <w:color w:val="000000"/>
        </w:rPr>
        <w:t xml:space="preserve"> ans est suffisant</w:t>
      </w:r>
      <w:r w:rsidR="00265250">
        <w:rPr>
          <w:color w:val="000000"/>
        </w:rPr>
        <w:t xml:space="preserve">, et les opérateurs doivent </w:t>
      </w:r>
      <w:r w:rsidR="008A3778">
        <w:rPr>
          <w:color w:val="000000"/>
        </w:rPr>
        <w:t xml:space="preserve">organiser </w:t>
      </w:r>
      <w:r w:rsidR="00265250">
        <w:rPr>
          <w:color w:val="000000"/>
        </w:rPr>
        <w:t xml:space="preserve">la mise en service dans ce délai </w:t>
      </w:r>
      <w:r w:rsidR="008A3778">
        <w:rPr>
          <w:color w:val="000000"/>
        </w:rPr>
        <w:t>en tenant compte des risques</w:t>
      </w:r>
      <w:r w:rsidR="00265250">
        <w:rPr>
          <w:color w:val="000000"/>
        </w:rPr>
        <w:t>.</w:t>
      </w:r>
      <w:r w:rsidR="00513DD4">
        <w:rPr>
          <w:color w:val="000000"/>
        </w:rPr>
        <w:t xml:space="preserve"> Des méthodes peuvent permettre d’</w:t>
      </w:r>
      <w:r w:rsidR="009A766A">
        <w:rPr>
          <w:color w:val="000000"/>
        </w:rPr>
        <w:t>atténu</w:t>
      </w:r>
      <w:r w:rsidR="00513DD4">
        <w:rPr>
          <w:color w:val="000000"/>
        </w:rPr>
        <w:t>er l</w:t>
      </w:r>
      <w:r w:rsidR="009A766A">
        <w:rPr>
          <w:color w:val="000000"/>
        </w:rPr>
        <w:t>es risques liés aux échecs de lancement</w:t>
      </w:r>
      <w:r w:rsidR="00FC13D6">
        <w:rPr>
          <w:color w:val="000000"/>
        </w:rPr>
        <w:t>; il est par exemple possible de réserver deux des sept années du délai réglementaire</w:t>
      </w:r>
      <w:r w:rsidR="00513DD4">
        <w:rPr>
          <w:color w:val="000000"/>
        </w:rPr>
        <w:t xml:space="preserve"> pour la gestion des risques</w:t>
      </w:r>
      <w:r w:rsidR="00FC13D6">
        <w:rPr>
          <w:color w:val="000000"/>
        </w:rPr>
        <w:t xml:space="preserve">, ou encore de </w:t>
      </w:r>
      <w:r w:rsidR="00540994">
        <w:rPr>
          <w:color w:val="000000"/>
        </w:rPr>
        <w:t>se procurer</w:t>
      </w:r>
      <w:r w:rsidR="0006759B">
        <w:rPr>
          <w:color w:val="000000"/>
        </w:rPr>
        <w:t xml:space="preserve"> un </w:t>
      </w:r>
      <w:r w:rsidR="006514C5">
        <w:rPr>
          <w:color w:val="000000"/>
        </w:rPr>
        <w:t>engin spatial</w:t>
      </w:r>
      <w:r w:rsidR="0006759B">
        <w:rPr>
          <w:color w:val="000000"/>
        </w:rPr>
        <w:t xml:space="preserve"> </w:t>
      </w:r>
      <w:r w:rsidR="00AE2402">
        <w:rPr>
          <w:color w:val="000000"/>
        </w:rPr>
        <w:t xml:space="preserve">de réserve </w:t>
      </w:r>
      <w:r w:rsidR="00A2001D">
        <w:rPr>
          <w:color w:val="000000"/>
        </w:rPr>
        <w:t xml:space="preserve">sur orbite </w:t>
      </w:r>
      <w:r w:rsidR="00513DD4">
        <w:rPr>
          <w:color w:val="000000"/>
        </w:rPr>
        <w:t xml:space="preserve">avant </w:t>
      </w:r>
      <w:r w:rsidR="0006759B">
        <w:rPr>
          <w:color w:val="000000"/>
        </w:rPr>
        <w:t xml:space="preserve">un </w:t>
      </w:r>
      <w:r w:rsidR="0006759B">
        <w:rPr>
          <w:color w:val="000000"/>
        </w:rPr>
        <w:lastRenderedPageBreak/>
        <w:t>lancement.</w:t>
      </w:r>
      <w:r w:rsidR="005A094B">
        <w:rPr>
          <w:color w:val="000000"/>
        </w:rPr>
        <w:t xml:space="preserve"> </w:t>
      </w:r>
      <w:r w:rsidR="00D315BC">
        <w:rPr>
          <w:color w:val="000000"/>
        </w:rPr>
        <w:t xml:space="preserve">Par ailleurs, les administrations rencontrant des circonstances exceptionnelles ont la possibilité de faire une demande </w:t>
      </w:r>
      <w:r w:rsidR="00E97C4E">
        <w:rPr>
          <w:color w:val="000000"/>
        </w:rPr>
        <w:t>de</w:t>
      </w:r>
      <w:r w:rsidR="00D315BC">
        <w:rPr>
          <w:color w:val="000000"/>
        </w:rPr>
        <w:t xml:space="preserve"> </w:t>
      </w:r>
      <w:r w:rsidR="00262A71">
        <w:rPr>
          <w:color w:val="000000"/>
        </w:rPr>
        <w:t>prolon</w:t>
      </w:r>
      <w:r w:rsidR="004F2B4F">
        <w:rPr>
          <w:color w:val="000000"/>
        </w:rPr>
        <w:t>gation</w:t>
      </w:r>
      <w:r w:rsidR="00D315BC">
        <w:rPr>
          <w:color w:val="000000"/>
        </w:rPr>
        <w:t xml:space="preserve"> du délai réglementaire </w:t>
      </w:r>
      <w:r w:rsidR="00E97C4E">
        <w:rPr>
          <w:color w:val="000000"/>
        </w:rPr>
        <w:t xml:space="preserve">auprès d’une Conférence </w:t>
      </w:r>
      <w:r w:rsidR="00D315BC">
        <w:rPr>
          <w:color w:val="000000"/>
        </w:rPr>
        <w:t>afi</w:t>
      </w:r>
      <w:r w:rsidR="00AE2402">
        <w:rPr>
          <w:color w:val="000000"/>
        </w:rPr>
        <w:t>n de pouvoir mettre en service l</w:t>
      </w:r>
      <w:r w:rsidR="00680CF4">
        <w:rPr>
          <w:color w:val="000000"/>
        </w:rPr>
        <w:t>es assignations de fréquence</w:t>
      </w:r>
      <w:r w:rsidR="00D315BC">
        <w:rPr>
          <w:color w:val="000000"/>
        </w:rPr>
        <w:t xml:space="preserve"> </w:t>
      </w:r>
      <w:r w:rsidR="00AE2402">
        <w:rPr>
          <w:color w:val="000000"/>
        </w:rPr>
        <w:t>à</w:t>
      </w:r>
      <w:r w:rsidR="00D315BC">
        <w:rPr>
          <w:color w:val="000000"/>
        </w:rPr>
        <w:t xml:space="preserve"> leurs réseaux à satellite.</w:t>
      </w:r>
    </w:p>
    <w:p w:rsidR="00D315BC" w:rsidRDefault="00D315BC" w:rsidP="000708B6">
      <w:pPr>
        <w:rPr>
          <w:color w:val="000000"/>
        </w:rPr>
      </w:pPr>
      <w:r>
        <w:rPr>
          <w:color w:val="000000"/>
        </w:rPr>
        <w:t xml:space="preserve">Il est important d’observer qu’un échec de lancement ne correspond pas seulement aux cas où </w:t>
      </w:r>
      <w:r w:rsidR="00837632">
        <w:rPr>
          <w:color w:val="000000"/>
        </w:rPr>
        <w:t>le</w:t>
      </w:r>
      <w:r>
        <w:rPr>
          <w:color w:val="000000"/>
        </w:rPr>
        <w:t xml:space="preserve"> satellite est détruit, mais aussi aux situations où le satellite n’atteint pas sa position orbitale, ou encore lorsque </w:t>
      </w:r>
      <w:r w:rsidR="00837632">
        <w:rPr>
          <w:color w:val="000000"/>
        </w:rPr>
        <w:t>son antenne ou ses panneaux solaires ne peuvent être correctement déployés</w:t>
      </w:r>
      <w:r w:rsidR="00444DF5">
        <w:rPr>
          <w:color w:val="000000"/>
        </w:rPr>
        <w:t xml:space="preserve">. </w:t>
      </w:r>
      <w:r w:rsidR="00AF75C1">
        <w:rPr>
          <w:color w:val="000000"/>
        </w:rPr>
        <w:t xml:space="preserve">Il est également important </w:t>
      </w:r>
      <w:r w:rsidR="00837632">
        <w:rPr>
          <w:color w:val="000000"/>
        </w:rPr>
        <w:t>de noter</w:t>
      </w:r>
      <w:r w:rsidR="00AF75C1">
        <w:rPr>
          <w:color w:val="000000"/>
        </w:rPr>
        <w:t xml:space="preserve"> qu’un échec de lancement suite auquel un satellite est détruit peut avoir des conséquences sur le calendrier de lancement d’autres satellites utilisant le même type de lanceur que celui impliqué dans l’échec de lancement. </w:t>
      </w:r>
      <w:r w:rsidR="000D5A44">
        <w:rPr>
          <w:color w:val="000000"/>
        </w:rPr>
        <w:t xml:space="preserve">Il est, en règle général, très difficile de couvrir, dans le Règlement des radiocommunications, l’ensemble des situations dans lesquelles </w:t>
      </w:r>
      <w:r w:rsidR="002C4275">
        <w:rPr>
          <w:color w:val="000000"/>
        </w:rPr>
        <w:t>l’octroi d’</w:t>
      </w:r>
      <w:r w:rsidR="000D5A44">
        <w:rPr>
          <w:color w:val="000000"/>
        </w:rPr>
        <w:t xml:space="preserve">une </w:t>
      </w:r>
      <w:r w:rsidR="00262A71">
        <w:rPr>
          <w:color w:val="000000"/>
        </w:rPr>
        <w:t>prolon</w:t>
      </w:r>
      <w:r w:rsidR="004F2B4F">
        <w:rPr>
          <w:color w:val="000000"/>
        </w:rPr>
        <w:t>gation</w:t>
      </w:r>
      <w:r w:rsidR="000D5A44">
        <w:rPr>
          <w:color w:val="000000"/>
        </w:rPr>
        <w:t xml:space="preserve"> du délai réglementaire pour la mise en service des assignations de fréquences </w:t>
      </w:r>
      <w:r w:rsidR="00AE2402">
        <w:rPr>
          <w:color w:val="000000"/>
        </w:rPr>
        <w:t>à</w:t>
      </w:r>
      <w:r w:rsidR="00E240C5">
        <w:rPr>
          <w:color w:val="000000"/>
        </w:rPr>
        <w:t xml:space="preserve"> un réseau à satellite</w:t>
      </w:r>
      <w:r w:rsidR="00525281">
        <w:rPr>
          <w:color w:val="000000"/>
        </w:rPr>
        <w:t xml:space="preserve"> </w:t>
      </w:r>
      <w:r w:rsidR="002C4275">
        <w:rPr>
          <w:color w:val="000000"/>
        </w:rPr>
        <w:t>est légitime</w:t>
      </w:r>
      <w:r w:rsidR="00E240C5">
        <w:rPr>
          <w:color w:val="000000"/>
        </w:rPr>
        <w:t xml:space="preserve"> </w:t>
      </w:r>
      <w:r w:rsidR="002C4275">
        <w:rPr>
          <w:color w:val="000000"/>
        </w:rPr>
        <w:t xml:space="preserve">et, dans tous les cas, le </w:t>
      </w:r>
      <w:r w:rsidR="00837632">
        <w:rPr>
          <w:color w:val="000000"/>
        </w:rPr>
        <w:t>RR</w:t>
      </w:r>
      <w:r w:rsidR="002C4275">
        <w:rPr>
          <w:color w:val="000000"/>
        </w:rPr>
        <w:t xml:space="preserve"> n’a pas pour but de traiter tous les cas particuliers. </w:t>
      </w:r>
      <w:r w:rsidR="00C675BF">
        <w:rPr>
          <w:color w:val="000000"/>
        </w:rPr>
        <w:t xml:space="preserve">La CMR-03 a donc décidé d’intégrer la </w:t>
      </w:r>
      <w:r w:rsidR="00262A71">
        <w:rPr>
          <w:color w:val="000000"/>
        </w:rPr>
        <w:t>prolon</w:t>
      </w:r>
      <w:r w:rsidR="004F2B4F">
        <w:rPr>
          <w:color w:val="000000"/>
        </w:rPr>
        <w:t>gation</w:t>
      </w:r>
      <w:r w:rsidR="00C675BF">
        <w:rPr>
          <w:color w:val="000000"/>
        </w:rPr>
        <w:t xml:space="preserve"> de deux ans au délai réglementaire.</w:t>
      </w:r>
    </w:p>
    <w:p w:rsidR="0033587D" w:rsidRDefault="00C47C0A" w:rsidP="000708B6">
      <w:pPr>
        <w:rPr>
          <w:color w:val="000000"/>
        </w:rPr>
      </w:pPr>
      <w:r>
        <w:rPr>
          <w:color w:val="000000"/>
        </w:rPr>
        <w:t xml:space="preserve">La CMR-03 a adopté un délai </w:t>
      </w:r>
      <w:r w:rsidR="00C57474">
        <w:rPr>
          <w:color w:val="000000"/>
        </w:rPr>
        <w:t xml:space="preserve">réglementaire unique de </w:t>
      </w:r>
      <w:r w:rsidR="003F035B">
        <w:rPr>
          <w:color w:val="000000"/>
        </w:rPr>
        <w:t>sept</w:t>
      </w:r>
      <w:r w:rsidR="00C57474">
        <w:rPr>
          <w:color w:val="000000"/>
        </w:rPr>
        <w:t xml:space="preserve"> ans</w:t>
      </w:r>
      <w:r>
        <w:rPr>
          <w:color w:val="000000"/>
        </w:rPr>
        <w:t xml:space="preserve">, partant du principe, notamment, que le lancement du satellite est effectué avant la fin de la cinquième année, </w:t>
      </w:r>
      <w:r w:rsidR="00E15DA5">
        <w:rPr>
          <w:color w:val="000000"/>
        </w:rPr>
        <w:t>ce qui</w:t>
      </w:r>
      <w:r w:rsidR="002C76F9">
        <w:rPr>
          <w:color w:val="000000"/>
        </w:rPr>
        <w:t xml:space="preserve"> laisse</w:t>
      </w:r>
      <w:r>
        <w:rPr>
          <w:color w:val="000000"/>
        </w:rPr>
        <w:t xml:space="preserve"> encore deux années pour faire une secon</w:t>
      </w:r>
      <w:r w:rsidR="00EE167A">
        <w:rPr>
          <w:color w:val="000000"/>
        </w:rPr>
        <w:t>de tentative de mise en service</w:t>
      </w:r>
      <w:r>
        <w:rPr>
          <w:color w:val="000000"/>
        </w:rPr>
        <w:t xml:space="preserve"> en cas d’échec</w:t>
      </w:r>
      <w:r w:rsidR="002C76F9">
        <w:rPr>
          <w:color w:val="000000"/>
        </w:rPr>
        <w:t xml:space="preserve"> du premier lancement</w:t>
      </w:r>
      <w:r>
        <w:rPr>
          <w:color w:val="000000"/>
        </w:rPr>
        <w:t xml:space="preserve">. A cette occasion et en réponse à certains événements particuliers, la CMR-03 a adopté de nouvelles dispositions </w:t>
      </w:r>
      <w:r w:rsidR="00303477">
        <w:rPr>
          <w:color w:val="000000"/>
        </w:rPr>
        <w:t xml:space="preserve">réglementaires </w:t>
      </w:r>
      <w:r w:rsidR="00FB3405">
        <w:rPr>
          <w:color w:val="000000"/>
        </w:rPr>
        <w:t>concernant l</w:t>
      </w:r>
      <w:r w:rsidR="00690B5E">
        <w:rPr>
          <w:color w:val="000000"/>
        </w:rPr>
        <w:t>es assig</w:t>
      </w:r>
      <w:r w:rsidR="00680CF4">
        <w:rPr>
          <w:color w:val="000000"/>
        </w:rPr>
        <w:t>nations de fréquence</w:t>
      </w:r>
      <w:r w:rsidR="00690B5E">
        <w:rPr>
          <w:color w:val="000000"/>
        </w:rPr>
        <w:t xml:space="preserve"> </w:t>
      </w:r>
      <w:r w:rsidR="00303477">
        <w:rPr>
          <w:color w:val="000000"/>
        </w:rPr>
        <w:t>à</w:t>
      </w:r>
      <w:r w:rsidR="00690B5E">
        <w:rPr>
          <w:color w:val="000000"/>
        </w:rPr>
        <w:t xml:space="preserve"> des réseaux à satellite dans les bandes planifiées (Appendices 30 et 30A)</w:t>
      </w:r>
      <w:r w:rsidR="00690B5E">
        <w:rPr>
          <w:rStyle w:val="FootnoteReference"/>
          <w:color w:val="000000"/>
        </w:rPr>
        <w:footnoteReference w:id="1"/>
      </w:r>
      <w:r w:rsidR="00690B5E">
        <w:rPr>
          <w:color w:val="000000"/>
        </w:rPr>
        <w:t xml:space="preserve"> afin de </w:t>
      </w:r>
      <w:r w:rsidR="0064440B">
        <w:rPr>
          <w:color w:val="000000"/>
        </w:rPr>
        <w:t xml:space="preserve">résoudre </w:t>
      </w:r>
      <w:r w:rsidR="00690B5E">
        <w:rPr>
          <w:color w:val="000000"/>
        </w:rPr>
        <w:t xml:space="preserve">des </w:t>
      </w:r>
      <w:r w:rsidR="0064440B">
        <w:rPr>
          <w:color w:val="000000"/>
        </w:rPr>
        <w:t>situations</w:t>
      </w:r>
      <w:r w:rsidR="00690B5E">
        <w:rPr>
          <w:color w:val="000000"/>
        </w:rPr>
        <w:t xml:space="preserve"> </w:t>
      </w:r>
      <w:r w:rsidR="00DF0354">
        <w:rPr>
          <w:color w:val="000000"/>
        </w:rPr>
        <w:t xml:space="preserve">où l’échec de lancement d’un satellite se produit après la cinquième année de </w:t>
      </w:r>
      <w:r w:rsidR="00680CF4">
        <w:rPr>
          <w:color w:val="000000"/>
        </w:rPr>
        <w:t>la période réglementaire de sept</w:t>
      </w:r>
      <w:r w:rsidR="00DF0354">
        <w:rPr>
          <w:color w:val="000000"/>
        </w:rPr>
        <w:t xml:space="preserve"> ans. Au titre de ces nouvelles dispositions, une </w:t>
      </w:r>
      <w:r w:rsidR="00262A71">
        <w:rPr>
          <w:color w:val="000000"/>
        </w:rPr>
        <w:t>prolon</w:t>
      </w:r>
      <w:r w:rsidR="004F2B4F">
        <w:rPr>
          <w:color w:val="000000"/>
        </w:rPr>
        <w:t>gation</w:t>
      </w:r>
      <w:r w:rsidR="00DF0354">
        <w:rPr>
          <w:color w:val="000000"/>
        </w:rPr>
        <w:t xml:space="preserve"> de trois ans </w:t>
      </w:r>
      <w:r w:rsidR="009D39B2">
        <w:rPr>
          <w:color w:val="000000"/>
        </w:rPr>
        <w:t>maximum</w:t>
      </w:r>
      <w:r w:rsidR="00DF0354">
        <w:rPr>
          <w:color w:val="000000"/>
        </w:rPr>
        <w:t xml:space="preserve"> pourra être octroyée dans le cas où un satellite est détruit au cours de son lancement ou bien s’il </w:t>
      </w:r>
      <w:r w:rsidR="009D39B2">
        <w:rPr>
          <w:color w:val="000000"/>
        </w:rPr>
        <w:t>n’</w:t>
      </w:r>
      <w:r w:rsidR="00DF0354">
        <w:rPr>
          <w:color w:val="000000"/>
        </w:rPr>
        <w:t>attein</w:t>
      </w:r>
      <w:r w:rsidR="009D39B2">
        <w:rPr>
          <w:color w:val="000000"/>
        </w:rPr>
        <w:t>t pas</w:t>
      </w:r>
      <w:r w:rsidR="00DF0354">
        <w:rPr>
          <w:color w:val="000000"/>
        </w:rPr>
        <w:t xml:space="preserve"> la position orbitale qui lui a été assignée.</w:t>
      </w:r>
    </w:p>
    <w:p w:rsidR="002A3A91" w:rsidRDefault="003E0E20" w:rsidP="000708B6">
      <w:pPr>
        <w:rPr>
          <w:color w:val="000000"/>
        </w:rPr>
      </w:pPr>
      <w:r>
        <w:rPr>
          <w:color w:val="000000"/>
        </w:rPr>
        <w:t>Pour défendre</w:t>
      </w:r>
      <w:r w:rsidR="00FE1A59">
        <w:rPr>
          <w:color w:val="000000"/>
        </w:rPr>
        <w:t xml:space="preserve"> l’adjonction d’une nouvelle disposition à l’</w:t>
      </w:r>
      <w:r w:rsidR="00E86A7C">
        <w:rPr>
          <w:color w:val="000000"/>
        </w:rPr>
        <w:t>A</w:t>
      </w:r>
      <w:r w:rsidR="00FE1A59">
        <w:rPr>
          <w:color w:val="000000"/>
        </w:rPr>
        <w:t xml:space="preserve">rticle 11 pour une </w:t>
      </w:r>
      <w:r w:rsidR="00262A71">
        <w:rPr>
          <w:color w:val="000000"/>
        </w:rPr>
        <w:t>prolon</w:t>
      </w:r>
      <w:r w:rsidR="004F2B4F">
        <w:rPr>
          <w:color w:val="000000"/>
        </w:rPr>
        <w:t>gation</w:t>
      </w:r>
      <w:r w:rsidR="00FE1A59">
        <w:rPr>
          <w:color w:val="000000"/>
        </w:rPr>
        <w:t xml:space="preserve"> du délai réglementaire en cas d’échec de lancement</w:t>
      </w:r>
      <w:r>
        <w:rPr>
          <w:color w:val="000000"/>
        </w:rPr>
        <w:t xml:space="preserve">, l’argument du </w:t>
      </w:r>
      <w:r w:rsidR="00FE1A59">
        <w:rPr>
          <w:color w:val="000000"/>
        </w:rPr>
        <w:t>besoin d’harmoniser les dispositions réglementaires à la fois dans les bandes planifiées et dans les bandes non planifiées</w:t>
      </w:r>
      <w:r>
        <w:rPr>
          <w:color w:val="000000"/>
        </w:rPr>
        <w:t xml:space="preserve"> a été avancé</w:t>
      </w:r>
      <w:r w:rsidR="00FE1A59">
        <w:rPr>
          <w:color w:val="000000"/>
        </w:rPr>
        <w:t>. Bien qu’</w:t>
      </w:r>
      <w:r w:rsidR="007100C4">
        <w:rPr>
          <w:color w:val="000000"/>
        </w:rPr>
        <w:t>il puisse sembler souhaitable d’harmoniser l’ensemble</w:t>
      </w:r>
      <w:r w:rsidR="00B645B9">
        <w:rPr>
          <w:color w:val="000000"/>
        </w:rPr>
        <w:t xml:space="preserve"> </w:t>
      </w:r>
      <w:r w:rsidR="007100C4">
        <w:rPr>
          <w:color w:val="000000"/>
        </w:rPr>
        <w:t>du RR</w:t>
      </w:r>
      <w:r w:rsidR="00FE1A59">
        <w:rPr>
          <w:color w:val="000000"/>
        </w:rPr>
        <w:t>,</w:t>
      </w:r>
      <w:r w:rsidR="007100C4">
        <w:rPr>
          <w:color w:val="000000"/>
        </w:rPr>
        <w:t xml:space="preserve"> une telle harmonisation</w:t>
      </w:r>
      <w:r w:rsidR="00FE1A59">
        <w:rPr>
          <w:color w:val="000000"/>
        </w:rPr>
        <w:t xml:space="preserve"> </w:t>
      </w:r>
      <w:r w:rsidR="007100C4">
        <w:rPr>
          <w:color w:val="000000"/>
        </w:rPr>
        <w:t xml:space="preserve">devrait tenir compte des </w:t>
      </w:r>
      <w:r w:rsidR="00FE1A59">
        <w:rPr>
          <w:color w:val="000000"/>
        </w:rPr>
        <w:t>différence</w:t>
      </w:r>
      <w:r w:rsidR="007100C4">
        <w:rPr>
          <w:color w:val="000000"/>
        </w:rPr>
        <w:t>s</w:t>
      </w:r>
      <w:r w:rsidR="00680CF4">
        <w:rPr>
          <w:color w:val="000000"/>
        </w:rPr>
        <w:t xml:space="preserve"> entre les principes de base</w:t>
      </w:r>
      <w:r w:rsidR="00FE1A59">
        <w:rPr>
          <w:color w:val="000000"/>
        </w:rPr>
        <w:t xml:space="preserve"> </w:t>
      </w:r>
      <w:r w:rsidR="007100C4">
        <w:rPr>
          <w:color w:val="000000"/>
        </w:rPr>
        <w:t>des</w:t>
      </w:r>
      <w:r w:rsidR="00FE1A59">
        <w:rPr>
          <w:color w:val="000000"/>
        </w:rPr>
        <w:t xml:space="preserve"> différentes approches – celle du </w:t>
      </w:r>
      <w:r w:rsidR="00B645B9">
        <w:rPr>
          <w:color w:val="000000"/>
        </w:rPr>
        <w:t>«</w:t>
      </w:r>
      <w:r w:rsidR="00FE1A59">
        <w:rPr>
          <w:color w:val="000000"/>
        </w:rPr>
        <w:t>premier arrivé</w:t>
      </w:r>
      <w:r w:rsidR="00B645B9">
        <w:rPr>
          <w:color w:val="000000"/>
        </w:rPr>
        <w:t>,</w:t>
      </w:r>
      <w:r w:rsidR="00FE1A59">
        <w:rPr>
          <w:color w:val="000000"/>
        </w:rPr>
        <w:t xml:space="preserve"> premier servi</w:t>
      </w:r>
      <w:r w:rsidR="00B645B9">
        <w:rPr>
          <w:color w:val="000000"/>
        </w:rPr>
        <w:t>»</w:t>
      </w:r>
      <w:r w:rsidR="00FE1A59">
        <w:rPr>
          <w:color w:val="000000"/>
        </w:rPr>
        <w:t xml:space="preserve"> </w:t>
      </w:r>
      <w:r w:rsidR="00B645B9">
        <w:rPr>
          <w:color w:val="000000"/>
        </w:rPr>
        <w:t xml:space="preserve">appliquée </w:t>
      </w:r>
      <w:r w:rsidR="00FE1A59">
        <w:rPr>
          <w:color w:val="000000"/>
        </w:rPr>
        <w:t xml:space="preserve">dans les bandes non planifiées, contre celle, fondée sur un accès équitable, qui prévaut dans les bandes planifiées. Par ailleurs, </w:t>
      </w:r>
      <w:r w:rsidR="00680CF4">
        <w:rPr>
          <w:color w:val="000000"/>
        </w:rPr>
        <w:t>les Plans figurant dans le</w:t>
      </w:r>
      <w:r w:rsidR="007100C4">
        <w:rPr>
          <w:color w:val="000000"/>
        </w:rPr>
        <w:t xml:space="preserve"> RR </w:t>
      </w:r>
      <w:r w:rsidR="0008670A">
        <w:rPr>
          <w:color w:val="000000"/>
        </w:rPr>
        <w:t xml:space="preserve">favorisent </w:t>
      </w:r>
      <w:r w:rsidR="00AA7B24">
        <w:rPr>
          <w:color w:val="000000"/>
        </w:rPr>
        <w:t xml:space="preserve">un accès équitable; ainsi, les règles adoptées devraient être suffisamment souples pour permettre d’atteindre cet objectif. Un accès équitable n’est pas envisageable dans les bandes non planifiées, dans lesquelles le but est </w:t>
      </w:r>
      <w:r w:rsidR="00290DF7">
        <w:rPr>
          <w:color w:val="000000"/>
        </w:rPr>
        <w:t xml:space="preserve">d’exploiter les fréquences radioélectriques </w:t>
      </w:r>
      <w:r w:rsidR="0002719A">
        <w:rPr>
          <w:color w:val="000000"/>
        </w:rPr>
        <w:t>et</w:t>
      </w:r>
      <w:r w:rsidR="00290DF7">
        <w:rPr>
          <w:color w:val="000000"/>
        </w:rPr>
        <w:t xml:space="preserve"> l’orbite géostationnaire de la manière la plus efficiente et efficace possible. </w:t>
      </w:r>
    </w:p>
    <w:p w:rsidR="005A72FE" w:rsidRPr="00C80EEB" w:rsidRDefault="005A72FE" w:rsidP="000708B6">
      <w:pPr>
        <w:pStyle w:val="Headingb"/>
      </w:pPr>
      <w:r>
        <w:t>Proposition</w:t>
      </w:r>
    </w:p>
    <w:p w:rsidR="0015203F" w:rsidRDefault="0015203F" w:rsidP="000708B6">
      <w:pPr>
        <w:tabs>
          <w:tab w:val="clear" w:pos="1134"/>
          <w:tab w:val="clear" w:pos="1871"/>
          <w:tab w:val="clear" w:pos="2268"/>
        </w:tabs>
        <w:overflowPunct/>
        <w:autoSpaceDE/>
        <w:autoSpaceDN/>
        <w:adjustRightInd/>
        <w:spacing w:before="0"/>
        <w:textAlignment w:val="auto"/>
      </w:pPr>
      <w:r>
        <w:br w:type="page"/>
      </w:r>
    </w:p>
    <w:p w:rsidR="003E1F14" w:rsidRDefault="005A72FE" w:rsidP="000708B6">
      <w:pPr>
        <w:pStyle w:val="Proposal"/>
      </w:pPr>
      <w:r>
        <w:rPr>
          <w:u w:val="single"/>
        </w:rPr>
        <w:lastRenderedPageBreak/>
        <w:t>NOC</w:t>
      </w:r>
      <w:r>
        <w:tab/>
        <w:t>CAN/EQA/54/1</w:t>
      </w:r>
    </w:p>
    <w:p w:rsidR="004A6A8C" w:rsidRPr="001F58CF" w:rsidRDefault="005A72FE" w:rsidP="000708B6">
      <w:pPr>
        <w:pStyle w:val="ArtNo"/>
      </w:pPr>
      <w:r w:rsidRPr="00501CC0">
        <w:t>ARTICLE</w:t>
      </w:r>
      <w:r w:rsidRPr="001F58CF">
        <w:t xml:space="preserve"> </w:t>
      </w:r>
      <w:r w:rsidRPr="001F58CF">
        <w:rPr>
          <w:rStyle w:val="href"/>
        </w:rPr>
        <w:t>11</w:t>
      </w:r>
    </w:p>
    <w:p w:rsidR="004A6A8C" w:rsidRPr="000C4F5E" w:rsidRDefault="005A72FE" w:rsidP="000708B6">
      <w:pPr>
        <w:pStyle w:val="Arttitle"/>
      </w:pPr>
      <w:r w:rsidRPr="00E82312">
        <w:t>Notification et inscription des assignations</w:t>
      </w:r>
      <w:r w:rsidRPr="00E82312">
        <w:br/>
        <w:t xml:space="preserve">de </w:t>
      </w:r>
      <w:r w:rsidRPr="00463598">
        <w:t>fréquence</w:t>
      </w:r>
      <w:r w:rsidRPr="00653F06">
        <w:rPr>
          <w:rStyle w:val="FootnoteReference"/>
        </w:rPr>
        <w:t>1, 2, 3, 4, 5, 6, 7, 7bis</w:t>
      </w:r>
      <w:r w:rsidR="00F7457F">
        <w:rPr>
          <w:rStyle w:val="FootnoteReference"/>
        </w:rPr>
        <w:t xml:space="preserve"> </w:t>
      </w:r>
      <w:r w:rsidRPr="00466ED8">
        <w:rPr>
          <w:b w:val="0"/>
          <w:bCs/>
          <w:sz w:val="16"/>
          <w:szCs w:val="16"/>
        </w:rPr>
        <w:t>(CMR-12)</w:t>
      </w:r>
    </w:p>
    <w:p w:rsidR="003E1F14" w:rsidRDefault="005A72FE" w:rsidP="000708B6">
      <w:pPr>
        <w:pStyle w:val="Reasons"/>
      </w:pPr>
      <w:r>
        <w:rPr>
          <w:b/>
        </w:rPr>
        <w:t>Motifs:</w:t>
      </w:r>
      <w:r>
        <w:tab/>
      </w:r>
      <w:r w:rsidR="007851D8">
        <w:t>Le délai réglementaire actuel de sept ans est suffisant pour qu’une administration planifie</w:t>
      </w:r>
      <w:r w:rsidR="00756B4D">
        <w:t xml:space="preserve"> et </w:t>
      </w:r>
      <w:r w:rsidR="007851D8">
        <w:t>effectue le lancement d’un satellite</w:t>
      </w:r>
      <w:r w:rsidR="00756B4D">
        <w:t>,</w:t>
      </w:r>
      <w:r w:rsidR="007851D8">
        <w:t xml:space="preserve"> et</w:t>
      </w:r>
      <w:r w:rsidR="00756B4D">
        <w:t xml:space="preserve"> pour qu’elle</w:t>
      </w:r>
      <w:r w:rsidR="007851D8">
        <w:t xml:space="preserve"> remplisse ses obligations réglementaires, </w:t>
      </w:r>
      <w:r w:rsidR="00756B4D">
        <w:t>en prenant note du fait que deux an</w:t>
      </w:r>
      <w:r w:rsidR="003C2FE8">
        <w:t>nées</w:t>
      </w:r>
      <w:r w:rsidR="00756B4D">
        <w:t xml:space="preserve"> sur l’ensemble de cette période correspondent au temps nécessaire à la reconstruction et à la répétition du lancement </w:t>
      </w:r>
      <w:r w:rsidR="003C2FE8">
        <w:t>d’un satellite en cas d’</w:t>
      </w:r>
      <w:r w:rsidR="00756B4D">
        <w:t>échec de lancement.</w:t>
      </w:r>
    </w:p>
    <w:p w:rsidR="00BA7408" w:rsidRDefault="00BA7408" w:rsidP="000708B6">
      <w:pPr>
        <w:pStyle w:val="Reasons"/>
      </w:pPr>
    </w:p>
    <w:p w:rsidR="00BA7408" w:rsidRDefault="00BA7408" w:rsidP="000708B6">
      <w:pPr>
        <w:pStyle w:val="Reasons"/>
      </w:pPr>
    </w:p>
    <w:p w:rsidR="00BA7408" w:rsidRDefault="00BA7408" w:rsidP="000708B6">
      <w:pPr>
        <w:jc w:val="center"/>
      </w:pPr>
      <w:r>
        <w:t>______________</w:t>
      </w:r>
    </w:p>
    <w:p w:rsidR="00BA7408" w:rsidRDefault="00BA7408" w:rsidP="000708B6">
      <w:pPr>
        <w:pStyle w:val="Reasons"/>
      </w:pPr>
    </w:p>
    <w:sectPr w:rsidR="00BA740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A094B" w:rsidRDefault="00936D25">
    <w:pPr>
      <w:rPr>
        <w:lang w:val="es-ES_tradnl"/>
      </w:rPr>
    </w:pPr>
    <w:r>
      <w:fldChar w:fldCharType="begin"/>
    </w:r>
    <w:r w:rsidRPr="005A094B">
      <w:rPr>
        <w:lang w:val="es-ES_tradnl"/>
      </w:rPr>
      <w:instrText xml:space="preserve"> FILENAME \p  \* MERGEFORMAT </w:instrText>
    </w:r>
    <w:r>
      <w:fldChar w:fldCharType="separate"/>
    </w:r>
    <w:r w:rsidR="005A094B" w:rsidRPr="005A094B">
      <w:rPr>
        <w:noProof/>
        <w:lang w:val="es-ES_tradnl"/>
      </w:rPr>
      <w:t>P:\FRA\ITU-R\CONF-R\CMR15\000\054F.docx</w:t>
    </w:r>
    <w:r>
      <w:fldChar w:fldCharType="end"/>
    </w:r>
    <w:r w:rsidRPr="005A094B">
      <w:rPr>
        <w:lang w:val="es-ES_tradnl"/>
      </w:rPr>
      <w:tab/>
    </w:r>
    <w:r>
      <w:fldChar w:fldCharType="begin"/>
    </w:r>
    <w:r>
      <w:instrText xml:space="preserve"> SAVEDATE \@ DD.MM.YY </w:instrText>
    </w:r>
    <w:r>
      <w:fldChar w:fldCharType="separate"/>
    </w:r>
    <w:r w:rsidR="005A094B">
      <w:rPr>
        <w:noProof/>
      </w:rPr>
      <w:t>19.10.15</w:t>
    </w:r>
    <w:r>
      <w:fldChar w:fldCharType="end"/>
    </w:r>
    <w:r w:rsidRPr="005A094B">
      <w:rPr>
        <w:lang w:val="es-ES_tradnl"/>
      </w:rPr>
      <w:tab/>
    </w:r>
    <w:r>
      <w:fldChar w:fldCharType="begin"/>
    </w:r>
    <w:r>
      <w:instrText xml:space="preserve"> PRINTDATE \@ DD.MM.YY </w:instrText>
    </w:r>
    <w:r>
      <w:fldChar w:fldCharType="separate"/>
    </w:r>
    <w:r w:rsidR="005A094B">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A094B" w:rsidRDefault="00936D25">
    <w:pPr>
      <w:pStyle w:val="Footer"/>
      <w:rPr>
        <w:lang w:val="es-ES_tradnl"/>
      </w:rPr>
    </w:pPr>
    <w:r>
      <w:fldChar w:fldCharType="begin"/>
    </w:r>
    <w:r w:rsidRPr="005A094B">
      <w:rPr>
        <w:lang w:val="es-ES_tradnl"/>
      </w:rPr>
      <w:instrText xml:space="preserve"> FILENAME \p  \* MERGEFORMAT </w:instrText>
    </w:r>
    <w:r>
      <w:fldChar w:fldCharType="separate"/>
    </w:r>
    <w:r w:rsidR="005A094B">
      <w:rPr>
        <w:lang w:val="es-ES_tradnl"/>
      </w:rPr>
      <w:t>P:\FRA\ITU-R\CONF-R\CMR15\000\054F.docx</w:t>
    </w:r>
    <w:r>
      <w:fldChar w:fldCharType="end"/>
    </w:r>
    <w:r w:rsidR="005A094B" w:rsidRPr="005A094B">
      <w:rPr>
        <w:lang w:val="es-ES_tradnl"/>
      </w:rPr>
      <w:t xml:space="preserve"> (387859)</w:t>
    </w:r>
    <w:r w:rsidRPr="005A094B">
      <w:rPr>
        <w:lang w:val="es-ES_tradnl"/>
      </w:rPr>
      <w:tab/>
    </w:r>
    <w:r>
      <w:fldChar w:fldCharType="begin"/>
    </w:r>
    <w:r>
      <w:instrText xml:space="preserve"> SAVEDATE \@ DD.MM.YY </w:instrText>
    </w:r>
    <w:r>
      <w:fldChar w:fldCharType="separate"/>
    </w:r>
    <w:r w:rsidR="005A094B">
      <w:t>19.10.15</w:t>
    </w:r>
    <w:r>
      <w:fldChar w:fldCharType="end"/>
    </w:r>
    <w:r w:rsidRPr="005A094B">
      <w:rPr>
        <w:lang w:val="es-ES_tradnl"/>
      </w:rPr>
      <w:tab/>
    </w:r>
    <w:r>
      <w:fldChar w:fldCharType="begin"/>
    </w:r>
    <w:r>
      <w:instrText xml:space="preserve"> PRINTDATE \@ DD.MM.YY </w:instrText>
    </w:r>
    <w:r>
      <w:fldChar w:fldCharType="separate"/>
    </w:r>
    <w:r w:rsidR="005A094B">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A094B" w:rsidRDefault="00936D25">
    <w:pPr>
      <w:pStyle w:val="Footer"/>
      <w:rPr>
        <w:lang w:val="es-ES_tradnl"/>
      </w:rPr>
    </w:pPr>
    <w:r>
      <w:fldChar w:fldCharType="begin"/>
    </w:r>
    <w:r w:rsidRPr="005A094B">
      <w:rPr>
        <w:lang w:val="es-ES_tradnl"/>
      </w:rPr>
      <w:instrText xml:space="preserve"> FILENAME \p  \* MERGEFORMAT </w:instrText>
    </w:r>
    <w:r>
      <w:fldChar w:fldCharType="separate"/>
    </w:r>
    <w:r w:rsidR="005A094B">
      <w:rPr>
        <w:lang w:val="es-ES_tradnl"/>
      </w:rPr>
      <w:t>P:\FRA\ITU-R\CONF-R\CMR15\000\054F.docx</w:t>
    </w:r>
    <w:r>
      <w:fldChar w:fldCharType="end"/>
    </w:r>
    <w:r w:rsidR="005A094B" w:rsidRPr="005A094B">
      <w:rPr>
        <w:lang w:val="es-ES_tradnl"/>
      </w:rPr>
      <w:t xml:space="preserve"> (387859)</w:t>
    </w:r>
    <w:r w:rsidRPr="005A094B">
      <w:rPr>
        <w:lang w:val="es-ES_tradnl"/>
      </w:rPr>
      <w:tab/>
    </w:r>
    <w:r>
      <w:fldChar w:fldCharType="begin"/>
    </w:r>
    <w:r>
      <w:instrText xml:space="preserve"> SAVEDATE \@ DD.MM.YY </w:instrText>
    </w:r>
    <w:r>
      <w:fldChar w:fldCharType="separate"/>
    </w:r>
    <w:r w:rsidR="005A094B">
      <w:t>19.10.15</w:t>
    </w:r>
    <w:r>
      <w:fldChar w:fldCharType="end"/>
    </w:r>
    <w:r w:rsidRPr="005A094B">
      <w:rPr>
        <w:lang w:val="es-ES_tradnl"/>
      </w:rPr>
      <w:tab/>
    </w:r>
    <w:r>
      <w:fldChar w:fldCharType="begin"/>
    </w:r>
    <w:r>
      <w:instrText xml:space="preserve"> PRINTDATE \@ DD.MM.YY </w:instrText>
    </w:r>
    <w:r>
      <w:fldChar w:fldCharType="separate"/>
    </w:r>
    <w:r w:rsidR="005A094B">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90B5E" w:rsidRPr="00690B5E" w:rsidRDefault="00690B5E">
      <w:pPr>
        <w:pStyle w:val="FootnoteText"/>
        <w:rPr>
          <w:lang w:val="fr-CH"/>
        </w:rPr>
      </w:pPr>
      <w:r>
        <w:rPr>
          <w:rStyle w:val="FootnoteReference"/>
        </w:rPr>
        <w:footnoteRef/>
      </w:r>
      <w:r>
        <w:t xml:space="preserve"> </w:t>
      </w:r>
      <w:r>
        <w:rPr>
          <w:lang w:val="fr-CH"/>
        </w:rPr>
        <w:t xml:space="preserve">La CMR-12 a adopté des mesures réglementaires équivalentes dans l’Appendice 30B.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A094B">
      <w:rPr>
        <w:noProof/>
      </w:rPr>
      <w:t>4</w:t>
    </w:r>
    <w:r>
      <w:fldChar w:fldCharType="end"/>
    </w:r>
  </w:p>
  <w:p w:rsidR="004F1F8E" w:rsidRDefault="004F1F8E" w:rsidP="002C28A4">
    <w:pPr>
      <w:pStyle w:val="Header"/>
    </w:pPr>
    <w:r>
      <w:t>CMR1</w:t>
    </w:r>
    <w:r w:rsidR="002C28A4">
      <w:t>5</w:t>
    </w:r>
    <w:r>
      <w:t>/</w:t>
    </w:r>
    <w:r w:rsidR="006A4B45">
      <w:t>54-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1C81"/>
    <w:rsid w:val="00007EC7"/>
    <w:rsid w:val="00010B43"/>
    <w:rsid w:val="000114D1"/>
    <w:rsid w:val="00016648"/>
    <w:rsid w:val="0002719A"/>
    <w:rsid w:val="0003522F"/>
    <w:rsid w:val="000375E2"/>
    <w:rsid w:val="0006759B"/>
    <w:rsid w:val="000708B6"/>
    <w:rsid w:val="00080E2C"/>
    <w:rsid w:val="0008670A"/>
    <w:rsid w:val="000A4755"/>
    <w:rsid w:val="000B2E0C"/>
    <w:rsid w:val="000B3D0C"/>
    <w:rsid w:val="000C1025"/>
    <w:rsid w:val="000D5A44"/>
    <w:rsid w:val="00101D66"/>
    <w:rsid w:val="001167B9"/>
    <w:rsid w:val="00116BCC"/>
    <w:rsid w:val="001267A0"/>
    <w:rsid w:val="0013628B"/>
    <w:rsid w:val="0015203F"/>
    <w:rsid w:val="00160C64"/>
    <w:rsid w:val="0018169B"/>
    <w:rsid w:val="0019352B"/>
    <w:rsid w:val="001960D0"/>
    <w:rsid w:val="001A7C49"/>
    <w:rsid w:val="001F17E8"/>
    <w:rsid w:val="001F2499"/>
    <w:rsid w:val="001F594C"/>
    <w:rsid w:val="00204306"/>
    <w:rsid w:val="00232FD2"/>
    <w:rsid w:val="00262A71"/>
    <w:rsid w:val="00265250"/>
    <w:rsid w:val="0026554E"/>
    <w:rsid w:val="00290DF7"/>
    <w:rsid w:val="002A3A91"/>
    <w:rsid w:val="002A4622"/>
    <w:rsid w:val="002A6F8F"/>
    <w:rsid w:val="002B17E5"/>
    <w:rsid w:val="002C0EBF"/>
    <w:rsid w:val="002C28A4"/>
    <w:rsid w:val="002C4275"/>
    <w:rsid w:val="002C76F9"/>
    <w:rsid w:val="00303477"/>
    <w:rsid w:val="0030549A"/>
    <w:rsid w:val="00315AFE"/>
    <w:rsid w:val="003277A8"/>
    <w:rsid w:val="0033587D"/>
    <w:rsid w:val="00355C06"/>
    <w:rsid w:val="003606A6"/>
    <w:rsid w:val="0036650C"/>
    <w:rsid w:val="00393ACD"/>
    <w:rsid w:val="003A583E"/>
    <w:rsid w:val="003B7118"/>
    <w:rsid w:val="003C2FE8"/>
    <w:rsid w:val="003E0E20"/>
    <w:rsid w:val="003E112B"/>
    <w:rsid w:val="003E1D1C"/>
    <w:rsid w:val="003E1F14"/>
    <w:rsid w:val="003E7B05"/>
    <w:rsid w:val="003F035B"/>
    <w:rsid w:val="00415294"/>
    <w:rsid w:val="004224B8"/>
    <w:rsid w:val="00425A64"/>
    <w:rsid w:val="00444DF5"/>
    <w:rsid w:val="00461F18"/>
    <w:rsid w:val="00466211"/>
    <w:rsid w:val="00482CE9"/>
    <w:rsid w:val="004834A9"/>
    <w:rsid w:val="004B1BC0"/>
    <w:rsid w:val="004B6750"/>
    <w:rsid w:val="004D01FC"/>
    <w:rsid w:val="004E1691"/>
    <w:rsid w:val="004E28C3"/>
    <w:rsid w:val="004F1F8E"/>
    <w:rsid w:val="004F2B4F"/>
    <w:rsid w:val="00512A32"/>
    <w:rsid w:val="00513DD4"/>
    <w:rsid w:val="00525281"/>
    <w:rsid w:val="00540994"/>
    <w:rsid w:val="0054216C"/>
    <w:rsid w:val="00586CF2"/>
    <w:rsid w:val="00596497"/>
    <w:rsid w:val="005A094B"/>
    <w:rsid w:val="005A72FE"/>
    <w:rsid w:val="005C3768"/>
    <w:rsid w:val="005C6C3F"/>
    <w:rsid w:val="00613635"/>
    <w:rsid w:val="0062093D"/>
    <w:rsid w:val="00637ECF"/>
    <w:rsid w:val="0064440B"/>
    <w:rsid w:val="00647B59"/>
    <w:rsid w:val="006514C5"/>
    <w:rsid w:val="00653A8A"/>
    <w:rsid w:val="00662770"/>
    <w:rsid w:val="006779B3"/>
    <w:rsid w:val="00680CF4"/>
    <w:rsid w:val="00690B5E"/>
    <w:rsid w:val="00690C7B"/>
    <w:rsid w:val="006A4B45"/>
    <w:rsid w:val="006B0E60"/>
    <w:rsid w:val="006B5DDD"/>
    <w:rsid w:val="006C4814"/>
    <w:rsid w:val="006D4724"/>
    <w:rsid w:val="00700268"/>
    <w:rsid w:val="00701BAE"/>
    <w:rsid w:val="007100C4"/>
    <w:rsid w:val="00721F04"/>
    <w:rsid w:val="00730E95"/>
    <w:rsid w:val="007426B9"/>
    <w:rsid w:val="00756B4D"/>
    <w:rsid w:val="00764342"/>
    <w:rsid w:val="00774362"/>
    <w:rsid w:val="007851D8"/>
    <w:rsid w:val="00786598"/>
    <w:rsid w:val="007A04E8"/>
    <w:rsid w:val="007A759E"/>
    <w:rsid w:val="00835951"/>
    <w:rsid w:val="00837632"/>
    <w:rsid w:val="00851625"/>
    <w:rsid w:val="008555B1"/>
    <w:rsid w:val="00863C0A"/>
    <w:rsid w:val="00866DC4"/>
    <w:rsid w:val="00877264"/>
    <w:rsid w:val="008938C7"/>
    <w:rsid w:val="008A3120"/>
    <w:rsid w:val="008A3778"/>
    <w:rsid w:val="008A76C1"/>
    <w:rsid w:val="008D41BE"/>
    <w:rsid w:val="008D58D3"/>
    <w:rsid w:val="0091319D"/>
    <w:rsid w:val="00923064"/>
    <w:rsid w:val="00930FFD"/>
    <w:rsid w:val="00936D25"/>
    <w:rsid w:val="00941EA5"/>
    <w:rsid w:val="00964700"/>
    <w:rsid w:val="00966C16"/>
    <w:rsid w:val="00977159"/>
    <w:rsid w:val="0098732F"/>
    <w:rsid w:val="009A045F"/>
    <w:rsid w:val="009A6882"/>
    <w:rsid w:val="009A766A"/>
    <w:rsid w:val="009B4A67"/>
    <w:rsid w:val="009C7E7C"/>
    <w:rsid w:val="009D39B2"/>
    <w:rsid w:val="009D45E3"/>
    <w:rsid w:val="009E42A2"/>
    <w:rsid w:val="009F3BB3"/>
    <w:rsid w:val="00A00473"/>
    <w:rsid w:val="00A03C9B"/>
    <w:rsid w:val="00A2001D"/>
    <w:rsid w:val="00A37105"/>
    <w:rsid w:val="00A606C3"/>
    <w:rsid w:val="00A83B09"/>
    <w:rsid w:val="00A84541"/>
    <w:rsid w:val="00AA1ACE"/>
    <w:rsid w:val="00AA7B24"/>
    <w:rsid w:val="00AC62E9"/>
    <w:rsid w:val="00AE2402"/>
    <w:rsid w:val="00AE36A0"/>
    <w:rsid w:val="00AF75C1"/>
    <w:rsid w:val="00B00294"/>
    <w:rsid w:val="00B45998"/>
    <w:rsid w:val="00B645B9"/>
    <w:rsid w:val="00B64FD0"/>
    <w:rsid w:val="00BA5BD0"/>
    <w:rsid w:val="00BA7408"/>
    <w:rsid w:val="00BB1D82"/>
    <w:rsid w:val="00BD2F72"/>
    <w:rsid w:val="00BF26E7"/>
    <w:rsid w:val="00C14298"/>
    <w:rsid w:val="00C43E6A"/>
    <w:rsid w:val="00C47C0A"/>
    <w:rsid w:val="00C511DC"/>
    <w:rsid w:val="00C53FCA"/>
    <w:rsid w:val="00C57474"/>
    <w:rsid w:val="00C675BF"/>
    <w:rsid w:val="00C76BAF"/>
    <w:rsid w:val="00C80EEB"/>
    <w:rsid w:val="00C814B9"/>
    <w:rsid w:val="00C855C2"/>
    <w:rsid w:val="00CD173B"/>
    <w:rsid w:val="00CD516F"/>
    <w:rsid w:val="00D0572C"/>
    <w:rsid w:val="00D119A7"/>
    <w:rsid w:val="00D1775E"/>
    <w:rsid w:val="00D25FBA"/>
    <w:rsid w:val="00D315BC"/>
    <w:rsid w:val="00D32B28"/>
    <w:rsid w:val="00D42954"/>
    <w:rsid w:val="00D62895"/>
    <w:rsid w:val="00D66EAC"/>
    <w:rsid w:val="00D730DF"/>
    <w:rsid w:val="00D772F0"/>
    <w:rsid w:val="00D77BDC"/>
    <w:rsid w:val="00DC402B"/>
    <w:rsid w:val="00DE0932"/>
    <w:rsid w:val="00DE3A41"/>
    <w:rsid w:val="00DF0354"/>
    <w:rsid w:val="00E03A27"/>
    <w:rsid w:val="00E049F1"/>
    <w:rsid w:val="00E04C6A"/>
    <w:rsid w:val="00E06E2E"/>
    <w:rsid w:val="00E07892"/>
    <w:rsid w:val="00E15DA5"/>
    <w:rsid w:val="00E240C5"/>
    <w:rsid w:val="00E262EB"/>
    <w:rsid w:val="00E37A25"/>
    <w:rsid w:val="00E537FF"/>
    <w:rsid w:val="00E60342"/>
    <w:rsid w:val="00E6539B"/>
    <w:rsid w:val="00E70A31"/>
    <w:rsid w:val="00E86A7C"/>
    <w:rsid w:val="00E97C4E"/>
    <w:rsid w:val="00EA3F38"/>
    <w:rsid w:val="00EA5AB6"/>
    <w:rsid w:val="00EC7615"/>
    <w:rsid w:val="00ED16AA"/>
    <w:rsid w:val="00ED601D"/>
    <w:rsid w:val="00EE167A"/>
    <w:rsid w:val="00EF662E"/>
    <w:rsid w:val="00F148F1"/>
    <w:rsid w:val="00F335F0"/>
    <w:rsid w:val="00F7457F"/>
    <w:rsid w:val="00F8250D"/>
    <w:rsid w:val="00FA3BBF"/>
    <w:rsid w:val="00FB3405"/>
    <w:rsid w:val="00FC13D6"/>
    <w:rsid w:val="00FC41F8"/>
    <w:rsid w:val="00FE1A5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62F915B-0B94-4CE7-A733-367D62D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DE3A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3A4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R15-WRC15-C-0054!!MSW-F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D40DD59-65B6-43D9-BB56-BDCA7AA35EFB}">
  <ds:schemaRefs>
    <ds:schemaRef ds:uri="http://purl.org/dc/dcmitype/"/>
    <ds:schemaRef ds:uri="http://purl.org/dc/elements/1.1/"/>
    <ds:schemaRef ds:uri="http://schemas.microsoft.com/office/2006/documentManagement/types"/>
    <ds:schemaRef ds:uri="32a1a8c5-2265-4ebc-b7a0-2071e2c5c9bb"/>
    <ds:schemaRef ds:uri="996b2e75-67fd-4955-a3b0-5ab9934cb50b"/>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C869C5-2112-4315-9B94-5E1F8C76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1324</Words>
  <Characters>7287</Characters>
  <Application>Microsoft Office Word</Application>
  <DocSecurity>0</DocSecurity>
  <Lines>155</Lines>
  <Paragraphs>61</Paragraphs>
  <ScaleCrop>false</ScaleCrop>
  <HeadingPairs>
    <vt:vector size="2" baseType="variant">
      <vt:variant>
        <vt:lpstr>Title</vt:lpstr>
      </vt:variant>
      <vt:variant>
        <vt:i4>1</vt:i4>
      </vt:variant>
    </vt:vector>
  </HeadingPairs>
  <TitlesOfParts>
    <vt:vector size="1" baseType="lpstr">
      <vt:lpstr>R15-WRC15-C-0054!!MSW-F</vt:lpstr>
    </vt:vector>
  </TitlesOfParts>
  <Manager>Secrétariat général - Pool</Manager>
  <Company>Union internationale des télécommunications (UIT)</Company>
  <LinksUpToDate>false</LinksUpToDate>
  <CharactersWithSpaces>8555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R15-WRC15-C-0054!!MSW-F</dc:title>
  <dc:subject>Conférence mondiale des radiocommunications - 2015</dc:subject>
  <dc:creator>Documents Proposals Manager (DPM)</dc:creator>
  <cp:keywords>DPM_v5.2015.10.8_prod</cp:keywords>
  <dc:description/>
  <cp:lastModifiedBy>Jones, Jacqueline</cp:lastModifiedBy>
  <cp:revision>5</cp:revision>
  <cp:lastPrinted>2015-10-22T09:24:00Z</cp:lastPrinted>
  <dcterms:created xsi:type="dcterms:W3CDTF">2015-10-19T06:50:00Z</dcterms:created>
  <dcterms:modified xsi:type="dcterms:W3CDTF">2015-10-22T09:24:00Z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