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592E08" w:rsidRDefault="003E1608" w:rsidP="00592E08">
            <w:pPr>
              <w:pStyle w:val="Adress"/>
              <w:framePr w:hSpace="0" w:wrap="auto" w:xAlign="left" w:yAlign="inline"/>
              <w:rPr>
                <w:rtl/>
              </w:rPr>
            </w:pPr>
            <w:r w:rsidRPr="00592E08">
              <w:rPr>
                <w:rtl/>
              </w:rPr>
              <w:t xml:space="preserve">الوثيقة </w:t>
            </w:r>
            <w:r w:rsidRPr="00592E08">
              <w:t>54-</w:t>
            </w:r>
            <w:r w:rsidR="00592E08">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592E08" w:rsidRDefault="00764079" w:rsidP="00D44350">
            <w:pPr>
              <w:pStyle w:val="Adress"/>
              <w:framePr w:hSpace="0" w:wrap="auto" w:xAlign="left" w:yAlign="inline"/>
              <w:rPr>
                <w:rtl/>
              </w:rPr>
            </w:pPr>
            <w:r w:rsidRPr="00592E08">
              <w:rPr>
                <w:rFonts w:eastAsia="SimSun"/>
              </w:rPr>
              <w:t>8</w:t>
            </w:r>
            <w:r w:rsidRPr="00592E08">
              <w:rPr>
                <w:rFonts w:eastAsia="SimSun"/>
                <w:rtl/>
              </w:rPr>
              <w:t xml:space="preserve"> أكتوبر </w:t>
            </w:r>
            <w:r w:rsidRPr="00592E08">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592E08" w:rsidRDefault="00764079" w:rsidP="00D44350">
            <w:pPr>
              <w:pStyle w:val="Adress"/>
              <w:framePr w:hSpace="0" w:wrap="auto" w:xAlign="left" w:yAlign="inline"/>
              <w:rPr>
                <w:rFonts w:eastAsia="SimSun" w:hint="eastAsia"/>
              </w:rPr>
            </w:pPr>
            <w:r w:rsidRPr="00592E08">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1636E2">
            <w:pPr>
              <w:pStyle w:val="Source"/>
              <w:rPr>
                <w:rtl/>
              </w:rPr>
            </w:pPr>
            <w:r w:rsidRPr="008204AC">
              <w:rPr>
                <w:rtl/>
              </w:rPr>
              <w:t>كندا</w:t>
            </w:r>
            <w:r w:rsidR="001636E2">
              <w:rPr>
                <w:rFonts w:hint="cs"/>
                <w:rtl/>
              </w:rPr>
              <w:t xml:space="preserve">، </w:t>
            </w:r>
            <w:r w:rsidRPr="008204AC">
              <w:rPr>
                <w:rtl/>
              </w:rPr>
              <w:t>إكوادور</w:t>
            </w:r>
          </w:p>
        </w:tc>
      </w:tr>
      <w:tr w:rsidR="00764079" w:rsidTr="003E1608">
        <w:trPr>
          <w:cantSplit/>
        </w:trPr>
        <w:tc>
          <w:tcPr>
            <w:tcW w:w="9672" w:type="dxa"/>
            <w:gridSpan w:val="2"/>
          </w:tcPr>
          <w:p w:rsidR="00764079" w:rsidRPr="00BD6EF3" w:rsidRDefault="00592E08"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592E08">
            <w:pPr>
              <w:pStyle w:val="Agendaitem"/>
              <w:spacing w:before="240" w:line="192" w:lineRule="auto"/>
            </w:pPr>
            <w:r w:rsidRPr="008204AC">
              <w:rPr>
                <w:rtl/>
              </w:rPr>
              <w:t xml:space="preserve">البنـد </w:t>
            </w:r>
            <w:r w:rsidR="00592E08">
              <w:rPr>
                <w:lang w:val="en-US"/>
              </w:rPr>
              <w:t>(K)7</w:t>
            </w:r>
            <w:r w:rsidR="00592E08">
              <w:rPr>
                <w:rFonts w:hint="cs"/>
                <w:rtl/>
              </w:rPr>
              <w:t xml:space="preserve"> </w:t>
            </w:r>
            <w:r w:rsidRPr="008204AC">
              <w:rPr>
                <w:rtl/>
              </w:rPr>
              <w:t>من جدول الأعمال</w:t>
            </w:r>
          </w:p>
        </w:tc>
      </w:tr>
    </w:tbl>
    <w:p w:rsidR="001D597A" w:rsidRPr="00431196" w:rsidRDefault="00006FB4" w:rsidP="00E01B8B">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(المراجع في مراكش، </w:t>
      </w:r>
      <w:r w:rsidRPr="00431196">
        <w:rPr>
          <w:rFonts w:eastAsia="SimSun"/>
        </w:rPr>
        <w:t>(2002</w:t>
      </w:r>
      <w:r w:rsidRPr="00431196">
        <w:rPr>
          <w:rFonts w:eastAsia="SimSun" w:hint="cs"/>
          <w:rtl/>
        </w:rPr>
        <w:t xml:space="preserve"> لمؤتمر</w:t>
      </w:r>
      <w:r w:rsidR="00E01B8B">
        <w:rPr>
          <w:rFonts w:eastAsia="SimSun" w:hint="eastAsia"/>
          <w:rtl/>
        </w:rPr>
        <w:t> </w:t>
      </w:r>
      <w:r w:rsidRPr="00431196">
        <w:rPr>
          <w:rFonts w:eastAsia="SimSun" w:hint="cs"/>
          <w:rtl/>
        </w:rPr>
        <w:t xml:space="preserve">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w:t>
      </w:r>
      <w:r w:rsidR="00592E08">
        <w:rPr>
          <w:rFonts w:eastAsia="SimSun" w:hint="eastAsia"/>
          <w:rtl/>
        </w:rPr>
        <w:t> </w:t>
      </w:r>
      <w:r w:rsidRPr="00431196">
        <w:rPr>
          <w:rFonts w:eastAsia="SimSun" w:hint="cs"/>
          <w:rtl/>
        </w:rPr>
        <w:t xml:space="preserve">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والفعال والاقتصادي للترددات الراديوية وأي مدارات مرتبطة بها، بما</w:t>
      </w:r>
      <w:r w:rsidR="00592E08">
        <w:rPr>
          <w:rFonts w:eastAsia="SimSun" w:hint="eastAsia"/>
          <w:rtl/>
        </w:rPr>
        <w:t> </w:t>
      </w:r>
      <w:r w:rsidRPr="00431196">
        <w:rPr>
          <w:rFonts w:eastAsia="SimSun" w:hint="cs"/>
          <w:rtl/>
        </w:rPr>
        <w:t xml:space="preserve">فيها مدار </w:t>
      </w:r>
      <w:proofErr w:type="spellStart"/>
      <w:r w:rsidRPr="00431196">
        <w:rPr>
          <w:rFonts w:eastAsia="SimSun" w:hint="cs"/>
          <w:rtl/>
        </w:rPr>
        <w:t>السواتل</w:t>
      </w:r>
      <w:proofErr w:type="spellEnd"/>
      <w:r w:rsidRPr="00431196">
        <w:rPr>
          <w:rFonts w:eastAsia="SimSun" w:hint="cs"/>
          <w:rtl/>
        </w:rPr>
        <w:t xml:space="preserve"> المستقرة بالنسبة إلى الأرض؛</w:t>
      </w:r>
    </w:p>
    <w:p w:rsidR="00534840" w:rsidRPr="00431196" w:rsidRDefault="00006FB4" w:rsidP="008C6CA7">
      <w:pPr>
        <w:rPr>
          <w:rFonts w:eastAsia="SimSun"/>
          <w:spacing w:val="2"/>
          <w:lang w:bidi="ar-EG"/>
        </w:rPr>
      </w:pPr>
      <w:r w:rsidRPr="00431196">
        <w:rPr>
          <w:rFonts w:eastAsia="SimSun"/>
        </w:rPr>
        <w:t>(K)7</w:t>
      </w:r>
      <w:r w:rsidRPr="00431196">
        <w:rPr>
          <w:rFonts w:eastAsia="SimSun"/>
          <w:lang w:bidi="ar-EG"/>
        </w:rPr>
        <w:tab/>
      </w:r>
      <w:r w:rsidRPr="00431196">
        <w:rPr>
          <w:rFonts w:eastAsia="SimSun" w:hint="cs"/>
          <w:spacing w:val="2"/>
          <w:rtl/>
          <w:lang w:bidi="ar-EG"/>
        </w:rPr>
        <w:t>المسألة</w:t>
      </w:r>
      <w:r w:rsidRPr="00431196">
        <w:rPr>
          <w:rFonts w:eastAsia="SimSun"/>
          <w:spacing w:val="2"/>
          <w:rtl/>
          <w:lang w:bidi="ar-EG"/>
        </w:rPr>
        <w:t xml:space="preserve"> </w:t>
      </w:r>
      <w:r w:rsidRPr="00431196">
        <w:rPr>
          <w:rFonts w:eastAsia="SimSun"/>
          <w:spacing w:val="2"/>
          <w:lang w:bidi="ar-SY"/>
        </w:rPr>
        <w:t>K</w:t>
      </w:r>
      <w:r w:rsidRPr="00431196">
        <w:rPr>
          <w:rFonts w:eastAsia="SimSun"/>
          <w:spacing w:val="2"/>
          <w:rtl/>
          <w:lang w:bidi="ar-EG"/>
        </w:rPr>
        <w:t xml:space="preserve"> </w:t>
      </w:r>
      <w:r w:rsidRPr="00431196">
        <w:rPr>
          <w:rFonts w:eastAsia="SimSun" w:hint="cs"/>
          <w:spacing w:val="2"/>
          <w:rtl/>
          <w:lang w:bidi="ar-EG"/>
        </w:rPr>
        <w:t>-</w:t>
      </w:r>
      <w:r w:rsidRPr="00431196">
        <w:rPr>
          <w:rFonts w:eastAsia="SimSun"/>
          <w:spacing w:val="2"/>
          <w:rtl/>
          <w:lang w:bidi="ar-EG"/>
        </w:rPr>
        <w:t xml:space="preserve"> </w:t>
      </w:r>
      <w:r w:rsidRPr="00431196">
        <w:rPr>
          <w:rFonts w:eastAsia="SimSun" w:hint="cs"/>
          <w:spacing w:val="2"/>
          <w:rtl/>
          <w:lang w:bidi="ar-EG"/>
        </w:rPr>
        <w:t xml:space="preserve">إضافة حكم تنظيمي إلى المادة </w:t>
      </w:r>
      <w:r w:rsidRPr="00431196">
        <w:rPr>
          <w:rFonts w:eastAsia="SimSun"/>
          <w:b/>
          <w:bCs/>
          <w:spacing w:val="2"/>
          <w:lang w:bidi="ar-EG"/>
        </w:rPr>
        <w:t>11</w:t>
      </w:r>
      <w:r w:rsidRPr="00431196">
        <w:rPr>
          <w:rFonts w:eastAsia="SimSun"/>
          <w:spacing w:val="2"/>
          <w:rtl/>
          <w:lang w:bidi="ar-EG"/>
        </w:rPr>
        <w:t xml:space="preserve"> </w:t>
      </w:r>
      <w:r w:rsidR="008C6CA7" w:rsidRPr="00431196">
        <w:rPr>
          <w:rFonts w:eastAsia="SimSun" w:hint="cs"/>
          <w:spacing w:val="2"/>
          <w:rtl/>
          <w:lang w:bidi="ar-EG"/>
        </w:rPr>
        <w:t xml:space="preserve">من لوائح الراديو </w:t>
      </w:r>
      <w:r w:rsidRPr="00431196">
        <w:rPr>
          <w:rFonts w:eastAsia="SimSun" w:hint="cs"/>
          <w:spacing w:val="2"/>
          <w:rtl/>
          <w:lang w:bidi="ar-EG"/>
        </w:rPr>
        <w:t>فيما يتعلق بحالة فشل الإطلاق</w:t>
      </w:r>
      <w:r w:rsidR="009E0360">
        <w:rPr>
          <w:rFonts w:eastAsia="SimSun" w:hint="cs"/>
          <w:spacing w:val="2"/>
          <w:rtl/>
          <w:lang w:bidi="ar-EG"/>
        </w:rPr>
        <w:t>.</w:t>
      </w:r>
    </w:p>
    <w:p w:rsidR="00F16602" w:rsidRDefault="00592E08" w:rsidP="00592E08">
      <w:pPr>
        <w:pStyle w:val="Headingb"/>
        <w:rPr>
          <w:rtl/>
        </w:rPr>
      </w:pPr>
      <w:r>
        <w:rPr>
          <w:rFonts w:hint="cs"/>
          <w:rtl/>
        </w:rPr>
        <w:t>معلومات أساسية</w:t>
      </w:r>
    </w:p>
    <w:p w:rsidR="00592E08" w:rsidRPr="009D12A6" w:rsidRDefault="003E2A3E" w:rsidP="003E2A3E">
      <w:pPr>
        <w:rPr>
          <w:rtl/>
          <w:lang w:bidi="ar-EG"/>
        </w:rPr>
      </w:pPr>
      <w:r>
        <w:rPr>
          <w:rFonts w:hint="cs"/>
          <w:rtl/>
        </w:rPr>
        <w:t xml:space="preserve">سينظر المؤتمر </w:t>
      </w:r>
      <w:r w:rsidR="008C6CA7">
        <w:rPr>
          <w:rFonts w:hint="cs"/>
          <w:rtl/>
        </w:rPr>
        <w:t xml:space="preserve">في إطار المسألة </w:t>
      </w:r>
      <w:r w:rsidR="008C6CA7">
        <w:t>K</w:t>
      </w:r>
      <w:r w:rsidR="009D12A6">
        <w:rPr>
          <w:rFonts w:hint="cs"/>
          <w:rtl/>
        </w:rPr>
        <w:t xml:space="preserve"> من البند </w:t>
      </w:r>
      <w:r w:rsidR="009D12A6">
        <w:t>7</w:t>
      </w:r>
      <w:r w:rsidR="009D12A6">
        <w:rPr>
          <w:rFonts w:hint="cs"/>
          <w:rtl/>
        </w:rPr>
        <w:t xml:space="preserve"> </w:t>
      </w:r>
      <w:r w:rsidR="009D12A6">
        <w:rPr>
          <w:rFonts w:hint="cs"/>
          <w:rtl/>
          <w:lang w:bidi="ar-EG"/>
        </w:rPr>
        <w:t xml:space="preserve">من جدول أعمال </w:t>
      </w:r>
      <w:r w:rsidR="009D12A6">
        <w:rPr>
          <w:rFonts w:hint="cs"/>
          <w:rtl/>
        </w:rPr>
        <w:t xml:space="preserve">المؤتمر </w:t>
      </w:r>
      <w:r w:rsidR="009D12A6">
        <w:t>WRC-15</w:t>
      </w:r>
      <w:r w:rsidR="009D12A6">
        <w:rPr>
          <w:rFonts w:hint="cs"/>
          <w:rtl/>
        </w:rPr>
        <w:t>، في إمكانية تمديد المهلة التنظيمية البالغة سبع سنوات بفترة لا تزيد عن ثلاث سنوات في حالة فشل إطلاق تطرأ بعد</w:t>
      </w:r>
      <w:r w:rsidRPr="003E2A3E">
        <w:rPr>
          <w:rFonts w:hint="cs"/>
          <w:rtl/>
        </w:rPr>
        <w:t xml:space="preserve"> </w:t>
      </w:r>
      <w:r>
        <w:rPr>
          <w:rFonts w:hint="cs"/>
          <w:rtl/>
        </w:rPr>
        <w:t>أربع سنوات على الأقل من</w:t>
      </w:r>
      <w:r w:rsidR="009D12A6">
        <w:rPr>
          <w:rFonts w:hint="cs"/>
          <w:rtl/>
        </w:rPr>
        <w:t xml:space="preserve"> استلام معلومات النشر المسبق </w:t>
      </w:r>
      <w:r>
        <w:rPr>
          <w:rFonts w:hint="cs"/>
          <w:rtl/>
        </w:rPr>
        <w:t>بشأن</w:t>
      </w:r>
      <w:r w:rsidR="009D12A6">
        <w:rPr>
          <w:rFonts w:hint="cs"/>
          <w:rtl/>
        </w:rPr>
        <w:t xml:space="preserve"> شبكة </w:t>
      </w:r>
      <w:proofErr w:type="spellStart"/>
      <w:r w:rsidR="009D12A6">
        <w:rPr>
          <w:rFonts w:hint="cs"/>
          <w:rtl/>
        </w:rPr>
        <w:t>ساتلية</w:t>
      </w:r>
      <w:proofErr w:type="spellEnd"/>
      <w:r w:rsidR="009D12A6">
        <w:rPr>
          <w:rFonts w:hint="cs"/>
          <w:rtl/>
        </w:rPr>
        <w:t xml:space="preserve"> </w:t>
      </w:r>
      <w:r>
        <w:rPr>
          <w:rFonts w:hint="cs"/>
          <w:rtl/>
        </w:rPr>
        <w:t>و</w:t>
      </w:r>
      <w:r w:rsidR="00E01B8B">
        <w:rPr>
          <w:rFonts w:hint="cs"/>
          <w:rtl/>
        </w:rPr>
        <w:t xml:space="preserve">تؤدي إلى تدمير </w:t>
      </w:r>
      <w:proofErr w:type="spellStart"/>
      <w:r w:rsidR="00E01B8B">
        <w:rPr>
          <w:rFonts w:hint="cs"/>
          <w:rtl/>
        </w:rPr>
        <w:t>الساتل</w:t>
      </w:r>
      <w:proofErr w:type="spellEnd"/>
      <w:r w:rsidR="00E01B8B">
        <w:rPr>
          <w:rFonts w:hint="cs"/>
          <w:rtl/>
        </w:rPr>
        <w:t>.</w:t>
      </w:r>
    </w:p>
    <w:p w:rsidR="00592E08" w:rsidRDefault="00592E08" w:rsidP="005D6D48">
      <w:pPr>
        <w:rPr>
          <w:rtl/>
        </w:rPr>
      </w:pPr>
    </w:p>
    <w:p w:rsidR="00592E08" w:rsidRDefault="00592E08" w:rsidP="005D6D48">
      <w:pPr>
        <w:rPr>
          <w:rtl/>
        </w:rPr>
      </w:pPr>
    </w:p>
    <w:p w:rsidR="00592E08" w:rsidRDefault="00592E08" w:rsidP="005D6D48">
      <w:pPr>
        <w:rPr>
          <w:rtl/>
        </w:rPr>
      </w:pPr>
    </w:p>
    <w:p w:rsidR="00592E08" w:rsidRDefault="00592E08" w:rsidP="005D6D48">
      <w:pPr>
        <w:rPr>
          <w:rtl/>
        </w:rPr>
      </w:pPr>
    </w:p>
    <w:p w:rsidR="00592E08" w:rsidRDefault="00592E08" w:rsidP="005D6D48">
      <w:pPr>
        <w:rPr>
          <w:rtl/>
        </w:rPr>
      </w:pPr>
    </w:p>
    <w:p w:rsidR="00592E08" w:rsidRDefault="00592E08" w:rsidP="005D6D48">
      <w:pPr>
        <w:rPr>
          <w:rtl/>
        </w:rPr>
      </w:pPr>
    </w:p>
    <w:p w:rsidR="00592E08" w:rsidRDefault="009E0360" w:rsidP="0067555A">
      <w:pPr>
        <w:spacing w:after="360"/>
        <w:rPr>
          <w:rtl/>
          <w:lang w:bidi="ar-EG"/>
        </w:rPr>
      </w:pPr>
      <w:r>
        <w:rPr>
          <w:rFonts w:hint="cs"/>
          <w:rtl/>
        </w:rPr>
        <w:lastRenderedPageBreak/>
        <w:t xml:space="preserve">كانت لوائح الراديو تتضمن </w:t>
      </w:r>
      <w:r w:rsidR="00584770">
        <w:rPr>
          <w:rFonts w:hint="cs"/>
          <w:rtl/>
        </w:rPr>
        <w:t xml:space="preserve">في </w:t>
      </w:r>
      <w:r>
        <w:rPr>
          <w:rFonts w:hint="cs"/>
          <w:rtl/>
        </w:rPr>
        <w:t xml:space="preserve">الماضي </w:t>
      </w:r>
      <w:r w:rsidR="00584770">
        <w:rPr>
          <w:rFonts w:hint="cs"/>
          <w:rtl/>
        </w:rPr>
        <w:t xml:space="preserve">أحكاماً مختلفة تسمح بالتمديد. ويبين الجدول التالي المهلة التنظيمية </w:t>
      </w:r>
      <w:r w:rsidR="000E7B58">
        <w:rPr>
          <w:rFonts w:hint="cs"/>
          <w:rtl/>
        </w:rPr>
        <w:t>وحالات التمديد الممكنة</w:t>
      </w:r>
      <w:r w:rsidR="0067555A">
        <w:rPr>
          <w:rFonts w:hint="cs"/>
          <w:rtl/>
        </w:rPr>
        <w:t xml:space="preserve"> في السابق.</w:t>
      </w:r>
    </w:p>
    <w:tbl>
      <w:tblPr>
        <w:tblStyle w:val="TableGrid"/>
        <w:bidiVisual/>
        <w:tblW w:w="0" w:type="auto"/>
        <w:tblLook w:val="04A0" w:firstRow="1" w:lastRow="0" w:firstColumn="1" w:lastColumn="0" w:noHBand="0" w:noVBand="1"/>
      </w:tblPr>
      <w:tblGrid>
        <w:gridCol w:w="1695"/>
        <w:gridCol w:w="2755"/>
        <w:gridCol w:w="2727"/>
        <w:gridCol w:w="2170"/>
      </w:tblGrid>
      <w:tr w:rsidR="00592E08" w:rsidRPr="00144B87" w:rsidTr="00584770">
        <w:tc>
          <w:tcPr>
            <w:tcW w:w="1695" w:type="dxa"/>
          </w:tcPr>
          <w:p w:rsidR="00592E08" w:rsidRPr="00144B87" w:rsidRDefault="00584770" w:rsidP="0067555A">
            <w:pPr>
              <w:pStyle w:val="Tablehead"/>
              <w:spacing w:line="300" w:lineRule="exact"/>
              <w:rPr>
                <w:lang w:val="en-CA"/>
              </w:rPr>
            </w:pPr>
            <w:r>
              <w:rPr>
                <w:rFonts w:hint="cs"/>
                <w:rtl/>
                <w:lang w:val="en-CA"/>
              </w:rPr>
              <w:t>نسخة لوائح الراديو</w:t>
            </w:r>
          </w:p>
        </w:tc>
        <w:tc>
          <w:tcPr>
            <w:tcW w:w="2755" w:type="dxa"/>
          </w:tcPr>
          <w:p w:rsidR="00592E08" w:rsidRPr="00144B87" w:rsidRDefault="00584770" w:rsidP="0067555A">
            <w:pPr>
              <w:pStyle w:val="Tablehead"/>
              <w:spacing w:line="300" w:lineRule="exact"/>
              <w:rPr>
                <w:lang w:val="en-CA"/>
              </w:rPr>
            </w:pPr>
            <w:r>
              <w:rPr>
                <w:rFonts w:hint="cs"/>
                <w:rtl/>
                <w:lang w:val="en-CA"/>
              </w:rPr>
              <w:t>طول المهلة التنظيمية</w:t>
            </w:r>
          </w:p>
        </w:tc>
        <w:tc>
          <w:tcPr>
            <w:tcW w:w="2727" w:type="dxa"/>
          </w:tcPr>
          <w:p w:rsidR="00592E08" w:rsidRPr="00144B87" w:rsidRDefault="00584770" w:rsidP="0067555A">
            <w:pPr>
              <w:pStyle w:val="Tablehead"/>
              <w:spacing w:line="300" w:lineRule="exact"/>
              <w:rPr>
                <w:lang w:val="en-CA"/>
              </w:rPr>
            </w:pPr>
            <w:r>
              <w:rPr>
                <w:rFonts w:hint="cs"/>
                <w:rtl/>
                <w:lang w:val="en-CA"/>
              </w:rPr>
              <w:t>مدة التمديد الممكنة</w:t>
            </w:r>
          </w:p>
        </w:tc>
        <w:tc>
          <w:tcPr>
            <w:tcW w:w="2170" w:type="dxa"/>
          </w:tcPr>
          <w:p w:rsidR="00592E08" w:rsidRPr="00144B87" w:rsidRDefault="00584770" w:rsidP="0067555A">
            <w:pPr>
              <w:pStyle w:val="Tablehead"/>
              <w:spacing w:line="300" w:lineRule="exact"/>
              <w:rPr>
                <w:lang w:val="en-CA"/>
              </w:rPr>
            </w:pPr>
            <w:r>
              <w:rPr>
                <w:rFonts w:hint="cs"/>
                <w:rtl/>
                <w:lang w:val="en-CA"/>
              </w:rPr>
              <w:t>فترة التعليق</w:t>
            </w:r>
          </w:p>
        </w:tc>
      </w:tr>
      <w:tr w:rsidR="00592E08" w:rsidRPr="00144B87" w:rsidTr="00584770">
        <w:tc>
          <w:tcPr>
            <w:tcW w:w="1695" w:type="dxa"/>
          </w:tcPr>
          <w:p w:rsidR="00592E08" w:rsidRPr="00144B87" w:rsidRDefault="00584770" w:rsidP="0067555A">
            <w:pPr>
              <w:pStyle w:val="TabletextS5"/>
              <w:spacing w:before="60" w:after="60"/>
              <w:rPr>
                <w:rtl/>
                <w:lang w:val="en-CA"/>
              </w:rPr>
            </w:pPr>
            <w:r w:rsidRPr="00144B87">
              <w:rPr>
                <w:szCs w:val="24"/>
                <w:lang w:val="en-CA"/>
              </w:rPr>
              <w:t>Orb-88</w:t>
            </w:r>
          </w:p>
        </w:tc>
        <w:tc>
          <w:tcPr>
            <w:tcW w:w="2755" w:type="dxa"/>
          </w:tcPr>
          <w:p w:rsidR="00592E08" w:rsidRPr="00144B87" w:rsidRDefault="001334C2" w:rsidP="0067555A">
            <w:pPr>
              <w:pStyle w:val="TabletextS5"/>
              <w:spacing w:before="60" w:after="60"/>
              <w:jc w:val="both"/>
              <w:rPr>
                <w:rtl/>
                <w:lang w:val="en-CA"/>
              </w:rPr>
            </w:pPr>
            <w:r>
              <w:rPr>
                <w:lang w:val="en-CA"/>
              </w:rPr>
              <w:t>6</w:t>
            </w:r>
            <w:r>
              <w:rPr>
                <w:rFonts w:hint="cs"/>
                <w:rtl/>
                <w:lang w:val="en-CA"/>
              </w:rPr>
              <w:t xml:space="preserve"> سنوات (اعتباراً من تاريخ النشر)</w:t>
            </w:r>
          </w:p>
        </w:tc>
        <w:tc>
          <w:tcPr>
            <w:tcW w:w="2727" w:type="dxa"/>
          </w:tcPr>
          <w:p w:rsidR="00592E08" w:rsidRPr="00144B87" w:rsidRDefault="001334C2" w:rsidP="0067555A">
            <w:pPr>
              <w:pStyle w:val="TabletextS5"/>
              <w:spacing w:before="60" w:after="60"/>
              <w:jc w:val="both"/>
              <w:rPr>
                <w:rtl/>
                <w:lang w:val="en-CA"/>
              </w:rPr>
            </w:pPr>
            <w:r>
              <w:rPr>
                <w:lang w:val="en-CA"/>
              </w:rPr>
              <w:t>3</w:t>
            </w:r>
            <w:r>
              <w:rPr>
                <w:rFonts w:hint="cs"/>
                <w:rtl/>
                <w:lang w:val="en-CA"/>
              </w:rPr>
              <w:t xml:space="preserve"> سنوات</w:t>
            </w:r>
          </w:p>
        </w:tc>
        <w:tc>
          <w:tcPr>
            <w:tcW w:w="2170" w:type="dxa"/>
          </w:tcPr>
          <w:p w:rsidR="00592E08" w:rsidRPr="00144B87" w:rsidRDefault="001334C2" w:rsidP="0067555A">
            <w:pPr>
              <w:pStyle w:val="TabletextS5"/>
              <w:spacing w:before="60" w:after="60"/>
              <w:jc w:val="both"/>
              <w:rPr>
                <w:lang w:val="en-CA"/>
              </w:rPr>
            </w:pPr>
            <w:r>
              <w:rPr>
                <w:rFonts w:hint="cs"/>
                <w:rtl/>
                <w:lang w:val="en-CA"/>
              </w:rPr>
              <w:t>لا ينطبق</w:t>
            </w:r>
          </w:p>
        </w:tc>
      </w:tr>
      <w:tr w:rsidR="001334C2" w:rsidRPr="00144B87" w:rsidTr="00584770">
        <w:tc>
          <w:tcPr>
            <w:tcW w:w="1695" w:type="dxa"/>
          </w:tcPr>
          <w:p w:rsidR="001334C2" w:rsidRPr="00144B87" w:rsidRDefault="001334C2" w:rsidP="0067555A">
            <w:pPr>
              <w:spacing w:before="60" w:after="60" w:line="300" w:lineRule="exact"/>
              <w:rPr>
                <w:szCs w:val="24"/>
                <w:lang w:val="en-CA"/>
              </w:rPr>
            </w:pPr>
            <w:r w:rsidRPr="00144B87">
              <w:rPr>
                <w:szCs w:val="24"/>
                <w:lang w:val="en-CA"/>
              </w:rPr>
              <w:t>1990</w:t>
            </w:r>
          </w:p>
        </w:tc>
        <w:tc>
          <w:tcPr>
            <w:tcW w:w="2755" w:type="dxa"/>
          </w:tcPr>
          <w:p w:rsidR="001334C2" w:rsidRPr="00144B87" w:rsidRDefault="00C73A61" w:rsidP="0067555A">
            <w:pPr>
              <w:pStyle w:val="TabletextS5"/>
              <w:spacing w:before="60" w:after="60"/>
              <w:jc w:val="center"/>
              <w:rPr>
                <w:lang w:val="en-CA"/>
              </w:rPr>
            </w:pPr>
            <w:r>
              <w:rPr>
                <w:lang w:val="en-CA"/>
              </w:rPr>
              <w:t>6</w:t>
            </w:r>
            <w:r>
              <w:rPr>
                <w:rFonts w:hint="cs"/>
                <w:rtl/>
                <w:lang w:val="en-CA"/>
              </w:rPr>
              <w:t xml:space="preserve"> سنوات (اعتباراً من تاريخ النشر)</w:t>
            </w:r>
          </w:p>
        </w:tc>
        <w:tc>
          <w:tcPr>
            <w:tcW w:w="2727" w:type="dxa"/>
          </w:tcPr>
          <w:p w:rsidR="001334C2" w:rsidRDefault="001334C2" w:rsidP="0067555A">
            <w:pPr>
              <w:spacing w:before="60" w:after="60" w:line="300" w:lineRule="exact"/>
            </w:pPr>
            <w:r w:rsidRPr="00BC0D61">
              <w:rPr>
                <w:lang w:val="en-CA"/>
              </w:rPr>
              <w:t>3</w:t>
            </w:r>
            <w:r w:rsidRPr="00BC0D61">
              <w:rPr>
                <w:rFonts w:hint="cs"/>
                <w:rtl/>
                <w:lang w:val="en-CA"/>
              </w:rPr>
              <w:t xml:space="preserve"> سنوات</w:t>
            </w:r>
          </w:p>
        </w:tc>
        <w:tc>
          <w:tcPr>
            <w:tcW w:w="2170" w:type="dxa"/>
          </w:tcPr>
          <w:p w:rsidR="001334C2" w:rsidRDefault="001334C2" w:rsidP="0067555A">
            <w:pPr>
              <w:spacing w:before="60" w:after="60" w:line="300" w:lineRule="exact"/>
            </w:pPr>
            <w:r w:rsidRPr="00E619EB">
              <w:rPr>
                <w:rFonts w:hint="cs"/>
                <w:rtl/>
                <w:lang w:val="en-CA"/>
              </w:rPr>
              <w:t>لا ينطبق</w:t>
            </w:r>
          </w:p>
        </w:tc>
      </w:tr>
      <w:tr w:rsidR="001334C2" w:rsidRPr="00144B87" w:rsidTr="00584770">
        <w:tc>
          <w:tcPr>
            <w:tcW w:w="1695" w:type="dxa"/>
          </w:tcPr>
          <w:p w:rsidR="001334C2" w:rsidRPr="00144B87" w:rsidRDefault="001334C2" w:rsidP="0067555A">
            <w:pPr>
              <w:spacing w:before="60" w:after="60" w:line="300" w:lineRule="exact"/>
              <w:rPr>
                <w:szCs w:val="24"/>
                <w:lang w:val="en-CA"/>
              </w:rPr>
            </w:pPr>
            <w:r w:rsidRPr="00144B87">
              <w:rPr>
                <w:szCs w:val="24"/>
                <w:lang w:val="en-CA"/>
              </w:rPr>
              <w:t>1994</w:t>
            </w:r>
          </w:p>
        </w:tc>
        <w:tc>
          <w:tcPr>
            <w:tcW w:w="2755" w:type="dxa"/>
          </w:tcPr>
          <w:p w:rsidR="001334C2" w:rsidRPr="00144B87" w:rsidRDefault="00C73A61" w:rsidP="0067555A">
            <w:pPr>
              <w:pStyle w:val="TabletextS5"/>
              <w:spacing w:before="60" w:after="60"/>
              <w:jc w:val="center"/>
              <w:rPr>
                <w:lang w:val="en-CA"/>
              </w:rPr>
            </w:pPr>
            <w:r>
              <w:rPr>
                <w:lang w:val="en-CA"/>
              </w:rPr>
              <w:t>6</w:t>
            </w:r>
            <w:r>
              <w:rPr>
                <w:rFonts w:hint="cs"/>
                <w:rtl/>
                <w:lang w:val="en-CA"/>
              </w:rPr>
              <w:t xml:space="preserve"> سنوات (اعتباراً من تاريخ النشر)</w:t>
            </w:r>
          </w:p>
        </w:tc>
        <w:tc>
          <w:tcPr>
            <w:tcW w:w="2727" w:type="dxa"/>
          </w:tcPr>
          <w:p w:rsidR="001334C2" w:rsidRDefault="001334C2" w:rsidP="0067555A">
            <w:pPr>
              <w:spacing w:before="60" w:after="60" w:line="300" w:lineRule="exact"/>
            </w:pPr>
            <w:r w:rsidRPr="00BC0D61">
              <w:rPr>
                <w:lang w:val="en-CA"/>
              </w:rPr>
              <w:t>3</w:t>
            </w:r>
            <w:r w:rsidRPr="00BC0D61">
              <w:rPr>
                <w:rFonts w:hint="cs"/>
                <w:rtl/>
                <w:lang w:val="en-CA"/>
              </w:rPr>
              <w:t xml:space="preserve"> سنوات</w:t>
            </w:r>
          </w:p>
        </w:tc>
        <w:tc>
          <w:tcPr>
            <w:tcW w:w="2170" w:type="dxa"/>
          </w:tcPr>
          <w:p w:rsidR="001334C2" w:rsidRDefault="001334C2" w:rsidP="0067555A">
            <w:pPr>
              <w:spacing w:before="60" w:after="60" w:line="300" w:lineRule="exact"/>
            </w:pPr>
            <w:r w:rsidRPr="00E619EB">
              <w:rPr>
                <w:rFonts w:hint="cs"/>
                <w:rtl/>
                <w:lang w:val="en-CA"/>
              </w:rPr>
              <w:t>لا ينطبق</w:t>
            </w:r>
          </w:p>
        </w:tc>
      </w:tr>
      <w:tr w:rsidR="00C73A61" w:rsidRPr="00144B87" w:rsidTr="00584770">
        <w:tc>
          <w:tcPr>
            <w:tcW w:w="1695" w:type="dxa"/>
          </w:tcPr>
          <w:p w:rsidR="00C73A61" w:rsidRPr="00144B87" w:rsidRDefault="00C73A61" w:rsidP="0067555A">
            <w:pPr>
              <w:spacing w:before="60" w:after="60" w:line="300" w:lineRule="exact"/>
              <w:rPr>
                <w:szCs w:val="24"/>
                <w:lang w:val="en-CA"/>
              </w:rPr>
            </w:pPr>
            <w:r w:rsidRPr="00144B87">
              <w:rPr>
                <w:szCs w:val="24"/>
                <w:lang w:val="en-CA"/>
              </w:rPr>
              <w:t>1998</w:t>
            </w:r>
          </w:p>
        </w:tc>
        <w:tc>
          <w:tcPr>
            <w:tcW w:w="2755" w:type="dxa"/>
          </w:tcPr>
          <w:p w:rsidR="00C73A61" w:rsidRDefault="00C73A61" w:rsidP="0067555A">
            <w:pPr>
              <w:spacing w:before="60" w:after="60" w:line="300" w:lineRule="exact"/>
            </w:pPr>
            <w:r>
              <w:rPr>
                <w:lang w:val="en-CA"/>
              </w:rPr>
              <w:t>5</w:t>
            </w:r>
            <w:r w:rsidRPr="001922FD">
              <w:rPr>
                <w:rFonts w:hint="cs"/>
                <w:rtl/>
                <w:lang w:val="en-CA"/>
              </w:rPr>
              <w:t xml:space="preserve"> سنوات</w:t>
            </w:r>
          </w:p>
        </w:tc>
        <w:tc>
          <w:tcPr>
            <w:tcW w:w="2727" w:type="dxa"/>
          </w:tcPr>
          <w:p w:rsidR="00C73A61" w:rsidRDefault="00C73A61" w:rsidP="0067555A">
            <w:pPr>
              <w:spacing w:before="60" w:after="60" w:line="300" w:lineRule="exact"/>
            </w:pPr>
            <w:r>
              <w:rPr>
                <w:rFonts w:hint="cs"/>
                <w:rtl/>
                <w:lang w:val="en-CA"/>
              </w:rPr>
              <w:t>سنتان</w:t>
            </w:r>
          </w:p>
        </w:tc>
        <w:tc>
          <w:tcPr>
            <w:tcW w:w="2170" w:type="dxa"/>
          </w:tcPr>
          <w:p w:rsidR="00C73A61" w:rsidRPr="00144B87" w:rsidRDefault="00C73A61" w:rsidP="0067555A">
            <w:pPr>
              <w:pStyle w:val="TabletextS5"/>
              <w:spacing w:before="60" w:after="60"/>
              <w:rPr>
                <w:rtl/>
                <w:lang w:val="en-CA"/>
              </w:rPr>
            </w:pPr>
            <w:r>
              <w:rPr>
                <w:lang w:val="en-CA"/>
              </w:rPr>
              <w:t>18</w:t>
            </w:r>
            <w:r>
              <w:rPr>
                <w:rFonts w:hint="cs"/>
                <w:rtl/>
                <w:lang w:val="en-CA"/>
              </w:rPr>
              <w:t xml:space="preserve"> شهراً</w:t>
            </w:r>
          </w:p>
        </w:tc>
      </w:tr>
      <w:tr w:rsidR="00C73A61" w:rsidRPr="00144B87" w:rsidTr="00584770">
        <w:tc>
          <w:tcPr>
            <w:tcW w:w="1695" w:type="dxa"/>
          </w:tcPr>
          <w:p w:rsidR="00C73A61" w:rsidRPr="00144B87" w:rsidRDefault="00C73A61" w:rsidP="0067555A">
            <w:pPr>
              <w:spacing w:before="60" w:after="60" w:line="300" w:lineRule="exact"/>
              <w:rPr>
                <w:szCs w:val="24"/>
                <w:lang w:val="en-CA"/>
              </w:rPr>
            </w:pPr>
            <w:r w:rsidRPr="00144B87">
              <w:rPr>
                <w:szCs w:val="24"/>
                <w:lang w:val="en-CA"/>
              </w:rPr>
              <w:t>2001</w:t>
            </w:r>
          </w:p>
        </w:tc>
        <w:tc>
          <w:tcPr>
            <w:tcW w:w="2755" w:type="dxa"/>
          </w:tcPr>
          <w:p w:rsidR="00C73A61" w:rsidRDefault="00C73A61" w:rsidP="0067555A">
            <w:pPr>
              <w:spacing w:before="60" w:after="60" w:line="300" w:lineRule="exact"/>
            </w:pPr>
            <w:r>
              <w:rPr>
                <w:lang w:val="en-CA"/>
              </w:rPr>
              <w:t>5</w:t>
            </w:r>
            <w:r>
              <w:rPr>
                <w:rFonts w:hint="cs"/>
                <w:rtl/>
                <w:lang w:val="en-CA" w:bidi="ar-EG"/>
              </w:rPr>
              <w:t xml:space="preserve"> </w:t>
            </w:r>
            <w:r w:rsidRPr="001922FD">
              <w:rPr>
                <w:rFonts w:hint="cs"/>
                <w:rtl/>
                <w:lang w:val="en-CA"/>
              </w:rPr>
              <w:t>سنوات</w:t>
            </w:r>
          </w:p>
        </w:tc>
        <w:tc>
          <w:tcPr>
            <w:tcW w:w="2727" w:type="dxa"/>
          </w:tcPr>
          <w:p w:rsidR="00C73A61" w:rsidRDefault="00C73A61" w:rsidP="0067555A">
            <w:pPr>
              <w:spacing w:before="60" w:after="60" w:line="300" w:lineRule="exact"/>
            </w:pPr>
            <w:r>
              <w:rPr>
                <w:rFonts w:hint="cs"/>
                <w:rtl/>
                <w:lang w:val="en-CA"/>
              </w:rPr>
              <w:t>سنتان</w:t>
            </w:r>
          </w:p>
        </w:tc>
        <w:tc>
          <w:tcPr>
            <w:tcW w:w="2170" w:type="dxa"/>
          </w:tcPr>
          <w:p w:rsidR="00C73A61" w:rsidRDefault="00C73A61" w:rsidP="0067555A">
            <w:pPr>
              <w:spacing w:before="60" w:after="60" w:line="300" w:lineRule="exact"/>
            </w:pPr>
            <w:r w:rsidRPr="00D25D2B">
              <w:rPr>
                <w:rFonts w:hint="cs"/>
                <w:rtl/>
                <w:lang w:val="en-CA"/>
              </w:rPr>
              <w:t>سنتان</w:t>
            </w:r>
          </w:p>
        </w:tc>
      </w:tr>
      <w:tr w:rsidR="00C73A61" w:rsidRPr="00144B87" w:rsidTr="00584770">
        <w:tc>
          <w:tcPr>
            <w:tcW w:w="1695" w:type="dxa"/>
          </w:tcPr>
          <w:p w:rsidR="00C73A61" w:rsidRPr="00144B87" w:rsidRDefault="00C73A61" w:rsidP="0067555A">
            <w:pPr>
              <w:tabs>
                <w:tab w:val="left" w:pos="899"/>
              </w:tabs>
              <w:spacing w:before="60" w:after="60" w:line="300" w:lineRule="exact"/>
              <w:rPr>
                <w:szCs w:val="24"/>
                <w:lang w:val="en-CA"/>
              </w:rPr>
            </w:pPr>
            <w:r w:rsidRPr="00144B87">
              <w:rPr>
                <w:szCs w:val="24"/>
                <w:lang w:val="en-CA"/>
              </w:rPr>
              <w:t>2004</w:t>
            </w:r>
          </w:p>
        </w:tc>
        <w:tc>
          <w:tcPr>
            <w:tcW w:w="2755" w:type="dxa"/>
          </w:tcPr>
          <w:p w:rsidR="00C73A61" w:rsidRDefault="00C73A61" w:rsidP="0067555A">
            <w:pPr>
              <w:spacing w:before="60" w:after="60" w:line="300" w:lineRule="exact"/>
            </w:pPr>
            <w:r>
              <w:rPr>
                <w:lang w:val="en-CA"/>
              </w:rPr>
              <w:t>7</w:t>
            </w:r>
            <w:r w:rsidRPr="001922FD">
              <w:rPr>
                <w:rFonts w:hint="cs"/>
                <w:rtl/>
                <w:lang w:val="en-CA"/>
              </w:rPr>
              <w:t xml:space="preserve"> سنوات</w:t>
            </w:r>
          </w:p>
        </w:tc>
        <w:tc>
          <w:tcPr>
            <w:tcW w:w="2727" w:type="dxa"/>
          </w:tcPr>
          <w:p w:rsidR="00C73A61" w:rsidRDefault="00C73A61" w:rsidP="0067555A">
            <w:pPr>
              <w:spacing w:before="60" w:after="60" w:line="300" w:lineRule="exact"/>
            </w:pPr>
            <w:r>
              <w:t>0</w:t>
            </w:r>
          </w:p>
        </w:tc>
        <w:tc>
          <w:tcPr>
            <w:tcW w:w="2170" w:type="dxa"/>
          </w:tcPr>
          <w:p w:rsidR="00C73A61" w:rsidRDefault="00C73A61" w:rsidP="0067555A">
            <w:pPr>
              <w:spacing w:before="60" w:after="60" w:line="300" w:lineRule="exact"/>
            </w:pPr>
            <w:r w:rsidRPr="00D25D2B">
              <w:rPr>
                <w:rFonts w:hint="cs"/>
                <w:rtl/>
                <w:lang w:val="en-CA"/>
              </w:rPr>
              <w:t>سنتان</w:t>
            </w:r>
          </w:p>
        </w:tc>
      </w:tr>
      <w:tr w:rsidR="00C73A61" w:rsidRPr="00144B87" w:rsidTr="00584770">
        <w:tc>
          <w:tcPr>
            <w:tcW w:w="1695" w:type="dxa"/>
          </w:tcPr>
          <w:p w:rsidR="00C73A61" w:rsidRPr="00144B87" w:rsidRDefault="00C73A61" w:rsidP="0067555A">
            <w:pPr>
              <w:spacing w:before="60" w:after="60" w:line="300" w:lineRule="exact"/>
              <w:rPr>
                <w:szCs w:val="24"/>
                <w:lang w:val="en-CA"/>
              </w:rPr>
            </w:pPr>
            <w:r w:rsidRPr="00144B87">
              <w:rPr>
                <w:szCs w:val="24"/>
                <w:lang w:val="en-CA"/>
              </w:rPr>
              <w:t>2008</w:t>
            </w:r>
          </w:p>
        </w:tc>
        <w:tc>
          <w:tcPr>
            <w:tcW w:w="2755" w:type="dxa"/>
          </w:tcPr>
          <w:p w:rsidR="00C73A61" w:rsidRDefault="00C73A61" w:rsidP="0067555A">
            <w:pPr>
              <w:spacing w:before="60" w:after="60" w:line="300" w:lineRule="exact"/>
            </w:pPr>
            <w:r>
              <w:rPr>
                <w:lang w:val="en-CA"/>
              </w:rPr>
              <w:t>7</w:t>
            </w:r>
            <w:r w:rsidRPr="001922FD">
              <w:rPr>
                <w:rFonts w:hint="cs"/>
                <w:rtl/>
                <w:lang w:val="en-CA"/>
              </w:rPr>
              <w:t xml:space="preserve"> سنوات</w:t>
            </w:r>
          </w:p>
        </w:tc>
        <w:tc>
          <w:tcPr>
            <w:tcW w:w="2727" w:type="dxa"/>
          </w:tcPr>
          <w:p w:rsidR="00C73A61" w:rsidRDefault="00C73A61" w:rsidP="0067555A">
            <w:pPr>
              <w:spacing w:before="60" w:after="60" w:line="300" w:lineRule="exact"/>
            </w:pPr>
            <w:r>
              <w:rPr>
                <w:lang w:val="en-CA"/>
              </w:rPr>
              <w:t>0</w:t>
            </w:r>
            <w:r w:rsidRPr="00BC0D61">
              <w:rPr>
                <w:rFonts w:hint="cs"/>
                <w:rtl/>
                <w:lang w:val="en-CA"/>
              </w:rPr>
              <w:t xml:space="preserve"> </w:t>
            </w:r>
          </w:p>
        </w:tc>
        <w:tc>
          <w:tcPr>
            <w:tcW w:w="2170" w:type="dxa"/>
          </w:tcPr>
          <w:p w:rsidR="00C73A61" w:rsidRDefault="00C73A61" w:rsidP="0067555A">
            <w:pPr>
              <w:spacing w:before="60" w:after="60" w:line="300" w:lineRule="exact"/>
            </w:pPr>
            <w:r w:rsidRPr="00D25D2B">
              <w:rPr>
                <w:rFonts w:hint="cs"/>
                <w:rtl/>
                <w:lang w:val="en-CA"/>
              </w:rPr>
              <w:t>سنتان</w:t>
            </w:r>
          </w:p>
        </w:tc>
      </w:tr>
      <w:tr w:rsidR="00C73A61" w:rsidTr="00584770">
        <w:tc>
          <w:tcPr>
            <w:tcW w:w="1695" w:type="dxa"/>
          </w:tcPr>
          <w:p w:rsidR="00C73A61" w:rsidRPr="00144B87" w:rsidRDefault="00C73A61" w:rsidP="0067555A">
            <w:pPr>
              <w:spacing w:before="60" w:after="60" w:line="300" w:lineRule="exact"/>
              <w:rPr>
                <w:szCs w:val="24"/>
                <w:lang w:val="en-CA"/>
              </w:rPr>
            </w:pPr>
            <w:r w:rsidRPr="00144B87">
              <w:rPr>
                <w:szCs w:val="24"/>
                <w:lang w:val="en-CA"/>
              </w:rPr>
              <w:t>2012</w:t>
            </w:r>
          </w:p>
        </w:tc>
        <w:tc>
          <w:tcPr>
            <w:tcW w:w="2755" w:type="dxa"/>
          </w:tcPr>
          <w:p w:rsidR="00C73A61" w:rsidRDefault="00C73A61" w:rsidP="0067555A">
            <w:pPr>
              <w:spacing w:before="60" w:after="60" w:line="300" w:lineRule="exact"/>
            </w:pPr>
            <w:r>
              <w:rPr>
                <w:lang w:val="en-CA"/>
              </w:rPr>
              <w:t>7</w:t>
            </w:r>
            <w:r w:rsidRPr="001922FD">
              <w:rPr>
                <w:rFonts w:hint="cs"/>
                <w:rtl/>
                <w:lang w:val="en-CA"/>
              </w:rPr>
              <w:t xml:space="preserve"> سنوات</w:t>
            </w:r>
          </w:p>
        </w:tc>
        <w:tc>
          <w:tcPr>
            <w:tcW w:w="2727" w:type="dxa"/>
          </w:tcPr>
          <w:p w:rsidR="00C73A61" w:rsidRDefault="00C73A61" w:rsidP="0067555A">
            <w:pPr>
              <w:spacing w:before="60" w:after="60" w:line="300" w:lineRule="exact"/>
            </w:pPr>
            <w:r>
              <w:rPr>
                <w:lang w:val="en-CA"/>
              </w:rPr>
              <w:t>0</w:t>
            </w:r>
            <w:r w:rsidRPr="00BC0D61">
              <w:rPr>
                <w:rFonts w:hint="cs"/>
                <w:rtl/>
                <w:lang w:val="en-CA"/>
              </w:rPr>
              <w:t xml:space="preserve"> </w:t>
            </w:r>
          </w:p>
        </w:tc>
        <w:tc>
          <w:tcPr>
            <w:tcW w:w="2170" w:type="dxa"/>
          </w:tcPr>
          <w:p w:rsidR="00C73A61" w:rsidRPr="00144B87" w:rsidRDefault="00C73A61" w:rsidP="0067555A">
            <w:pPr>
              <w:pStyle w:val="TabletextS5"/>
              <w:spacing w:before="60" w:after="60"/>
              <w:rPr>
                <w:lang w:val="en-CA"/>
              </w:rPr>
            </w:pPr>
            <w:r w:rsidRPr="00BC0D61">
              <w:rPr>
                <w:lang w:val="en-CA"/>
              </w:rPr>
              <w:t>3</w:t>
            </w:r>
            <w:r w:rsidRPr="00BC0D61">
              <w:rPr>
                <w:rFonts w:hint="cs"/>
                <w:rtl/>
                <w:lang w:val="en-CA"/>
              </w:rPr>
              <w:t xml:space="preserve"> سنوات</w:t>
            </w:r>
          </w:p>
        </w:tc>
      </w:tr>
    </w:tbl>
    <w:p w:rsidR="00592E08" w:rsidRDefault="00C73A61" w:rsidP="0067555A">
      <w:pPr>
        <w:spacing w:before="360"/>
        <w:rPr>
          <w:rtl/>
          <w:lang w:bidi="ar-EG"/>
        </w:rPr>
      </w:pPr>
      <w:r>
        <w:rPr>
          <w:rFonts w:hint="cs"/>
          <w:rtl/>
        </w:rPr>
        <w:t xml:space="preserve">كما هو مبيّن في الجدول، قبل المؤتمر </w:t>
      </w:r>
      <w:r w:rsidR="00E3738F">
        <w:t>WRC-97</w:t>
      </w:r>
      <w:r w:rsidR="00E3738F">
        <w:rPr>
          <w:rFonts w:hint="cs"/>
          <w:rtl/>
          <w:lang w:bidi="ar-EG"/>
        </w:rPr>
        <w:t xml:space="preserve">، </w:t>
      </w:r>
      <w:r w:rsidR="00FE5765">
        <w:rPr>
          <w:rFonts w:hint="cs"/>
          <w:rtl/>
          <w:lang w:bidi="ar-EG"/>
        </w:rPr>
        <w:t xml:space="preserve">كان </w:t>
      </w:r>
      <w:r w:rsidR="002C6254">
        <w:rPr>
          <w:rFonts w:hint="cs"/>
          <w:rtl/>
          <w:lang w:bidi="ar-EG"/>
        </w:rPr>
        <w:t>لدى إحدى</w:t>
      </w:r>
      <w:r w:rsidR="00FE5765">
        <w:rPr>
          <w:rFonts w:hint="cs"/>
          <w:rtl/>
          <w:lang w:bidi="ar-EG"/>
        </w:rPr>
        <w:t xml:space="preserve"> الإدارات </w:t>
      </w:r>
      <w:r w:rsidR="00FE5765">
        <w:rPr>
          <w:lang w:bidi="ar-EG"/>
        </w:rPr>
        <w:t>6</w:t>
      </w:r>
      <w:r w:rsidR="00FE5765">
        <w:rPr>
          <w:rFonts w:hint="cs"/>
          <w:rtl/>
          <w:lang w:bidi="ar-EG"/>
        </w:rPr>
        <w:t xml:space="preserve"> سنوات لوضع تخصيصاتها في الخدمة مع إمكانية تمديد تبلغ ثلاث سنوات. وفي المؤتمر </w:t>
      </w:r>
      <w:r w:rsidR="00FE5765">
        <w:rPr>
          <w:lang w:bidi="ar-EG"/>
        </w:rPr>
        <w:t>WRC-97</w:t>
      </w:r>
      <w:r w:rsidR="00FE5765">
        <w:rPr>
          <w:rFonts w:hint="cs"/>
          <w:rtl/>
          <w:lang w:bidi="ar-EG"/>
        </w:rPr>
        <w:t xml:space="preserve">، تقرر تخفيض المهلة التنظيمية بسنة واحدة ومدة التمديد بسنة واحدة </w:t>
      </w:r>
      <w:r w:rsidR="00DC1DA0">
        <w:rPr>
          <w:rFonts w:hint="cs"/>
          <w:rtl/>
          <w:lang w:bidi="ar-EG"/>
        </w:rPr>
        <w:t>كذلك</w:t>
      </w:r>
      <w:r w:rsidR="00FE5765">
        <w:rPr>
          <w:rFonts w:hint="cs"/>
          <w:rtl/>
          <w:lang w:bidi="ar-EG"/>
        </w:rPr>
        <w:t xml:space="preserve">. ونتيجة لذلك، أصبحت المهلة التنظيمية تبلغ خمس سنوات، </w:t>
      </w:r>
      <w:r w:rsidR="00D96120">
        <w:rPr>
          <w:rFonts w:hint="cs"/>
          <w:rtl/>
          <w:lang w:bidi="ar-EG"/>
        </w:rPr>
        <w:t>وعند اللزوم</w:t>
      </w:r>
      <w:r w:rsidR="00FE5765">
        <w:rPr>
          <w:rFonts w:hint="cs"/>
          <w:rtl/>
          <w:lang w:bidi="ar-EG"/>
        </w:rPr>
        <w:t>، وفي حالة ظروف مخففة، يمكن للإدارة أن تطلب تمديداً لمدة سنتين.</w:t>
      </w:r>
    </w:p>
    <w:p w:rsidR="00FE5765" w:rsidRPr="00BE4217" w:rsidRDefault="00FE5765" w:rsidP="00BA3A0B">
      <w:pPr>
        <w:rPr>
          <w:rtl/>
          <w:lang w:bidi="ar-EG"/>
        </w:rPr>
      </w:pPr>
      <w:r>
        <w:rPr>
          <w:rFonts w:hint="cs"/>
          <w:rtl/>
          <w:lang w:bidi="ar-EG"/>
        </w:rPr>
        <w:t xml:space="preserve">وقبل المؤتمر </w:t>
      </w:r>
      <w:r>
        <w:rPr>
          <w:lang w:bidi="ar-EG"/>
        </w:rPr>
        <w:t>WRC-03</w:t>
      </w:r>
      <w:r>
        <w:rPr>
          <w:rFonts w:hint="cs"/>
          <w:rtl/>
          <w:lang w:bidi="ar-EG"/>
        </w:rPr>
        <w:t>، كان</w:t>
      </w:r>
      <w:r w:rsidR="00E92331">
        <w:rPr>
          <w:rFonts w:hint="cs"/>
          <w:rtl/>
          <w:lang w:bidi="ar-EG"/>
        </w:rPr>
        <w:t>ت</w:t>
      </w:r>
      <w:r>
        <w:rPr>
          <w:rFonts w:hint="cs"/>
          <w:rtl/>
          <w:lang w:bidi="ar-EG"/>
        </w:rPr>
        <w:t xml:space="preserve"> المهلة التنظيمية لوضع تخصيص تردد في الخدمة لشبكة </w:t>
      </w:r>
      <w:proofErr w:type="spellStart"/>
      <w:r>
        <w:rPr>
          <w:rFonts w:hint="cs"/>
          <w:rtl/>
          <w:lang w:bidi="ar-EG"/>
        </w:rPr>
        <w:t>ساتلية</w:t>
      </w:r>
      <w:proofErr w:type="spellEnd"/>
      <w:r>
        <w:rPr>
          <w:rFonts w:hint="cs"/>
          <w:rtl/>
          <w:lang w:bidi="ar-EG"/>
        </w:rPr>
        <w:t xml:space="preserve"> تبلغ خمس سنوات مع إمكانية التمديد لمدة سنتين في ظل ظروف </w:t>
      </w:r>
      <w:r w:rsidR="00B840CB">
        <w:rPr>
          <w:rFonts w:hint="cs"/>
          <w:rtl/>
          <w:lang w:bidi="ar-EG"/>
        </w:rPr>
        <w:t>معيّنة محددة</w:t>
      </w:r>
      <w:r>
        <w:rPr>
          <w:rFonts w:hint="cs"/>
          <w:rtl/>
          <w:lang w:bidi="ar-EG"/>
        </w:rPr>
        <w:t xml:space="preserve"> في المادة </w:t>
      </w:r>
      <w:r>
        <w:rPr>
          <w:lang w:bidi="ar-EG"/>
        </w:rPr>
        <w:t>11</w:t>
      </w:r>
      <w:r>
        <w:rPr>
          <w:rFonts w:hint="cs"/>
          <w:rtl/>
          <w:lang w:bidi="ar-EG"/>
        </w:rPr>
        <w:t xml:space="preserve"> (نسخة لوائح الراديو لعام </w:t>
      </w:r>
      <w:r>
        <w:rPr>
          <w:lang w:bidi="ar-EG"/>
        </w:rPr>
        <w:t>2011</w:t>
      </w:r>
      <w:r>
        <w:rPr>
          <w:rFonts w:hint="cs"/>
          <w:rtl/>
          <w:lang w:bidi="ar-EG"/>
        </w:rPr>
        <w:t xml:space="preserve">، الأرقام </w:t>
      </w:r>
      <w:r>
        <w:rPr>
          <w:lang w:bidi="ar-EG"/>
        </w:rPr>
        <w:t>44C.11</w:t>
      </w:r>
      <w:r>
        <w:rPr>
          <w:rFonts w:hint="cs"/>
          <w:rtl/>
          <w:lang w:bidi="ar-EG"/>
        </w:rPr>
        <w:t xml:space="preserve"> إلى </w:t>
      </w:r>
      <w:r>
        <w:rPr>
          <w:lang w:bidi="ar-EG"/>
        </w:rPr>
        <w:t>44I.11</w:t>
      </w:r>
      <w:r>
        <w:rPr>
          <w:rFonts w:hint="cs"/>
          <w:rtl/>
          <w:lang w:bidi="ar-EG"/>
        </w:rPr>
        <w:t xml:space="preserve">) </w:t>
      </w:r>
      <w:r w:rsidR="00B840CB">
        <w:rPr>
          <w:color w:val="000000"/>
          <w:rtl/>
        </w:rPr>
        <w:t xml:space="preserve">منها على سبيل </w:t>
      </w:r>
      <w:r w:rsidR="00D4639F">
        <w:rPr>
          <w:rFonts w:hint="cs"/>
          <w:color w:val="000000"/>
          <w:rtl/>
        </w:rPr>
        <w:t>المثال</w:t>
      </w:r>
      <w:r w:rsidR="00B840CB">
        <w:rPr>
          <w:color w:val="000000"/>
          <w:rtl/>
        </w:rPr>
        <w:t xml:space="preserve"> لا الحصر الفشل في الإطلاق</w:t>
      </w:r>
      <w:r w:rsidR="00B840CB">
        <w:rPr>
          <w:rFonts w:hint="cs"/>
          <w:color w:val="000000"/>
          <w:rtl/>
        </w:rPr>
        <w:t xml:space="preserve">. </w:t>
      </w:r>
      <w:r w:rsidR="00BE4217">
        <w:rPr>
          <w:rFonts w:hint="cs"/>
          <w:color w:val="000000"/>
          <w:rtl/>
        </w:rPr>
        <w:t>وأشار مدير مكتب الاتصالات الراديوية في تقرير</w:t>
      </w:r>
      <w:r w:rsidR="00095807">
        <w:rPr>
          <w:rFonts w:hint="cs"/>
          <w:color w:val="000000"/>
          <w:rtl/>
        </w:rPr>
        <w:t>ه</w:t>
      </w:r>
      <w:r w:rsidR="00BE4217">
        <w:rPr>
          <w:rFonts w:hint="cs"/>
          <w:color w:val="000000"/>
          <w:rtl/>
        </w:rPr>
        <w:t xml:space="preserve"> إلى المؤتمر </w:t>
      </w:r>
      <w:r w:rsidR="00BE4217">
        <w:rPr>
          <w:color w:val="000000"/>
        </w:rPr>
        <w:t>WRC-03</w:t>
      </w:r>
      <w:r w:rsidR="00BE4217">
        <w:rPr>
          <w:rFonts w:hint="cs"/>
          <w:color w:val="000000"/>
          <w:rtl/>
          <w:lang w:bidi="ar-EG"/>
        </w:rPr>
        <w:t xml:space="preserve"> إلى أن </w:t>
      </w:r>
      <w:r w:rsidR="00BE4217">
        <w:rPr>
          <w:rFonts w:hint="cs"/>
          <w:rtl/>
          <w:lang w:bidi="ar-EG"/>
        </w:rPr>
        <w:t xml:space="preserve">فحوص طلب تمديد المهلة التنظيمية في ظل الظروف المحددة في الأرقام </w:t>
      </w:r>
      <w:r w:rsidR="00BE4217">
        <w:rPr>
          <w:lang w:bidi="ar-EG"/>
        </w:rPr>
        <w:t>44C.11</w:t>
      </w:r>
      <w:r w:rsidR="00BE4217">
        <w:rPr>
          <w:rFonts w:hint="cs"/>
          <w:rtl/>
          <w:lang w:bidi="ar-EG"/>
        </w:rPr>
        <w:t xml:space="preserve"> إلى </w:t>
      </w:r>
      <w:r w:rsidR="00BE4217">
        <w:rPr>
          <w:lang w:bidi="ar-EG"/>
        </w:rPr>
        <w:t>44I.11</w:t>
      </w:r>
      <w:r w:rsidR="00BE4217">
        <w:rPr>
          <w:rFonts w:hint="cs"/>
          <w:color w:val="000000"/>
          <w:rtl/>
        </w:rPr>
        <w:t xml:space="preserve"> </w:t>
      </w:r>
      <w:r w:rsidR="00BE4217">
        <w:rPr>
          <w:color w:val="000000"/>
          <w:rtl/>
        </w:rPr>
        <w:t xml:space="preserve">تستغرق فترة زمنية طويلة </w:t>
      </w:r>
      <w:r w:rsidR="00BE4217">
        <w:rPr>
          <w:rFonts w:hint="cs"/>
          <w:color w:val="000000"/>
          <w:rtl/>
        </w:rPr>
        <w:t>و</w:t>
      </w:r>
      <w:r w:rsidR="00BE4217">
        <w:rPr>
          <w:color w:val="000000"/>
          <w:rtl/>
        </w:rPr>
        <w:t>تتطلب قدراً كبيراً من الموارد</w:t>
      </w:r>
      <w:r w:rsidR="00BE4217">
        <w:rPr>
          <w:rFonts w:hint="cs"/>
          <w:color w:val="000000"/>
          <w:rtl/>
        </w:rPr>
        <w:t xml:space="preserve"> وتؤدي إلى</w:t>
      </w:r>
      <w:r w:rsidR="00BE4217">
        <w:rPr>
          <w:color w:val="000000"/>
          <w:rtl/>
        </w:rPr>
        <w:t xml:space="preserve"> تمديد شبه تلقائي </w:t>
      </w:r>
      <w:r w:rsidR="00BE4217">
        <w:rPr>
          <w:rFonts w:hint="cs"/>
          <w:color w:val="000000"/>
          <w:rtl/>
        </w:rPr>
        <w:t xml:space="preserve">يصل إلى سبع سنوات. وفي الواقع، </w:t>
      </w:r>
      <w:r w:rsidR="00095807">
        <w:rPr>
          <w:rFonts w:hint="cs"/>
          <w:color w:val="000000"/>
          <w:rtl/>
        </w:rPr>
        <w:t>أُلغي عدد قليل جداً</w:t>
      </w:r>
      <w:r w:rsidR="00BE4217">
        <w:rPr>
          <w:rFonts w:hint="cs"/>
          <w:color w:val="000000"/>
          <w:rtl/>
        </w:rPr>
        <w:t xml:space="preserve"> من تخصيصات التردد لشبكات </w:t>
      </w:r>
      <w:proofErr w:type="spellStart"/>
      <w:r w:rsidR="00BE4217">
        <w:rPr>
          <w:rFonts w:hint="cs"/>
          <w:color w:val="000000"/>
          <w:rtl/>
        </w:rPr>
        <w:t>ساتلية</w:t>
      </w:r>
      <w:proofErr w:type="spellEnd"/>
      <w:r w:rsidR="00BE4217">
        <w:rPr>
          <w:rFonts w:hint="cs"/>
          <w:color w:val="000000"/>
          <w:rtl/>
        </w:rPr>
        <w:t xml:space="preserve"> </w:t>
      </w:r>
      <w:r w:rsidR="00BE4217">
        <w:rPr>
          <w:rFonts w:hint="cs"/>
          <w:rtl/>
          <w:lang w:bidi="ar-EG"/>
        </w:rPr>
        <w:t xml:space="preserve">في نهاية المهلة التنظيمية البالغة خمس سنوات. ومن خلال اعتماد المؤتمر </w:t>
      </w:r>
      <w:r w:rsidR="00BE4217">
        <w:rPr>
          <w:lang w:bidi="ar-EG"/>
        </w:rPr>
        <w:t>WRC-03</w:t>
      </w:r>
      <w:r w:rsidR="00BE4217">
        <w:rPr>
          <w:rFonts w:hint="cs"/>
          <w:rtl/>
          <w:lang w:bidi="ar-EG"/>
        </w:rPr>
        <w:t xml:space="preserve"> للمهلة التنظيمية الوحيدة البالغة سبع سنوات، اتخذ قراراً بإدراج هوامش ضمن المهلة التنظيمية للتعامل مع الحالات المتعلقة بفشل الإطلاق. ومن الناحية النظرية، يتاح للإدارة حتى خمس سنوات لوضع </w:t>
      </w:r>
      <w:proofErr w:type="spellStart"/>
      <w:r w:rsidR="00BE4217">
        <w:rPr>
          <w:rFonts w:hint="cs"/>
          <w:rtl/>
          <w:lang w:bidi="ar-EG"/>
        </w:rPr>
        <w:t>ساتلها</w:t>
      </w:r>
      <w:proofErr w:type="spellEnd"/>
      <w:r w:rsidR="00BE4217">
        <w:rPr>
          <w:rFonts w:hint="cs"/>
          <w:rtl/>
          <w:lang w:bidi="ar-EG"/>
        </w:rPr>
        <w:t xml:space="preserve"> في الخدمة وفي حالات القوة القاه</w:t>
      </w:r>
      <w:r w:rsidR="003F2CAB">
        <w:rPr>
          <w:rFonts w:hint="cs"/>
          <w:rtl/>
          <w:lang w:bidi="ar-EG"/>
        </w:rPr>
        <w:t>رة، يتاح للإدارة مدة تمديد بشكل تلقائي. وللأسف، أظهرت التجربة أن المهلة التنظيمية البالغة سبع سنوات تُستخدم عادة</w:t>
      </w:r>
      <w:r w:rsidR="0067555A">
        <w:rPr>
          <w:rFonts w:hint="cs"/>
          <w:rtl/>
          <w:lang w:bidi="ar-EG"/>
        </w:rPr>
        <w:t>ً</w:t>
      </w:r>
      <w:r w:rsidR="003F2CAB">
        <w:rPr>
          <w:rFonts w:hint="cs"/>
          <w:rtl/>
          <w:lang w:bidi="ar-EG"/>
        </w:rPr>
        <w:t xml:space="preserve"> إلى أقصى درجة لوضع تخصيصات التردد في الخدمة بدون </w:t>
      </w:r>
      <w:r w:rsidR="00014307">
        <w:rPr>
          <w:rFonts w:hint="cs"/>
          <w:rtl/>
          <w:lang w:bidi="ar-EG"/>
        </w:rPr>
        <w:t>أي اعتبار للحاجة</w:t>
      </w:r>
      <w:r w:rsidR="003F2CAB">
        <w:rPr>
          <w:rFonts w:hint="cs"/>
          <w:rtl/>
          <w:lang w:bidi="ar-EG"/>
        </w:rPr>
        <w:t xml:space="preserve"> إلى إدارة مخاطر مرتبطة بفشل الإطلاق</w:t>
      </w:r>
      <w:r w:rsidR="00014307">
        <w:rPr>
          <w:rFonts w:hint="cs"/>
          <w:rtl/>
          <w:lang w:bidi="ar-EG"/>
        </w:rPr>
        <w:t xml:space="preserve"> أو</w:t>
      </w:r>
      <w:r w:rsidR="003F2CAB">
        <w:rPr>
          <w:rFonts w:hint="cs"/>
          <w:rtl/>
          <w:lang w:bidi="ar-EG"/>
        </w:rPr>
        <w:t xml:space="preserve"> أي </w:t>
      </w:r>
      <w:r w:rsidR="00014307">
        <w:rPr>
          <w:rFonts w:hint="cs"/>
          <w:rtl/>
          <w:lang w:bidi="ar-EG"/>
        </w:rPr>
        <w:t xml:space="preserve">حالات </w:t>
      </w:r>
      <w:r w:rsidR="003F2CAB">
        <w:rPr>
          <w:rFonts w:hint="cs"/>
          <w:rtl/>
          <w:lang w:bidi="ar-EG"/>
        </w:rPr>
        <w:t>تأخير أخرى غير متوقعة.</w:t>
      </w:r>
      <w:r w:rsidR="00014307">
        <w:rPr>
          <w:rFonts w:hint="cs"/>
          <w:rtl/>
          <w:lang w:bidi="ar-EG"/>
        </w:rPr>
        <w:t xml:space="preserve"> ومن المفيد ملاحظة أن بعض الإدارات لديها قواعد وطنية تقتضي أن يقوم مشغلو </w:t>
      </w:r>
      <w:proofErr w:type="spellStart"/>
      <w:r w:rsidR="00014307">
        <w:rPr>
          <w:rFonts w:hint="cs"/>
          <w:rtl/>
          <w:lang w:bidi="ar-EG"/>
        </w:rPr>
        <w:t>السواتل</w:t>
      </w:r>
      <w:proofErr w:type="spellEnd"/>
      <w:r w:rsidR="00014307">
        <w:rPr>
          <w:rFonts w:hint="cs"/>
          <w:rtl/>
          <w:lang w:bidi="ar-EG"/>
        </w:rPr>
        <w:t xml:space="preserve"> بإطلاق </w:t>
      </w:r>
      <w:proofErr w:type="spellStart"/>
      <w:r w:rsidR="00014307">
        <w:rPr>
          <w:rFonts w:hint="cs"/>
          <w:rtl/>
          <w:lang w:bidi="ar-EG"/>
        </w:rPr>
        <w:t>السواتل</w:t>
      </w:r>
      <w:proofErr w:type="spellEnd"/>
      <w:r w:rsidR="00014307">
        <w:rPr>
          <w:rFonts w:hint="cs"/>
          <w:rtl/>
          <w:lang w:bidi="ar-EG"/>
        </w:rPr>
        <w:t xml:space="preserve"> الخاصة بهم في غضون خمس سنوات للاحتفاظ برخصهم. </w:t>
      </w:r>
      <w:r w:rsidR="00CE5E03">
        <w:rPr>
          <w:rFonts w:hint="cs"/>
          <w:rtl/>
          <w:lang w:bidi="ar-EG"/>
        </w:rPr>
        <w:t xml:space="preserve">والمهلة التنظيمية البالغة سبع سنوات كافية ويتعين على المشغلين تخطيط الوضع في الخدمة ضمن هذه المهلة الزمنية مع مراعاة المخاطر. وهناك أساليب للتخفيف من المخاطر المرتبطة بفشل الإطلاق المحتمل كحجز سنتين من المهلة التنظيمية البالغة سبع سنوات </w:t>
      </w:r>
      <w:r w:rsidR="00D00556">
        <w:rPr>
          <w:rFonts w:hint="cs"/>
          <w:rtl/>
          <w:lang w:bidi="ar-EG"/>
        </w:rPr>
        <w:t>أو حيازة مركبة فضائية احتياطية في المدار قبل الإطلاق.</w:t>
      </w:r>
      <w:r w:rsidR="00BA3A0B">
        <w:rPr>
          <w:rFonts w:hint="cs"/>
          <w:rtl/>
          <w:lang w:bidi="ar-EG"/>
        </w:rPr>
        <w:t xml:space="preserve"> </w:t>
      </w:r>
      <w:r w:rsidR="00D00556">
        <w:rPr>
          <w:rFonts w:hint="cs"/>
          <w:rtl/>
          <w:lang w:bidi="ar-EG"/>
        </w:rPr>
        <w:t>وعلاوة</w:t>
      </w:r>
      <w:r w:rsidR="0067555A">
        <w:rPr>
          <w:rFonts w:hint="cs"/>
          <w:rtl/>
          <w:lang w:bidi="ar-EG"/>
        </w:rPr>
        <w:t>ً</w:t>
      </w:r>
      <w:r w:rsidR="00BA3A0B">
        <w:rPr>
          <w:rFonts w:hint="eastAsia"/>
          <w:rtl/>
          <w:lang w:bidi="ar-EG"/>
        </w:rPr>
        <w:t> </w:t>
      </w:r>
      <w:r w:rsidR="00D00556">
        <w:rPr>
          <w:rFonts w:hint="cs"/>
          <w:rtl/>
          <w:lang w:bidi="ar-EG"/>
        </w:rPr>
        <w:t xml:space="preserve">على ذلك، هناك خيارات للإدارات التي تواجه ظروفاً استثنائية </w:t>
      </w:r>
      <w:r w:rsidR="00C50655">
        <w:rPr>
          <w:rFonts w:hint="cs"/>
          <w:rtl/>
          <w:lang w:bidi="ar-EG"/>
        </w:rPr>
        <w:t xml:space="preserve">تشمل اللجوء إلى مؤتمر لطلب تمديد المهلة التنظيمية من أجل وضع تخصيصات التردد لشبكاتها الساتلية </w:t>
      </w:r>
      <w:r w:rsidR="000652FA">
        <w:rPr>
          <w:rFonts w:hint="cs"/>
          <w:rtl/>
          <w:lang w:bidi="ar-EG"/>
        </w:rPr>
        <w:t>في الخدمة.</w:t>
      </w:r>
    </w:p>
    <w:p w:rsidR="00592E08" w:rsidRDefault="0011693D" w:rsidP="004678E2">
      <w:pPr>
        <w:rPr>
          <w:rtl/>
          <w:lang w:bidi="ar-EG"/>
        </w:rPr>
      </w:pPr>
      <w:r>
        <w:rPr>
          <w:rFonts w:hint="cs"/>
          <w:rtl/>
          <w:lang w:bidi="ar-EG"/>
        </w:rPr>
        <w:t xml:space="preserve">ومن المهم ملاحظة أن فشل الإطلاق لا يقتصر على الحالات التي تشمل تدمير </w:t>
      </w:r>
      <w:proofErr w:type="spellStart"/>
      <w:r>
        <w:rPr>
          <w:rFonts w:hint="cs"/>
          <w:rtl/>
          <w:lang w:bidi="ar-EG"/>
        </w:rPr>
        <w:t>الساتل</w:t>
      </w:r>
      <w:proofErr w:type="spellEnd"/>
      <w:r>
        <w:rPr>
          <w:rFonts w:hint="cs"/>
          <w:rtl/>
          <w:lang w:bidi="ar-EG"/>
        </w:rPr>
        <w:t xml:space="preserve"> </w:t>
      </w:r>
      <w:r w:rsidR="004678E2">
        <w:rPr>
          <w:rFonts w:hint="cs"/>
          <w:rtl/>
          <w:lang w:bidi="ar-EG"/>
        </w:rPr>
        <w:t>بل وتشمل</w:t>
      </w:r>
      <w:r>
        <w:rPr>
          <w:rFonts w:hint="cs"/>
          <w:rtl/>
          <w:lang w:bidi="ar-EG"/>
        </w:rPr>
        <w:t xml:space="preserve"> أيضاً الحالات التي يتعذر فيها على </w:t>
      </w:r>
      <w:proofErr w:type="spellStart"/>
      <w:r>
        <w:rPr>
          <w:rFonts w:hint="cs"/>
          <w:rtl/>
          <w:lang w:bidi="ar-EG"/>
        </w:rPr>
        <w:t>الساتل</w:t>
      </w:r>
      <w:proofErr w:type="spellEnd"/>
      <w:r>
        <w:rPr>
          <w:rFonts w:hint="cs"/>
          <w:rtl/>
          <w:lang w:bidi="ar-EG"/>
        </w:rPr>
        <w:t xml:space="preserve"> الوصول إلى موقعه المداري أو يكون غير قادر على نشر الهوائي الخاص به أو ألواحه الشمسية على نحو تام. </w:t>
      </w:r>
      <w:r w:rsidR="00B660D0">
        <w:rPr>
          <w:rFonts w:hint="cs"/>
          <w:rtl/>
          <w:lang w:bidi="ar-EG"/>
        </w:rPr>
        <w:t xml:space="preserve">ومن المهم أيضاً ملاحظة أن فشل الإطلاق الذي ينتج عنه تدمير </w:t>
      </w:r>
      <w:proofErr w:type="spellStart"/>
      <w:r w:rsidR="00B660D0">
        <w:rPr>
          <w:rFonts w:hint="cs"/>
          <w:rtl/>
          <w:lang w:bidi="ar-EG"/>
        </w:rPr>
        <w:t>الساتل</w:t>
      </w:r>
      <w:proofErr w:type="spellEnd"/>
      <w:r w:rsidR="00B660D0">
        <w:rPr>
          <w:rFonts w:hint="cs"/>
          <w:rtl/>
          <w:lang w:bidi="ar-EG"/>
        </w:rPr>
        <w:t xml:space="preserve"> يمكن أن </w:t>
      </w:r>
      <w:r w:rsidR="00787D9C">
        <w:rPr>
          <w:rFonts w:hint="cs"/>
          <w:rtl/>
          <w:lang w:bidi="ar-EG"/>
        </w:rPr>
        <w:t>يؤثر</w:t>
      </w:r>
      <w:r w:rsidR="00B660D0">
        <w:rPr>
          <w:rFonts w:hint="cs"/>
          <w:rtl/>
          <w:lang w:bidi="ar-EG"/>
        </w:rPr>
        <w:t xml:space="preserve"> على الجدول الزمني لإطلاق </w:t>
      </w:r>
      <w:proofErr w:type="spellStart"/>
      <w:r w:rsidR="00B660D0">
        <w:rPr>
          <w:rFonts w:hint="cs"/>
          <w:rtl/>
          <w:lang w:bidi="ar-EG"/>
        </w:rPr>
        <w:t>سواتل</w:t>
      </w:r>
      <w:proofErr w:type="spellEnd"/>
      <w:r w:rsidR="00B660D0">
        <w:rPr>
          <w:rFonts w:hint="cs"/>
          <w:rtl/>
          <w:lang w:bidi="ar-EG"/>
        </w:rPr>
        <w:t xml:space="preserve"> أخرى تستخدم نفس نوع مركبة الإطلاق </w:t>
      </w:r>
      <w:r w:rsidR="00787D9C">
        <w:rPr>
          <w:rFonts w:hint="cs"/>
          <w:rtl/>
          <w:lang w:bidi="ar-EG"/>
        </w:rPr>
        <w:t>كتلك المستخدمة في حالة فشل الإطلاق. ومن الصعب ل</w:t>
      </w:r>
      <w:r w:rsidR="0067555A">
        <w:rPr>
          <w:rFonts w:hint="cs"/>
          <w:rtl/>
          <w:lang w:bidi="ar-EG"/>
        </w:rPr>
        <w:t xml:space="preserve">لغاية بصورة عامة، أن تغطي </w:t>
      </w:r>
      <w:r w:rsidR="0067555A">
        <w:rPr>
          <w:rFonts w:hint="cs"/>
          <w:rtl/>
          <w:lang w:bidi="ar-EG"/>
        </w:rPr>
        <w:lastRenderedPageBreak/>
        <w:t>لوائح</w:t>
      </w:r>
      <w:r w:rsidR="00787D9C">
        <w:rPr>
          <w:rFonts w:hint="cs"/>
          <w:rtl/>
          <w:lang w:bidi="ar-EG"/>
        </w:rPr>
        <w:t xml:space="preserve"> الراديو جميع الحالات التي يكون فيها منح تمديد المهلة التنظيمية لوضع تخصيصات تردد لشبكة </w:t>
      </w:r>
      <w:proofErr w:type="spellStart"/>
      <w:r w:rsidR="00787D9C">
        <w:rPr>
          <w:rFonts w:hint="cs"/>
          <w:rtl/>
          <w:lang w:bidi="ar-EG"/>
        </w:rPr>
        <w:t>ساتلية</w:t>
      </w:r>
      <w:proofErr w:type="spellEnd"/>
      <w:r w:rsidR="00787D9C">
        <w:rPr>
          <w:rFonts w:hint="cs"/>
          <w:rtl/>
          <w:lang w:bidi="ar-EG"/>
        </w:rPr>
        <w:t xml:space="preserve"> في الخدمة مشروعاً وفي جميع الأحوال، ليس الغرض من لوائح الراديو معالجة جميع الحالات الاستثنائية. ولذلك قرر المؤتمر </w:t>
      </w:r>
      <w:r w:rsidR="00787D9C">
        <w:rPr>
          <w:lang w:bidi="ar-EG"/>
        </w:rPr>
        <w:t>WRC-03</w:t>
      </w:r>
      <w:r w:rsidR="00787D9C">
        <w:rPr>
          <w:rFonts w:hint="cs"/>
          <w:rtl/>
          <w:lang w:bidi="ar-EG"/>
        </w:rPr>
        <w:t xml:space="preserve"> إدراج تمديد لمدة سنتين في المهلة التنظيمية.</w:t>
      </w:r>
    </w:p>
    <w:p w:rsidR="00592E08" w:rsidRPr="00AD3996" w:rsidRDefault="00BF7E96" w:rsidP="0067555A">
      <w:pPr>
        <w:rPr>
          <w:rtl/>
          <w:lang w:bidi="ar-EG"/>
        </w:rPr>
      </w:pPr>
      <w:r>
        <w:rPr>
          <w:rFonts w:hint="cs"/>
          <w:rtl/>
        </w:rPr>
        <w:t xml:space="preserve">اعتمد المؤتمر </w:t>
      </w:r>
      <w:r>
        <w:t>WRC-03</w:t>
      </w:r>
      <w:r>
        <w:rPr>
          <w:rFonts w:hint="cs"/>
          <w:rtl/>
          <w:lang w:bidi="ar-EG"/>
        </w:rPr>
        <w:t xml:space="preserve"> مهلة تنظيمية وحيدة تبلغ سبع سنوات بافتراض أن إطلاق </w:t>
      </w:r>
      <w:proofErr w:type="spellStart"/>
      <w:r>
        <w:rPr>
          <w:rFonts w:hint="cs"/>
          <w:rtl/>
          <w:lang w:bidi="ar-EG"/>
        </w:rPr>
        <w:t>الساتل</w:t>
      </w:r>
      <w:proofErr w:type="spellEnd"/>
      <w:r>
        <w:rPr>
          <w:rFonts w:hint="cs"/>
          <w:rtl/>
          <w:lang w:bidi="ar-EG"/>
        </w:rPr>
        <w:t xml:space="preserve"> يتم قبل نهاية </w:t>
      </w:r>
      <w:r w:rsidR="00FA13D4">
        <w:rPr>
          <w:rFonts w:hint="cs"/>
          <w:rtl/>
          <w:lang w:bidi="ar-EG"/>
        </w:rPr>
        <w:t xml:space="preserve">السنة الخامسة </w:t>
      </w:r>
      <w:r w:rsidR="0034495A">
        <w:rPr>
          <w:rFonts w:hint="cs"/>
          <w:rtl/>
          <w:lang w:bidi="ar-EG"/>
        </w:rPr>
        <w:t>بحيث تظل</w:t>
      </w:r>
      <w:r w:rsidR="00AD3996">
        <w:rPr>
          <w:rFonts w:hint="cs"/>
          <w:rtl/>
          <w:lang w:bidi="ar-EG"/>
        </w:rPr>
        <w:t xml:space="preserve"> فترة</w:t>
      </w:r>
      <w:r w:rsidR="00FA13D4">
        <w:rPr>
          <w:rFonts w:hint="cs"/>
          <w:rtl/>
          <w:lang w:bidi="ar-EG"/>
        </w:rPr>
        <w:t xml:space="preserve"> سنتين لمحاولة أخرى للوضع في الخدمة في حالة فشل الإطلاق.</w:t>
      </w:r>
      <w:r w:rsidR="00AD3996">
        <w:rPr>
          <w:rFonts w:hint="cs"/>
          <w:rtl/>
          <w:lang w:bidi="ar-EG"/>
        </w:rPr>
        <w:t xml:space="preserve"> وفي الوقت نفسه واستجابة لبعض الأحداث المحددة، اعتمد المؤتمر </w:t>
      </w:r>
      <w:r w:rsidR="00AD3996">
        <w:t>WRC-03</w:t>
      </w:r>
      <w:r w:rsidR="00AD3996">
        <w:rPr>
          <w:rFonts w:hint="cs"/>
          <w:rtl/>
          <w:lang w:bidi="ar-EG"/>
        </w:rPr>
        <w:t xml:space="preserve"> أحكاماً تنظيمية جديدة بشأن تخصيصات التردد لشبكة </w:t>
      </w:r>
      <w:proofErr w:type="spellStart"/>
      <w:r w:rsidR="00AD3996">
        <w:rPr>
          <w:rFonts w:hint="cs"/>
          <w:rtl/>
          <w:lang w:bidi="ar-EG"/>
        </w:rPr>
        <w:t>ساتلية</w:t>
      </w:r>
      <w:proofErr w:type="spellEnd"/>
      <w:r w:rsidR="00AD3996">
        <w:rPr>
          <w:rFonts w:hint="cs"/>
          <w:rtl/>
          <w:lang w:bidi="ar-EG"/>
        </w:rPr>
        <w:t xml:space="preserve"> في النطاقات المخططة (التذييلان </w:t>
      </w:r>
      <w:r w:rsidR="00AD3996">
        <w:rPr>
          <w:lang w:bidi="ar-EG"/>
        </w:rPr>
        <w:t>30</w:t>
      </w:r>
      <w:r w:rsidR="00AD3996">
        <w:rPr>
          <w:rFonts w:hint="cs"/>
          <w:rtl/>
          <w:lang w:bidi="ar-EG"/>
        </w:rPr>
        <w:t xml:space="preserve"> و</w:t>
      </w:r>
      <w:r w:rsidR="00AD3996">
        <w:rPr>
          <w:lang w:bidi="ar-EG"/>
        </w:rPr>
        <w:t>30A</w:t>
      </w:r>
      <w:r w:rsidR="00AD3996">
        <w:rPr>
          <w:rFonts w:hint="cs"/>
          <w:rtl/>
          <w:lang w:bidi="ar-EG"/>
        </w:rPr>
        <w:t>)</w:t>
      </w:r>
      <w:r w:rsidR="00AD3996">
        <w:rPr>
          <w:rStyle w:val="FootnoteReference"/>
          <w:rtl/>
          <w:lang w:bidi="ar-EG"/>
        </w:rPr>
        <w:footnoteReference w:id="1"/>
      </w:r>
      <w:r w:rsidR="00FC6EAA">
        <w:rPr>
          <w:rFonts w:hint="cs"/>
          <w:rtl/>
          <w:lang w:bidi="ar-EG"/>
        </w:rPr>
        <w:t xml:space="preserve"> لمعالجة حالات فشل إطلاق </w:t>
      </w:r>
      <w:proofErr w:type="spellStart"/>
      <w:r w:rsidR="00FC6EAA">
        <w:rPr>
          <w:rFonts w:hint="cs"/>
          <w:rtl/>
          <w:lang w:bidi="ar-EG"/>
        </w:rPr>
        <w:t>الساتل</w:t>
      </w:r>
      <w:proofErr w:type="spellEnd"/>
      <w:r w:rsidR="00FC6EAA">
        <w:rPr>
          <w:rFonts w:hint="cs"/>
          <w:rtl/>
          <w:lang w:bidi="ar-EG"/>
        </w:rPr>
        <w:t xml:space="preserve"> التي تحدث بعد السنة الخامسة من المهلة التنظيمية البالغة ثماني سنوات. وفي ظل هذه الأحكام الجديدة، يمكن منح فترة تمديد قصوى تبلغ ثلاث سنوات في الحالات التي تشمل تدمير </w:t>
      </w:r>
      <w:proofErr w:type="spellStart"/>
      <w:r w:rsidR="00FC6EAA">
        <w:rPr>
          <w:rFonts w:hint="cs"/>
          <w:rtl/>
          <w:lang w:bidi="ar-EG"/>
        </w:rPr>
        <w:t>الساتل</w:t>
      </w:r>
      <w:proofErr w:type="spellEnd"/>
      <w:r w:rsidR="00FC6EAA">
        <w:rPr>
          <w:rFonts w:hint="cs"/>
          <w:rtl/>
          <w:lang w:bidi="ar-EG"/>
        </w:rPr>
        <w:t xml:space="preserve"> أثناء إطلاقه أو</w:t>
      </w:r>
      <w:r w:rsidR="0067555A">
        <w:rPr>
          <w:rFonts w:hint="eastAsia"/>
          <w:rtl/>
          <w:lang w:bidi="ar-EG"/>
        </w:rPr>
        <w:t> </w:t>
      </w:r>
      <w:r w:rsidR="00FA4CC2">
        <w:rPr>
          <w:rFonts w:hint="cs"/>
          <w:rtl/>
          <w:lang w:bidi="ar-EG"/>
        </w:rPr>
        <w:t>الفشل</w:t>
      </w:r>
      <w:r w:rsidR="00FC6EAA">
        <w:rPr>
          <w:rFonts w:hint="cs"/>
          <w:rtl/>
          <w:lang w:bidi="ar-EG"/>
        </w:rPr>
        <w:t xml:space="preserve"> في الوصول إلى </w:t>
      </w:r>
      <w:r w:rsidR="00FA4CC2">
        <w:rPr>
          <w:rFonts w:hint="cs"/>
          <w:rtl/>
          <w:lang w:bidi="ar-EG"/>
        </w:rPr>
        <w:t>ال</w:t>
      </w:r>
      <w:r w:rsidR="00FC6EAA">
        <w:rPr>
          <w:rFonts w:hint="cs"/>
          <w:rtl/>
          <w:lang w:bidi="ar-EG"/>
        </w:rPr>
        <w:t>موقع المداري المخصص له.</w:t>
      </w:r>
    </w:p>
    <w:p w:rsidR="00592E08" w:rsidRPr="003F3E2A" w:rsidRDefault="003F3E2A" w:rsidP="0067555A">
      <w:pPr>
        <w:rPr>
          <w:rtl/>
          <w:lang w:bidi="ar-EG"/>
        </w:rPr>
      </w:pPr>
      <w:r>
        <w:rPr>
          <w:rFonts w:hint="cs"/>
          <w:rtl/>
        </w:rPr>
        <w:t xml:space="preserve">وتأييداً لحكم جديد في المادة </w:t>
      </w:r>
      <w:r>
        <w:rPr>
          <w:lang w:bidi="ar-EG"/>
        </w:rPr>
        <w:t>11</w:t>
      </w:r>
      <w:r>
        <w:rPr>
          <w:rFonts w:hint="cs"/>
          <w:rtl/>
          <w:lang w:bidi="ar-EG"/>
        </w:rPr>
        <w:t xml:space="preserve"> من أجل تمديد المهلة التنظيمية في حالة فشل الإطلاق، أثار بعض المؤيدي</w:t>
      </w:r>
      <w:r>
        <w:rPr>
          <w:rFonts w:hint="eastAsia"/>
          <w:rtl/>
          <w:lang w:bidi="ar-EG"/>
        </w:rPr>
        <w:t>ن</w:t>
      </w:r>
      <w:r w:rsidR="00090D5B">
        <w:rPr>
          <w:rFonts w:hint="cs"/>
          <w:rtl/>
          <w:lang w:bidi="ar-EG"/>
        </w:rPr>
        <w:t xml:space="preserve"> الحاجة إلى تنسيق الأحكام التنظيمية في كل من النطاقات المخططة وغير المخططة. وعلى الرغم من أن تنسيق أحكام لوائح الراديو قد</w:t>
      </w:r>
      <w:r w:rsidR="00495379">
        <w:rPr>
          <w:rFonts w:hint="cs"/>
          <w:rtl/>
          <w:lang w:bidi="ar-EG"/>
        </w:rPr>
        <w:t xml:space="preserve"> يبدو مرغوباً، </w:t>
      </w:r>
      <w:r w:rsidR="00090D5B">
        <w:rPr>
          <w:rFonts w:hint="cs"/>
          <w:rtl/>
          <w:lang w:bidi="ar-EG"/>
        </w:rPr>
        <w:t xml:space="preserve">ينبغي أن يراعي الاختلاف بين المبادئ التي تؤدي إلى وضع النهج القائم على مبدأ الأولوية بالأسبقية المطبق على النطاقات غير المخططة </w:t>
      </w:r>
      <w:r w:rsidR="003C092B">
        <w:rPr>
          <w:rFonts w:hint="cs"/>
          <w:rtl/>
          <w:lang w:bidi="ar-EG"/>
        </w:rPr>
        <w:t>مقابل النهج القائم على النفاذ المنصف المستعمل في النطاقات المخططة. وعلاوة</w:t>
      </w:r>
      <w:r w:rsidR="0067555A">
        <w:rPr>
          <w:rFonts w:hint="cs"/>
          <w:rtl/>
          <w:lang w:bidi="ar-EG"/>
        </w:rPr>
        <w:t>ً</w:t>
      </w:r>
      <w:r w:rsidR="003C092B">
        <w:rPr>
          <w:rFonts w:hint="cs"/>
          <w:rtl/>
          <w:lang w:bidi="ar-EG"/>
        </w:rPr>
        <w:t xml:space="preserve"> على ذلك، </w:t>
      </w:r>
      <w:r w:rsidR="00AA7B0D">
        <w:rPr>
          <w:rFonts w:hint="cs"/>
          <w:rtl/>
          <w:lang w:bidi="ar-EG"/>
        </w:rPr>
        <w:t>تشجع</w:t>
      </w:r>
      <w:r w:rsidR="00130F95">
        <w:rPr>
          <w:rFonts w:hint="cs"/>
          <w:rtl/>
          <w:lang w:bidi="ar-EG"/>
        </w:rPr>
        <w:t xml:space="preserve"> الخطط الواردة في لوائح الراديو </w:t>
      </w:r>
      <w:r w:rsidR="00AA7B0D">
        <w:rPr>
          <w:rFonts w:hint="cs"/>
          <w:rtl/>
          <w:lang w:bidi="ar-EG"/>
        </w:rPr>
        <w:t xml:space="preserve">النفاذ المنصف </w:t>
      </w:r>
      <w:r w:rsidR="00922723">
        <w:rPr>
          <w:rFonts w:hint="cs"/>
          <w:rtl/>
          <w:lang w:bidi="ar-EG"/>
        </w:rPr>
        <w:t xml:space="preserve">ومن ثم، ينبغي أن </w:t>
      </w:r>
      <w:r w:rsidR="002075CB">
        <w:rPr>
          <w:rFonts w:hint="cs"/>
          <w:rtl/>
          <w:lang w:bidi="ar-EG"/>
        </w:rPr>
        <w:t>تتسم</w:t>
      </w:r>
      <w:r w:rsidR="00922723">
        <w:rPr>
          <w:rFonts w:hint="cs"/>
          <w:rtl/>
          <w:lang w:bidi="ar-EG"/>
        </w:rPr>
        <w:t xml:space="preserve"> القواعد </w:t>
      </w:r>
      <w:r w:rsidR="002075CB">
        <w:rPr>
          <w:rFonts w:hint="cs"/>
          <w:rtl/>
          <w:lang w:bidi="ar-EG"/>
        </w:rPr>
        <w:t>بالمرونة</w:t>
      </w:r>
      <w:r w:rsidR="00922723">
        <w:rPr>
          <w:rFonts w:hint="cs"/>
          <w:rtl/>
          <w:lang w:bidi="ar-EG"/>
        </w:rPr>
        <w:t xml:space="preserve"> للسماح بتحقيق هذه الأهداف. ولا</w:t>
      </w:r>
      <w:r w:rsidR="0067555A">
        <w:rPr>
          <w:rFonts w:hint="eastAsia"/>
          <w:rtl/>
          <w:lang w:bidi="ar-EG"/>
        </w:rPr>
        <w:t> </w:t>
      </w:r>
      <w:r w:rsidR="00922723">
        <w:rPr>
          <w:rFonts w:hint="cs"/>
          <w:rtl/>
          <w:lang w:bidi="ar-EG"/>
        </w:rPr>
        <w:t xml:space="preserve">يمكن تحقيق ذلك في حالة النطاقات غير المخططة حيث الغرض هو استخدام الترددات الراديوية والمدار المستقر بالنسبة إلى الأرض </w:t>
      </w:r>
      <w:r w:rsidR="00E97804">
        <w:rPr>
          <w:rFonts w:hint="cs"/>
          <w:rtl/>
          <w:lang w:bidi="ar-EG"/>
        </w:rPr>
        <w:t>بأقصى قدر ممكن من الكفاءة والفعالية</w:t>
      </w:r>
      <w:r w:rsidR="00922723">
        <w:rPr>
          <w:rFonts w:hint="cs"/>
          <w:rtl/>
          <w:lang w:bidi="ar-EG"/>
        </w:rPr>
        <w:t>.</w:t>
      </w:r>
    </w:p>
    <w:p w:rsidR="002919E1" w:rsidRPr="00170810" w:rsidRDefault="00395836" w:rsidP="0067555A">
      <w:pPr>
        <w:pStyle w:val="Headingb"/>
        <w:rPr>
          <w:noProof/>
          <w:rtl/>
        </w:rPr>
      </w:pPr>
      <w:r w:rsidRPr="00170810">
        <w:rPr>
          <w:rFonts w:hint="cs"/>
          <w:noProof/>
          <w:rtl/>
        </w:rPr>
        <w:t>المقترح</w:t>
      </w:r>
    </w:p>
    <w:p w:rsidR="00D04920" w:rsidRDefault="00006FB4">
      <w:pPr>
        <w:pStyle w:val="Proposal"/>
      </w:pPr>
      <w:r>
        <w:rPr>
          <w:u w:val="single"/>
        </w:rPr>
        <w:t>NOC</w:t>
      </w:r>
      <w:r>
        <w:tab/>
        <w:t>CAN/EQA/54/1</w:t>
      </w:r>
    </w:p>
    <w:p w:rsidR="009F37C9" w:rsidRPr="00620278" w:rsidRDefault="00006FB4" w:rsidP="00D02A9E">
      <w:pPr>
        <w:pStyle w:val="ArtNo"/>
        <w:rPr>
          <w:rtl/>
        </w:rPr>
      </w:pPr>
      <w:r w:rsidRPr="00620278">
        <w:rPr>
          <w:rtl/>
        </w:rPr>
        <w:t xml:space="preserve">المـادة </w:t>
      </w:r>
      <w:r w:rsidRPr="00476D6B">
        <w:rPr>
          <w:rStyle w:val="href"/>
        </w:rPr>
        <w:t>11</w:t>
      </w:r>
    </w:p>
    <w:p w:rsidR="009F37C9" w:rsidRPr="00620278" w:rsidRDefault="00006FB4" w:rsidP="00D02A9E">
      <w:pPr>
        <w:pStyle w:val="Arttitle"/>
        <w:rPr>
          <w:rtl/>
          <w:lang w:bidi="ar-SY"/>
        </w:rPr>
      </w:pPr>
      <w:bookmarkStart w:id="1" w:name="_Toc331055745"/>
      <w:r w:rsidRPr="00620278">
        <w:rPr>
          <w:rtl/>
        </w:rPr>
        <w:t>التبليغ عن تخصيصات التردد وتسجيلها</w:t>
      </w:r>
      <w:r w:rsidRPr="00831A03">
        <w:rPr>
          <w:rStyle w:val="FootnoteReference"/>
          <w:b w:val="0"/>
          <w:rtl/>
        </w:rPr>
        <w:t>1</w:t>
      </w:r>
      <w:r w:rsidRPr="00831A03">
        <w:rPr>
          <w:rFonts w:hint="cs"/>
          <w:b w:val="0"/>
          <w:position w:val="-4"/>
          <w:szCs w:val="28"/>
          <w:vertAlign w:val="superscript"/>
          <w:rtl/>
        </w:rPr>
        <w:t>،</w:t>
      </w:r>
      <w:r w:rsidRPr="00831A03">
        <w:rPr>
          <w:rFonts w:hint="cs"/>
          <w:b w:val="0"/>
          <w:position w:val="6"/>
          <w:sz w:val="18"/>
          <w:szCs w:val="24"/>
          <w:rtl/>
        </w:rPr>
        <w:t xml:space="preserve"> </w:t>
      </w:r>
      <w:r w:rsidRPr="00831A03">
        <w:rPr>
          <w:rStyle w:val="FootnoteReference"/>
          <w:b w:val="0"/>
          <w:rtl/>
        </w:rPr>
        <w:t>2</w:t>
      </w:r>
      <w:r w:rsidRPr="00831A03">
        <w:rPr>
          <w:rFonts w:hint="cs"/>
          <w:b w:val="0"/>
          <w:position w:val="-4"/>
          <w:szCs w:val="28"/>
          <w:vertAlign w:val="superscript"/>
          <w:rtl/>
        </w:rPr>
        <w:t>،</w:t>
      </w:r>
      <w:r w:rsidRPr="00831A03">
        <w:rPr>
          <w:rFonts w:hint="cs"/>
          <w:b w:val="0"/>
          <w:position w:val="6"/>
          <w:sz w:val="18"/>
          <w:szCs w:val="24"/>
          <w:rtl/>
        </w:rPr>
        <w:t xml:space="preserve"> </w:t>
      </w:r>
      <w:r w:rsidRPr="00831A03">
        <w:rPr>
          <w:rStyle w:val="FootnoteReference"/>
          <w:b w:val="0"/>
          <w:rtl/>
        </w:rPr>
        <w:t>3</w:t>
      </w:r>
      <w:r w:rsidRPr="00831A03">
        <w:rPr>
          <w:rFonts w:hint="cs"/>
          <w:b w:val="0"/>
          <w:position w:val="-4"/>
          <w:szCs w:val="28"/>
          <w:vertAlign w:val="superscript"/>
          <w:rtl/>
        </w:rPr>
        <w:t>،</w:t>
      </w:r>
      <w:r w:rsidRPr="00831A03">
        <w:rPr>
          <w:rFonts w:hint="cs"/>
          <w:b w:val="0"/>
          <w:position w:val="6"/>
          <w:sz w:val="18"/>
          <w:szCs w:val="24"/>
          <w:rtl/>
        </w:rPr>
        <w:t xml:space="preserve"> </w:t>
      </w:r>
      <w:r w:rsidRPr="00831A03">
        <w:rPr>
          <w:rStyle w:val="FootnoteReference"/>
          <w:b w:val="0"/>
          <w:rtl/>
        </w:rPr>
        <w:t>4</w:t>
      </w:r>
      <w:r w:rsidRPr="00831A03">
        <w:rPr>
          <w:rFonts w:hint="cs"/>
          <w:b w:val="0"/>
          <w:position w:val="-4"/>
          <w:szCs w:val="28"/>
          <w:vertAlign w:val="superscript"/>
          <w:rtl/>
        </w:rPr>
        <w:t>،</w:t>
      </w:r>
      <w:r w:rsidRPr="00831A03">
        <w:rPr>
          <w:b w:val="0"/>
          <w:position w:val="6"/>
          <w:sz w:val="18"/>
          <w:szCs w:val="24"/>
          <w:rtl/>
        </w:rPr>
        <w:t xml:space="preserve"> </w:t>
      </w:r>
      <w:r w:rsidRPr="00831A03">
        <w:rPr>
          <w:rStyle w:val="FootnoteReference"/>
          <w:b w:val="0"/>
          <w:rtl/>
        </w:rPr>
        <w:t>5</w:t>
      </w:r>
      <w:r w:rsidRPr="00831A03">
        <w:rPr>
          <w:rFonts w:hint="cs"/>
          <w:b w:val="0"/>
          <w:position w:val="-4"/>
          <w:szCs w:val="28"/>
          <w:vertAlign w:val="superscript"/>
          <w:rtl/>
        </w:rPr>
        <w:t>،</w:t>
      </w:r>
      <w:r w:rsidRPr="00831A03">
        <w:rPr>
          <w:b w:val="0"/>
          <w:position w:val="6"/>
          <w:sz w:val="18"/>
          <w:szCs w:val="24"/>
          <w:rtl/>
        </w:rPr>
        <w:t xml:space="preserve"> </w:t>
      </w:r>
      <w:r w:rsidRPr="00831A03">
        <w:rPr>
          <w:rStyle w:val="FootnoteReference"/>
          <w:b w:val="0"/>
          <w:rtl/>
        </w:rPr>
        <w:t>6</w:t>
      </w:r>
      <w:r w:rsidRPr="00831A03">
        <w:rPr>
          <w:rFonts w:hint="cs"/>
          <w:b w:val="0"/>
          <w:position w:val="-4"/>
          <w:szCs w:val="28"/>
          <w:vertAlign w:val="superscript"/>
          <w:rtl/>
        </w:rPr>
        <w:t>،</w:t>
      </w:r>
      <w:r w:rsidRPr="00831A03">
        <w:rPr>
          <w:rFonts w:hint="cs"/>
          <w:b w:val="0"/>
          <w:position w:val="6"/>
          <w:sz w:val="18"/>
          <w:szCs w:val="24"/>
          <w:rtl/>
        </w:rPr>
        <w:t xml:space="preserve"> </w:t>
      </w:r>
      <w:r w:rsidRPr="00831A03">
        <w:rPr>
          <w:rStyle w:val="FootnoteReference"/>
          <w:b w:val="0"/>
          <w:rtl/>
        </w:rPr>
        <w:t>7</w:t>
      </w:r>
      <w:r w:rsidRPr="00831A03">
        <w:rPr>
          <w:rFonts w:hint="cs"/>
          <w:b w:val="0"/>
          <w:position w:val="-4"/>
          <w:szCs w:val="28"/>
          <w:vertAlign w:val="superscript"/>
          <w:rtl/>
        </w:rPr>
        <w:t xml:space="preserve">، </w:t>
      </w:r>
      <w:r w:rsidRPr="00831A03">
        <w:rPr>
          <w:rStyle w:val="FootnoteReference"/>
          <w:b w:val="0"/>
          <w:rtl/>
        </w:rPr>
        <w:t>7</w:t>
      </w:r>
      <w:r w:rsidRPr="00831A03">
        <w:rPr>
          <w:rStyle w:val="FootnoteReference"/>
          <w:rFonts w:ascii="Times New Roman Bold" w:hAnsi="Times New Roman Bold" w:cs="Traditional Arabic"/>
          <w:b w:val="0"/>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1"/>
      <w:r w:rsidRPr="00F62046">
        <w:rPr>
          <w:b w:val="0"/>
          <w:bCs w:val="0"/>
          <w:sz w:val="18"/>
          <w:lang w:bidi="ar-SA"/>
        </w:rPr>
        <w:t>    </w:t>
      </w:r>
    </w:p>
    <w:p w:rsidR="00D04920" w:rsidRDefault="00006FB4" w:rsidP="00D43768">
      <w:pPr>
        <w:pStyle w:val="Reasons"/>
        <w:rPr>
          <w:rtl/>
        </w:rPr>
      </w:pPr>
      <w:r>
        <w:rPr>
          <w:rtl/>
        </w:rPr>
        <w:t>الأسباب:</w:t>
      </w:r>
      <w:r>
        <w:tab/>
      </w:r>
      <w:r w:rsidR="00CE0E91">
        <w:rPr>
          <w:rFonts w:hint="cs"/>
          <w:b w:val="0"/>
          <w:bCs w:val="0"/>
          <w:rtl/>
        </w:rPr>
        <w:t>المهلة التنظيمية الحالية البالغة سبع سنوات</w:t>
      </w:r>
      <w:bookmarkStart w:id="2" w:name="_GoBack"/>
      <w:bookmarkEnd w:id="2"/>
      <w:r w:rsidR="00CE0E91">
        <w:rPr>
          <w:rFonts w:hint="cs"/>
          <w:b w:val="0"/>
          <w:bCs w:val="0"/>
          <w:rtl/>
        </w:rPr>
        <w:t xml:space="preserve"> كافية </w:t>
      </w:r>
      <w:r w:rsidR="00D43768">
        <w:rPr>
          <w:rFonts w:hint="cs"/>
          <w:b w:val="0"/>
          <w:bCs w:val="0"/>
          <w:rtl/>
        </w:rPr>
        <w:t>لقيام</w:t>
      </w:r>
      <w:r w:rsidR="00CE0E91">
        <w:rPr>
          <w:rFonts w:hint="cs"/>
          <w:b w:val="0"/>
          <w:bCs w:val="0"/>
          <w:rtl/>
        </w:rPr>
        <w:t xml:space="preserve"> إحدى الإدارات بتخطيط وإطلاق </w:t>
      </w:r>
      <w:proofErr w:type="spellStart"/>
      <w:r w:rsidR="00F15B76">
        <w:rPr>
          <w:rFonts w:hint="cs"/>
          <w:b w:val="0"/>
          <w:bCs w:val="0"/>
          <w:rtl/>
        </w:rPr>
        <w:t>ال</w:t>
      </w:r>
      <w:r w:rsidR="00CE0E91">
        <w:rPr>
          <w:rFonts w:hint="cs"/>
          <w:b w:val="0"/>
          <w:bCs w:val="0"/>
          <w:rtl/>
        </w:rPr>
        <w:t>ساتل</w:t>
      </w:r>
      <w:proofErr w:type="spellEnd"/>
      <w:r w:rsidR="00CE0E91">
        <w:rPr>
          <w:rFonts w:hint="cs"/>
          <w:b w:val="0"/>
          <w:bCs w:val="0"/>
          <w:rtl/>
        </w:rPr>
        <w:t xml:space="preserve"> و</w:t>
      </w:r>
      <w:r w:rsidR="00D43768">
        <w:rPr>
          <w:rFonts w:hint="cs"/>
          <w:b w:val="0"/>
          <w:bCs w:val="0"/>
          <w:rtl/>
        </w:rPr>
        <w:t>ا</w:t>
      </w:r>
      <w:r w:rsidR="00CE0E91">
        <w:rPr>
          <w:rFonts w:hint="cs"/>
          <w:b w:val="0"/>
          <w:bCs w:val="0"/>
          <w:rtl/>
        </w:rPr>
        <w:t xml:space="preserve">لوفاء بواجباتها التنظيمية، أخذاً بعين الاعتبار أن سنتين من تلك السنوات تقابل الوقت اللازم لإعادة إنشاء وإعادة إطلاق </w:t>
      </w:r>
      <w:proofErr w:type="spellStart"/>
      <w:r w:rsidR="00CE0E91">
        <w:rPr>
          <w:rFonts w:hint="cs"/>
          <w:b w:val="0"/>
          <w:bCs w:val="0"/>
          <w:rtl/>
        </w:rPr>
        <w:t>الساتل</w:t>
      </w:r>
      <w:proofErr w:type="spellEnd"/>
      <w:r w:rsidR="00CE0E91">
        <w:rPr>
          <w:rFonts w:hint="cs"/>
          <w:b w:val="0"/>
          <w:bCs w:val="0"/>
          <w:rtl/>
        </w:rPr>
        <w:t xml:space="preserve"> في حالة فشل الإطلاق.</w:t>
      </w:r>
    </w:p>
    <w:p w:rsidR="00592E08" w:rsidRDefault="00592E08" w:rsidP="00592E08">
      <w:pPr>
        <w:rPr>
          <w:rtl/>
        </w:rPr>
      </w:pPr>
    </w:p>
    <w:p w:rsidR="00592E08" w:rsidRPr="00592E08" w:rsidRDefault="00592E08" w:rsidP="00592E08">
      <w:pPr>
        <w:spacing w:before="600"/>
        <w:jc w:val="center"/>
      </w:pPr>
      <w:r>
        <w:rPr>
          <w:rFonts w:hint="cs"/>
          <w:rtl/>
        </w:rPr>
        <w:t>___________</w:t>
      </w:r>
    </w:p>
    <w:sectPr w:rsidR="00592E08" w:rsidRPr="00592E08">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592E08">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FD63E5">
      <w:rPr>
        <w:noProof/>
        <w:lang w:val="es-ES"/>
      </w:rPr>
      <w:t>P:\ARA\ITU-R\CONF-R\CMR15\000\054A.docx</w:t>
    </w:r>
    <w:r w:rsidRPr="00CB4300">
      <w:fldChar w:fldCharType="end"/>
    </w:r>
    <w:r w:rsidRPr="00CB4300">
      <w:rPr>
        <w:lang w:val="es-ES"/>
      </w:rPr>
      <w:t xml:space="preserve">  (</w:t>
    </w:r>
    <w:r w:rsidR="00592E08">
      <w:rPr>
        <w:rFonts w:hint="cs"/>
        <w:rtl/>
        <w:lang w:val="es-ES"/>
      </w:rPr>
      <w:t>387859</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831A03">
      <w:rPr>
        <w:noProof/>
      </w:rPr>
      <w:t>25.10.15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FD63E5">
      <w:rPr>
        <w:noProof/>
      </w:rPr>
      <w:t>25.10.15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592E08">
    <w:pPr>
      <w:pStyle w:val="Footer"/>
      <w:rPr>
        <w:lang w:val="es-ES"/>
      </w:rPr>
    </w:pPr>
    <w:r>
      <w:fldChar w:fldCharType="begin"/>
    </w:r>
    <w:r w:rsidRPr="00CB4300">
      <w:rPr>
        <w:lang w:val="es-ES"/>
      </w:rPr>
      <w:instrText xml:space="preserve"> FILENAME \p \* MERGEFORMAT </w:instrText>
    </w:r>
    <w:r>
      <w:fldChar w:fldCharType="separate"/>
    </w:r>
    <w:r w:rsidR="00FD63E5">
      <w:rPr>
        <w:noProof/>
        <w:lang w:val="es-ES"/>
      </w:rPr>
      <w:t>P:\ARA\ITU-R\CONF-R\CMR15\000\054A.docx</w:t>
    </w:r>
    <w:r>
      <w:fldChar w:fldCharType="end"/>
    </w:r>
    <w:r w:rsidRPr="00CB4300">
      <w:rPr>
        <w:lang w:val="es-ES"/>
      </w:rPr>
      <w:t xml:space="preserve">   (</w:t>
    </w:r>
    <w:r w:rsidR="00592E08">
      <w:rPr>
        <w:rFonts w:hint="cs"/>
        <w:rtl/>
        <w:lang w:val="es-ES"/>
      </w:rPr>
      <w:t>387859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31A03">
      <w:rPr>
        <w:noProof/>
      </w:rPr>
      <w:t>25.10.15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FD63E5">
      <w:rPr>
        <w:noProof/>
      </w:rPr>
      <w:t>25.10.15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AD3996" w:rsidRPr="00916407" w:rsidRDefault="00AD3996">
      <w:pPr>
        <w:pStyle w:val="FootnoteText"/>
        <w:rPr>
          <w:rtl/>
        </w:rPr>
      </w:pPr>
      <w:r>
        <w:rPr>
          <w:rStyle w:val="FootnoteReference"/>
        </w:rPr>
        <w:footnoteRef/>
      </w:r>
      <w:r>
        <w:rPr>
          <w:rtl/>
        </w:rPr>
        <w:t xml:space="preserve"> </w:t>
      </w:r>
      <w:r w:rsidR="00BA3A0B">
        <w:rPr>
          <w:rtl/>
        </w:rPr>
        <w:tab/>
      </w:r>
      <w:r w:rsidR="00916407">
        <w:rPr>
          <w:rFonts w:hint="cs"/>
          <w:rtl/>
        </w:rPr>
        <w:t xml:space="preserve">اعتمد المؤتمر </w:t>
      </w:r>
      <w:r w:rsidR="00916407">
        <w:t>WRC-12</w:t>
      </w:r>
      <w:r w:rsidR="00916407">
        <w:rPr>
          <w:rFonts w:hint="cs"/>
          <w:rtl/>
        </w:rPr>
        <w:t xml:space="preserve"> تدابير تنظيمية مماثلة في التذييل </w:t>
      </w:r>
      <w:r w:rsidR="00916407">
        <w:t>30B</w:t>
      </w:r>
      <w:r w:rsidR="00916407">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31A03">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54-</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6FB4"/>
    <w:rsid w:val="00011021"/>
    <w:rsid w:val="000114EC"/>
    <w:rsid w:val="00011F8C"/>
    <w:rsid w:val="00014307"/>
    <w:rsid w:val="00040C94"/>
    <w:rsid w:val="000425FC"/>
    <w:rsid w:val="00044D43"/>
    <w:rsid w:val="00051907"/>
    <w:rsid w:val="000652FA"/>
    <w:rsid w:val="00075A3F"/>
    <w:rsid w:val="00090D5B"/>
    <w:rsid w:val="00095807"/>
    <w:rsid w:val="000A1B16"/>
    <w:rsid w:val="000B5404"/>
    <w:rsid w:val="000D1708"/>
    <w:rsid w:val="000E2AFC"/>
    <w:rsid w:val="000E6D30"/>
    <w:rsid w:val="000E7B58"/>
    <w:rsid w:val="000F05F5"/>
    <w:rsid w:val="000F28EA"/>
    <w:rsid w:val="000F518F"/>
    <w:rsid w:val="0010081C"/>
    <w:rsid w:val="001013E3"/>
    <w:rsid w:val="0010363F"/>
    <w:rsid w:val="0011693D"/>
    <w:rsid w:val="00130F95"/>
    <w:rsid w:val="001334C2"/>
    <w:rsid w:val="001464F2"/>
    <w:rsid w:val="001629EC"/>
    <w:rsid w:val="001636E2"/>
    <w:rsid w:val="00167364"/>
    <w:rsid w:val="00170810"/>
    <w:rsid w:val="001903B2"/>
    <w:rsid w:val="001E190C"/>
    <w:rsid w:val="001E54F6"/>
    <w:rsid w:val="001E5A8C"/>
    <w:rsid w:val="00201A0A"/>
    <w:rsid w:val="002075CB"/>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C6254"/>
    <w:rsid w:val="002D5F64"/>
    <w:rsid w:val="002D6FBF"/>
    <w:rsid w:val="002E48BF"/>
    <w:rsid w:val="002E61C2"/>
    <w:rsid w:val="002F2395"/>
    <w:rsid w:val="0033737F"/>
    <w:rsid w:val="0034495A"/>
    <w:rsid w:val="00353652"/>
    <w:rsid w:val="003569E1"/>
    <w:rsid w:val="003815E2"/>
    <w:rsid w:val="00381FAD"/>
    <w:rsid w:val="00382A66"/>
    <w:rsid w:val="003923B1"/>
    <w:rsid w:val="00395836"/>
    <w:rsid w:val="003965FE"/>
    <w:rsid w:val="003A6AB4"/>
    <w:rsid w:val="003B27AD"/>
    <w:rsid w:val="003B4F23"/>
    <w:rsid w:val="003C092B"/>
    <w:rsid w:val="003C12F6"/>
    <w:rsid w:val="003C3A13"/>
    <w:rsid w:val="003E02EF"/>
    <w:rsid w:val="003E1608"/>
    <w:rsid w:val="003E1D90"/>
    <w:rsid w:val="003E2A3E"/>
    <w:rsid w:val="003F2CAB"/>
    <w:rsid w:val="003F3E2A"/>
    <w:rsid w:val="00400CD4"/>
    <w:rsid w:val="004147B9"/>
    <w:rsid w:val="00422C04"/>
    <w:rsid w:val="00426144"/>
    <w:rsid w:val="00461FA7"/>
    <w:rsid w:val="004678E2"/>
    <w:rsid w:val="00470CBD"/>
    <w:rsid w:val="0047407D"/>
    <w:rsid w:val="004830C8"/>
    <w:rsid w:val="004909DD"/>
    <w:rsid w:val="00495379"/>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84770"/>
    <w:rsid w:val="00592E08"/>
    <w:rsid w:val="005930D8"/>
    <w:rsid w:val="005953EC"/>
    <w:rsid w:val="005B00A1"/>
    <w:rsid w:val="005C29C8"/>
    <w:rsid w:val="005C5D25"/>
    <w:rsid w:val="005D6D48"/>
    <w:rsid w:val="005D72A4"/>
    <w:rsid w:val="005F05CC"/>
    <w:rsid w:val="005F65DE"/>
    <w:rsid w:val="00613492"/>
    <w:rsid w:val="006315B5"/>
    <w:rsid w:val="00651343"/>
    <w:rsid w:val="0065562F"/>
    <w:rsid w:val="0067555A"/>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87D9C"/>
    <w:rsid w:val="007A0802"/>
    <w:rsid w:val="007B1FCA"/>
    <w:rsid w:val="007C2C12"/>
    <w:rsid w:val="007C3CFA"/>
    <w:rsid w:val="007E0E8B"/>
    <w:rsid w:val="007F08CA"/>
    <w:rsid w:val="007F7FC3"/>
    <w:rsid w:val="00810482"/>
    <w:rsid w:val="00817568"/>
    <w:rsid w:val="008204AC"/>
    <w:rsid w:val="008261C2"/>
    <w:rsid w:val="00830D96"/>
    <w:rsid w:val="00831A03"/>
    <w:rsid w:val="008455BE"/>
    <w:rsid w:val="0085569D"/>
    <w:rsid w:val="00855B59"/>
    <w:rsid w:val="0085774F"/>
    <w:rsid w:val="008657CB"/>
    <w:rsid w:val="00866A15"/>
    <w:rsid w:val="0088384B"/>
    <w:rsid w:val="00886016"/>
    <w:rsid w:val="008911EC"/>
    <w:rsid w:val="00893E53"/>
    <w:rsid w:val="008A1137"/>
    <w:rsid w:val="008A1788"/>
    <w:rsid w:val="008A4185"/>
    <w:rsid w:val="008A6552"/>
    <w:rsid w:val="008B4E93"/>
    <w:rsid w:val="008C6CA7"/>
    <w:rsid w:val="008D4F14"/>
    <w:rsid w:val="008D6ACC"/>
    <w:rsid w:val="008D7AF0"/>
    <w:rsid w:val="008E32DD"/>
    <w:rsid w:val="008F4626"/>
    <w:rsid w:val="009004DF"/>
    <w:rsid w:val="00904AA5"/>
    <w:rsid w:val="00905D21"/>
    <w:rsid w:val="009115BB"/>
    <w:rsid w:val="00916407"/>
    <w:rsid w:val="00922723"/>
    <w:rsid w:val="00951718"/>
    <w:rsid w:val="00954CCB"/>
    <w:rsid w:val="00960962"/>
    <w:rsid w:val="00972CE0"/>
    <w:rsid w:val="009A3D30"/>
    <w:rsid w:val="009B0BD8"/>
    <w:rsid w:val="009D12A6"/>
    <w:rsid w:val="009D6348"/>
    <w:rsid w:val="009E0360"/>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A7B0D"/>
    <w:rsid w:val="00AB2A33"/>
    <w:rsid w:val="00AC1275"/>
    <w:rsid w:val="00AC7395"/>
    <w:rsid w:val="00AD3996"/>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0D0"/>
    <w:rsid w:val="00B66817"/>
    <w:rsid w:val="00B71E3B"/>
    <w:rsid w:val="00B721D5"/>
    <w:rsid w:val="00B81CB5"/>
    <w:rsid w:val="00B8351F"/>
    <w:rsid w:val="00B840CB"/>
    <w:rsid w:val="00B86C44"/>
    <w:rsid w:val="00B9727C"/>
    <w:rsid w:val="00BA3A0B"/>
    <w:rsid w:val="00BA610A"/>
    <w:rsid w:val="00BA7D44"/>
    <w:rsid w:val="00BD6EF3"/>
    <w:rsid w:val="00BE4217"/>
    <w:rsid w:val="00BE69C3"/>
    <w:rsid w:val="00BF7E96"/>
    <w:rsid w:val="00C1165E"/>
    <w:rsid w:val="00C22074"/>
    <w:rsid w:val="00C2377B"/>
    <w:rsid w:val="00C3693C"/>
    <w:rsid w:val="00C50655"/>
    <w:rsid w:val="00C53F6F"/>
    <w:rsid w:val="00C5489D"/>
    <w:rsid w:val="00C71759"/>
    <w:rsid w:val="00C73A61"/>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0E91"/>
    <w:rsid w:val="00CE5BA4"/>
    <w:rsid w:val="00CE5E03"/>
    <w:rsid w:val="00D00556"/>
    <w:rsid w:val="00D04920"/>
    <w:rsid w:val="00D25120"/>
    <w:rsid w:val="00D419CB"/>
    <w:rsid w:val="00D43768"/>
    <w:rsid w:val="00D44350"/>
    <w:rsid w:val="00D44E3F"/>
    <w:rsid w:val="00D4639F"/>
    <w:rsid w:val="00D525F5"/>
    <w:rsid w:val="00D535D0"/>
    <w:rsid w:val="00D62C78"/>
    <w:rsid w:val="00D81703"/>
    <w:rsid w:val="00D82929"/>
    <w:rsid w:val="00D84214"/>
    <w:rsid w:val="00D943E5"/>
    <w:rsid w:val="00D96120"/>
    <w:rsid w:val="00DA1AE0"/>
    <w:rsid w:val="00DB046B"/>
    <w:rsid w:val="00DC1DA0"/>
    <w:rsid w:val="00DC29DD"/>
    <w:rsid w:val="00DC7C0E"/>
    <w:rsid w:val="00DF2A6A"/>
    <w:rsid w:val="00DF3B72"/>
    <w:rsid w:val="00E01B8B"/>
    <w:rsid w:val="00E10821"/>
    <w:rsid w:val="00E165ED"/>
    <w:rsid w:val="00E2489D"/>
    <w:rsid w:val="00E25C06"/>
    <w:rsid w:val="00E26520"/>
    <w:rsid w:val="00E343A3"/>
    <w:rsid w:val="00E3738F"/>
    <w:rsid w:val="00E51BFA"/>
    <w:rsid w:val="00E621A3"/>
    <w:rsid w:val="00E77D29"/>
    <w:rsid w:val="00E833BC"/>
    <w:rsid w:val="00E8580E"/>
    <w:rsid w:val="00E92331"/>
    <w:rsid w:val="00E97804"/>
    <w:rsid w:val="00EA1B76"/>
    <w:rsid w:val="00EA2A13"/>
    <w:rsid w:val="00EA77D7"/>
    <w:rsid w:val="00EC09B9"/>
    <w:rsid w:val="00ED048C"/>
    <w:rsid w:val="00ED4B29"/>
    <w:rsid w:val="00EF38AF"/>
    <w:rsid w:val="00F055F8"/>
    <w:rsid w:val="00F10CB4"/>
    <w:rsid w:val="00F11B3D"/>
    <w:rsid w:val="00F14763"/>
    <w:rsid w:val="00F15B76"/>
    <w:rsid w:val="00F16212"/>
    <w:rsid w:val="00F16602"/>
    <w:rsid w:val="00F25B80"/>
    <w:rsid w:val="00F2685F"/>
    <w:rsid w:val="00F350C8"/>
    <w:rsid w:val="00F8654D"/>
    <w:rsid w:val="00F900C9"/>
    <w:rsid w:val="00F92C96"/>
    <w:rsid w:val="00FA0D4E"/>
    <w:rsid w:val="00FA13D4"/>
    <w:rsid w:val="00FA4CC2"/>
    <w:rsid w:val="00FB0753"/>
    <w:rsid w:val="00FB5CC8"/>
    <w:rsid w:val="00FC2CD0"/>
    <w:rsid w:val="00FC6EAA"/>
    <w:rsid w:val="00FD0594"/>
    <w:rsid w:val="00FD63E5"/>
    <w:rsid w:val="00FE576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1C95AA0-09FD-4518-A1AB-D64F5BCC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R15-WRC15-C-0054!!MSW-A</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8D51F11F-458D-4637-B82E-6FA92CEF6489}">
  <ds:schemaRefs>
    <ds:schemaRef ds:uri="http://purl.org/dc/dcmitype/"/>
    <ds:schemaRef ds:uri="http://schemas.microsoft.com/office/2006/documentManagement/types"/>
    <ds:schemaRef ds:uri="996b2e75-67fd-4955-a3b0-5ab9934cb50b"/>
    <ds:schemaRef ds:uri="http://schemas.microsoft.com/office/infopath/2007/PartnerControls"/>
    <ds:schemaRef ds:uri="http://schemas.microsoft.com/office/2006/metadata/properties"/>
    <ds:schemaRef ds:uri="http://purl.org/dc/terms/"/>
    <ds:schemaRef ds:uri="http://purl.org/dc/elements/1.1/"/>
    <ds:schemaRef ds:uri="http://schemas.openxmlformats.org/package/2006/metadata/core-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70918C57-DED1-47B9-9212-DB451CBC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995</Words>
  <Characters>5030</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R15-WRC15-C-0054!!MSW-A</vt:lpstr>
    </vt:vector>
  </TitlesOfParts>
  <Manager>General Secretariat - Pool</Manager>
  <Company>International Telecommunication Union (ITU)</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R15-WRC15-C-0054!!MSW-A</dc:title>
  <dc:creator>Documents Proposals Manager (DPM)</dc:creator>
  <cp:keywords>DPM_v5.2015.10.8_prod</cp:keywords>
  <cp:lastModifiedBy>Eltawabti, Ibrahim</cp:lastModifiedBy>
  <cp:revision>5</cp:revision>
  <cp:lastPrinted>2015-10-25T11:42:00Z</cp:lastPrinted>
  <dcterms:created xsi:type="dcterms:W3CDTF">2015-10-25T11:31:00Z</dcterms:created>
  <dcterms:modified xsi:type="dcterms:W3CDTF">2015-10-28T18:56:00Z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