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B3F25" w:rsidTr="0050008E">
        <w:trPr>
          <w:cantSplit/>
        </w:trPr>
        <w:tc>
          <w:tcPr>
            <w:tcW w:w="6911" w:type="dxa"/>
          </w:tcPr>
          <w:p w:rsidR="0090121B" w:rsidRPr="00CB3F25" w:rsidRDefault="005D46FB" w:rsidP="00CB3F25">
            <w:pPr>
              <w:spacing w:before="400" w:after="48"/>
              <w:rPr>
                <w:rFonts w:ascii="Verdana" w:hAnsi="Verdana"/>
                <w:position w:val="6"/>
              </w:rPr>
            </w:pPr>
            <w:r w:rsidRPr="00CB3F2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B3F2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B3F2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CB3F25" w:rsidRDefault="00CE7431" w:rsidP="00CB3F25">
            <w:pPr>
              <w:spacing w:before="0"/>
              <w:jc w:val="right"/>
            </w:pPr>
            <w:bookmarkStart w:id="0" w:name="ditulogo"/>
            <w:bookmarkEnd w:id="0"/>
            <w:r w:rsidRPr="00CB3F25">
              <w:rPr>
                <w:noProof/>
                <w:lang w:val="en-US" w:eastAsia="zh-CN"/>
              </w:rPr>
              <w:drawing>
                <wp:inline distT="0" distB="0" distL="0" distR="0" wp14:anchorId="7E5DA477" wp14:editId="697B54D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B3F2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B3F25" w:rsidRDefault="00CE7431" w:rsidP="00CB3F25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CB3F2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B3F25" w:rsidRDefault="0090121B" w:rsidP="00CB3F2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CB3F2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B3F25" w:rsidRDefault="0090121B" w:rsidP="00CB3F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B3F25" w:rsidRDefault="0090121B" w:rsidP="00CB3F2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CB3F2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CB3F25" w:rsidRDefault="00AE658F" w:rsidP="00CB3F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3F2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CB3F25" w:rsidRDefault="00AE658F" w:rsidP="00CB3F25">
            <w:pPr>
              <w:spacing w:before="0"/>
              <w:rPr>
                <w:rFonts w:ascii="Verdana" w:hAnsi="Verdana"/>
                <w:sz w:val="20"/>
              </w:rPr>
            </w:pPr>
            <w:r w:rsidRPr="00CB3F25">
              <w:rPr>
                <w:rFonts w:ascii="Verdana" w:eastAsia="SimSun" w:hAnsi="Verdana" w:cs="Traditional Arabic"/>
                <w:b/>
                <w:sz w:val="20"/>
              </w:rPr>
              <w:t>Documento 51</w:t>
            </w:r>
            <w:r w:rsidR="0090121B" w:rsidRPr="00CB3F25">
              <w:rPr>
                <w:rFonts w:ascii="Verdana" w:hAnsi="Verdana"/>
                <w:b/>
                <w:sz w:val="20"/>
              </w:rPr>
              <w:t>-</w:t>
            </w:r>
            <w:r w:rsidRPr="00CB3F2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B3F2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CB3F25" w:rsidRDefault="000A5B9A" w:rsidP="00CB3F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CB3F25" w:rsidRDefault="000A5B9A" w:rsidP="00CB3F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3F25">
              <w:rPr>
                <w:rFonts w:ascii="Verdana" w:hAnsi="Verdana"/>
                <w:b/>
                <w:sz w:val="20"/>
              </w:rPr>
              <w:t>8 de octubre de 2015</w:t>
            </w:r>
          </w:p>
        </w:tc>
      </w:tr>
      <w:tr w:rsidR="000A5B9A" w:rsidRPr="00CB3F25" w:rsidTr="0090121B">
        <w:trPr>
          <w:cantSplit/>
        </w:trPr>
        <w:tc>
          <w:tcPr>
            <w:tcW w:w="6911" w:type="dxa"/>
          </w:tcPr>
          <w:p w:rsidR="000A5B9A" w:rsidRPr="00CB3F25" w:rsidRDefault="000A5B9A" w:rsidP="00CB3F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B3F25" w:rsidRDefault="000A5B9A" w:rsidP="00CB3F2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3F25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CB3F25" w:rsidTr="006744FC">
        <w:trPr>
          <w:cantSplit/>
        </w:trPr>
        <w:tc>
          <w:tcPr>
            <w:tcW w:w="10031" w:type="dxa"/>
            <w:gridSpan w:val="2"/>
          </w:tcPr>
          <w:p w:rsidR="000A5B9A" w:rsidRPr="00CB3F25" w:rsidRDefault="000A5B9A" w:rsidP="00CB3F2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B3F25" w:rsidTr="0050008E">
        <w:trPr>
          <w:cantSplit/>
        </w:trPr>
        <w:tc>
          <w:tcPr>
            <w:tcW w:w="10031" w:type="dxa"/>
            <w:gridSpan w:val="2"/>
          </w:tcPr>
          <w:p w:rsidR="000A5B9A" w:rsidRPr="00CB3F25" w:rsidRDefault="000A5B9A" w:rsidP="00CB3F25">
            <w:pPr>
              <w:pStyle w:val="Source"/>
            </w:pPr>
            <w:bookmarkStart w:id="2" w:name="dsource" w:colFirst="0" w:colLast="0"/>
            <w:r w:rsidRPr="00CB3F25">
              <w:t>Djibouti (República de)/Egipto (República Árabe de)/Líbano/Túnez</w:t>
            </w:r>
          </w:p>
        </w:tc>
      </w:tr>
      <w:tr w:rsidR="000A5B9A" w:rsidRPr="00CB3F25" w:rsidTr="0050008E">
        <w:trPr>
          <w:cantSplit/>
        </w:trPr>
        <w:tc>
          <w:tcPr>
            <w:tcW w:w="10031" w:type="dxa"/>
            <w:gridSpan w:val="2"/>
          </w:tcPr>
          <w:p w:rsidR="004253E2" w:rsidRPr="00CB3F25" w:rsidRDefault="004253E2" w:rsidP="00CB3F25">
            <w:pPr>
              <w:pStyle w:val="Title1"/>
              <w:rPr>
                <w:szCs w:val="28"/>
              </w:rPr>
            </w:pPr>
            <w:bookmarkStart w:id="3" w:name="dtitle1" w:colFirst="0" w:colLast="0"/>
            <w:bookmarkEnd w:id="2"/>
            <w:r w:rsidRPr="00CB3F25">
              <w:rPr>
                <w:szCs w:val="28"/>
              </w:rPr>
              <w:t>Propuestas para los trabajos de la Conferencia</w:t>
            </w:r>
          </w:p>
          <w:p w:rsidR="000A5B9A" w:rsidRPr="00CB3F25" w:rsidRDefault="000A5B9A" w:rsidP="00CB3F25">
            <w:pPr>
              <w:pStyle w:val="Title1"/>
            </w:pPr>
          </w:p>
        </w:tc>
      </w:tr>
      <w:tr w:rsidR="000A5B9A" w:rsidRPr="00CB3F25" w:rsidTr="0050008E">
        <w:trPr>
          <w:cantSplit/>
        </w:trPr>
        <w:tc>
          <w:tcPr>
            <w:tcW w:w="10031" w:type="dxa"/>
            <w:gridSpan w:val="2"/>
          </w:tcPr>
          <w:p w:rsidR="000A5B9A" w:rsidRPr="00CB3F25" w:rsidRDefault="000A5B9A" w:rsidP="00CB3F25">
            <w:pPr>
              <w:pStyle w:val="Agendaitem"/>
            </w:pPr>
            <w:bookmarkStart w:id="4" w:name="dtitle3" w:colFirst="0" w:colLast="0"/>
            <w:bookmarkEnd w:id="3"/>
            <w:r w:rsidRPr="00CB3F25">
              <w:t>Punto 7(E) del orden del día</w:t>
            </w:r>
          </w:p>
        </w:tc>
      </w:tr>
    </w:tbl>
    <w:bookmarkEnd w:id="4"/>
    <w:p w:rsidR="001C0E40" w:rsidRPr="00CB3F25" w:rsidRDefault="00C82FCC" w:rsidP="005D72AA">
      <w:r w:rsidRPr="00CB3F25">
        <w:t>7</w:t>
      </w:r>
      <w:r w:rsidRPr="00CB3F25">
        <w:tab/>
        <w:t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</w:t>
      </w:r>
      <w:r w:rsidR="005D72AA">
        <w:t> </w:t>
      </w:r>
      <w:r w:rsidRPr="00CB3F25">
        <w:rPr>
          <w:b/>
          <w:bCs/>
        </w:rPr>
        <w:t>86 (Rev.CMR-07)</w:t>
      </w:r>
      <w:r w:rsidRPr="00CB3F25">
        <w:t>, para facilitar la utilización racional, eficaz y económica de las frecuencias radioeléctricas y toda órbita asociada, incluida la órbita de los satélites geoestacionarios;</w:t>
      </w:r>
    </w:p>
    <w:p w:rsidR="001C0E40" w:rsidRPr="00CB3F25" w:rsidRDefault="00C82FCC" w:rsidP="00CB3F25">
      <w:r w:rsidRPr="00CB3F25">
        <w:t xml:space="preserve">7(E) </w:t>
      </w:r>
      <w:r w:rsidRPr="00CB3F25">
        <w:tab/>
        <w:t>Tema</w:t>
      </w:r>
      <w:r w:rsidR="00F7390D">
        <w:t> </w:t>
      </w:r>
      <w:r w:rsidRPr="00CB3F25">
        <w:t>E – Avería de un satélite durante el periodo de 90 días posterior a su puesta en servicio</w:t>
      </w:r>
    </w:p>
    <w:p w:rsidR="00C82FCC" w:rsidRPr="00CB3F25" w:rsidRDefault="00C82FCC" w:rsidP="00CB3F25"/>
    <w:p w:rsidR="00C82FCC" w:rsidRPr="00CB3F25" w:rsidRDefault="00C82FCC" w:rsidP="00CB3F25">
      <w:pPr>
        <w:pStyle w:val="Title3"/>
      </w:pPr>
      <w:r w:rsidRPr="00CB3F25">
        <w:t>Tema E</w:t>
      </w:r>
    </w:p>
    <w:p w:rsidR="00C82FCC" w:rsidRPr="00CB3F25" w:rsidRDefault="00832ACF" w:rsidP="000E18B3">
      <w:r w:rsidRPr="00CB3F25">
        <w:t>Considerando que es</w:t>
      </w:r>
      <w:r w:rsidR="00C82FCC" w:rsidRPr="00CB3F25">
        <w:t xml:space="preserve"> importante contar con una disposición del RR que defina claramente el </w:t>
      </w:r>
      <w:r w:rsidRPr="00CB3F25">
        <w:t>planteamiento</w:t>
      </w:r>
      <w:r w:rsidR="00C82FCC" w:rsidRPr="00CB3F25">
        <w:t xml:space="preserve"> aplicable en caso de avería de un satélite durante el periodo de</w:t>
      </w:r>
      <w:r w:rsidR="00CB3F25">
        <w:t> </w:t>
      </w:r>
      <w:r w:rsidR="006851E5" w:rsidRPr="00CB3F25">
        <w:t>BIU</w:t>
      </w:r>
      <w:r w:rsidRPr="00CB3F25">
        <w:t xml:space="preserve">, </w:t>
      </w:r>
      <w:r w:rsidR="006851E5" w:rsidRPr="00CB3F25">
        <w:t>y que</w:t>
      </w:r>
      <w:r w:rsidR="00C82FCC" w:rsidRPr="00CB3F25">
        <w:t xml:space="preserve"> </w:t>
      </w:r>
      <w:r w:rsidRPr="00CB3F25">
        <w:t>dicha</w:t>
      </w:r>
      <w:r w:rsidR="00C82FCC" w:rsidRPr="00CB3F25">
        <w:t xml:space="preserve"> disposición permitiría a la administración entender claramente cuál es la situación de sus asignaciones de frecuencia antes de </w:t>
      </w:r>
      <w:r w:rsidRPr="00CB3F25">
        <w:t>adoptar</w:t>
      </w:r>
      <w:r w:rsidR="00C82FCC" w:rsidRPr="00CB3F25">
        <w:t xml:space="preserve"> una decisión acerca de un satélite de sustitución.</w:t>
      </w:r>
    </w:p>
    <w:p w:rsidR="001138BC" w:rsidRPr="00CB3F25" w:rsidRDefault="00832ACF" w:rsidP="00CB3F25">
      <w:r w:rsidRPr="00CB3F25">
        <w:t xml:space="preserve">En vista de </w:t>
      </w:r>
      <w:r w:rsidR="00C82FCC" w:rsidRPr="00CB3F25">
        <w:t>que la avería de un satélite durante el periodo actual de</w:t>
      </w:r>
      <w:r w:rsidR="00CB3F25">
        <w:t> </w:t>
      </w:r>
      <w:r w:rsidR="00C82FCC" w:rsidRPr="00CB3F25">
        <w:t>BIU</w:t>
      </w:r>
      <w:r w:rsidR="00CB3F25">
        <w:t xml:space="preserve"> o </w:t>
      </w:r>
      <w:r w:rsidR="00C82FCC" w:rsidRPr="00CB3F25">
        <w:t>BBIU sería un caso excepcional</w:t>
      </w:r>
      <w:r w:rsidR="001138BC" w:rsidRPr="00CB3F25">
        <w:t xml:space="preserve"> y</w:t>
      </w:r>
      <w:r w:rsidR="006851E5" w:rsidRPr="00CB3F25">
        <w:t xml:space="preserve"> de que,</w:t>
      </w:r>
      <w:r w:rsidR="001138BC" w:rsidRPr="00CB3F25">
        <w:t xml:space="preserve"> en el</w:t>
      </w:r>
      <w:r w:rsidR="00C82FCC" w:rsidRPr="00CB3F25">
        <w:t xml:space="preserve"> caso de avería de un satélite recién lanzado o en órbi</w:t>
      </w:r>
      <w:r w:rsidR="00CB3F25">
        <w:t>ta durante el periodo actual de BIU o </w:t>
      </w:r>
      <w:r w:rsidR="00C82FCC" w:rsidRPr="00CB3F25">
        <w:t>BBIU, las administraciones ya tienen la posibilidad de cu</w:t>
      </w:r>
      <w:r w:rsidR="00CB3F25">
        <w:t>rsar una petición de ayuda a la </w:t>
      </w:r>
      <w:r w:rsidR="00C82FCC" w:rsidRPr="00CB3F25">
        <w:t>RRB con arreglo a los procedimientos actu</w:t>
      </w:r>
      <w:r w:rsidR="00CB3F25">
        <w:t>ales y, de no tener éxito en la RRB, cursar una petición a la </w:t>
      </w:r>
      <w:r w:rsidR="00C82FCC" w:rsidRPr="00CB3F25">
        <w:t>CMR</w:t>
      </w:r>
      <w:r w:rsidR="001138BC" w:rsidRPr="00CB3F25">
        <w:t xml:space="preserve"> (</w:t>
      </w:r>
      <w:r w:rsidR="006851E5" w:rsidRPr="00CB3F25">
        <w:t>ateniéndose una vez más</w:t>
      </w:r>
      <w:r w:rsidR="00CB3F25">
        <w:t xml:space="preserve"> </w:t>
      </w:r>
      <w:r w:rsidR="006851E5" w:rsidRPr="00CB3F25">
        <w:t xml:space="preserve">a </w:t>
      </w:r>
      <w:r w:rsidR="00CB3F25">
        <w:t>los procedimientos del </w:t>
      </w:r>
      <w:r w:rsidR="001138BC" w:rsidRPr="00CB3F25">
        <w:t>RR), y en vista de la falta de evidencia de</w:t>
      </w:r>
      <w:r w:rsidR="00CB3F25">
        <w:t xml:space="preserve"> avería del satélite durante su </w:t>
      </w:r>
      <w:r w:rsidR="001138BC" w:rsidRPr="00CB3F25">
        <w:t>BIU, la modificación de los procedimientos reglamentarios actuales puede resultar prematura.</w:t>
      </w:r>
    </w:p>
    <w:p w:rsidR="00C82FCC" w:rsidRPr="00CB3F25" w:rsidRDefault="001138BC" w:rsidP="00CB3F25">
      <w:r w:rsidRPr="00CB3F25">
        <w:t>Por consiguiente, las partes firmantes creen que no debe modificarse el Reglamento de Radiocomunicaciones de conformidad con la propuesta siguiente.</w:t>
      </w:r>
    </w:p>
    <w:p w:rsidR="00C82FCC" w:rsidRPr="00CB3F25" w:rsidRDefault="004D0DEB" w:rsidP="000E18B3">
      <w:pPr>
        <w:pStyle w:val="Headingb"/>
        <w:keepNext w:val="0"/>
      </w:pPr>
      <w:r>
        <w:rPr>
          <w:lang w:val="en-GB" w:bidi="ar-EG"/>
        </w:rPr>
        <w:t>Propuesta</w:t>
      </w:r>
    </w:p>
    <w:p w:rsidR="00883412" w:rsidRPr="00CB3F25" w:rsidRDefault="00C82FCC" w:rsidP="00CB3F25">
      <w:pPr>
        <w:pStyle w:val="Proposal"/>
      </w:pPr>
      <w:r w:rsidRPr="00CB3F25">
        <w:rPr>
          <w:u w:val="single"/>
        </w:rPr>
        <w:lastRenderedPageBreak/>
        <w:t>NOC</w:t>
      </w:r>
      <w:r w:rsidRPr="00CB3F25">
        <w:tab/>
        <w:t>DJI/EGY/LBN/TUN/51/1</w:t>
      </w:r>
    </w:p>
    <w:p w:rsidR="00F008F3" w:rsidRPr="00CB3F25" w:rsidRDefault="00C82FCC" w:rsidP="00CB3F25">
      <w:pPr>
        <w:pStyle w:val="ArtNo"/>
      </w:pPr>
      <w:r w:rsidRPr="00CB3F25">
        <w:t xml:space="preserve">ARTÍCULO </w:t>
      </w:r>
      <w:r w:rsidRPr="00CB3F25">
        <w:rPr>
          <w:rStyle w:val="href"/>
        </w:rPr>
        <w:t>11</w:t>
      </w:r>
    </w:p>
    <w:p w:rsidR="00F008F3" w:rsidRPr="00CB3F25" w:rsidRDefault="00C82FCC" w:rsidP="00CB3F25">
      <w:pPr>
        <w:pStyle w:val="Arttitle"/>
        <w:spacing w:before="120"/>
        <w:rPr>
          <w:bCs/>
        </w:rPr>
      </w:pPr>
      <w:r w:rsidRPr="00CB3F25">
        <w:t>Notificación e inscripción de asignaciones</w:t>
      </w:r>
      <w:r w:rsidRPr="00CB3F25">
        <w:br/>
        <w:t>de frecuencia</w:t>
      </w:r>
      <w:r w:rsidRPr="00CB3F25">
        <w:rPr>
          <w:rStyle w:val="FootnoteReference"/>
          <w:bCs/>
          <w:szCs w:val="18"/>
        </w:rPr>
        <w:t>1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2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3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4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5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6</w:t>
      </w:r>
      <w:r w:rsidRPr="00CB3F25">
        <w:rPr>
          <w:bCs/>
          <w:position w:val="6"/>
          <w:sz w:val="18"/>
          <w:szCs w:val="18"/>
        </w:rPr>
        <w:t xml:space="preserve">, </w:t>
      </w:r>
      <w:r w:rsidRPr="00CB3F25">
        <w:rPr>
          <w:rStyle w:val="FootnoteReference"/>
          <w:bCs/>
          <w:szCs w:val="18"/>
        </w:rPr>
        <w:t>7,</w:t>
      </w:r>
      <w:r w:rsidRPr="00CB3F25">
        <w:rPr>
          <w:bCs/>
          <w:sz w:val="18"/>
          <w:szCs w:val="18"/>
        </w:rPr>
        <w:t xml:space="preserve"> </w:t>
      </w:r>
      <w:r w:rsidRPr="00CB3F25">
        <w:rPr>
          <w:bCs/>
          <w:position w:val="6"/>
          <w:sz w:val="18"/>
          <w:szCs w:val="18"/>
        </w:rPr>
        <w:t>7</w:t>
      </w:r>
      <w:r w:rsidRPr="00CB3F25">
        <w:rPr>
          <w:bCs/>
          <w:i/>
          <w:iCs/>
          <w:position w:val="6"/>
          <w:sz w:val="18"/>
          <w:szCs w:val="18"/>
        </w:rPr>
        <w:t>bis</w:t>
      </w:r>
      <w:r w:rsidRPr="00CB3F25">
        <w:rPr>
          <w:b w:val="0"/>
          <w:sz w:val="16"/>
        </w:rPr>
        <w:t>     (CMR</w:t>
      </w:r>
      <w:r w:rsidRPr="00CB3F25">
        <w:rPr>
          <w:b w:val="0"/>
          <w:sz w:val="16"/>
        </w:rPr>
        <w:noBreakHyphen/>
        <w:t>12)</w:t>
      </w:r>
    </w:p>
    <w:p w:rsidR="004253E2" w:rsidRDefault="004253E2" w:rsidP="00CB3F25">
      <w:pPr>
        <w:pStyle w:val="Reasons"/>
      </w:pPr>
    </w:p>
    <w:p w:rsidR="004253E2" w:rsidRPr="00CB3F25" w:rsidRDefault="004253E2" w:rsidP="00CB3F25">
      <w:pPr>
        <w:spacing w:before="480"/>
        <w:jc w:val="center"/>
      </w:pPr>
      <w:bookmarkStart w:id="5" w:name="_GoBack"/>
      <w:bookmarkEnd w:id="5"/>
      <w:r w:rsidRPr="00CB3F25">
        <w:t>______________</w:t>
      </w:r>
    </w:p>
    <w:sectPr w:rsidR="004253E2" w:rsidRPr="00CB3F2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AF" w:rsidRDefault="004741AF">
      <w:r>
        <w:separator/>
      </w:r>
    </w:p>
  </w:endnote>
  <w:endnote w:type="continuationSeparator" w:id="0">
    <w:p w:rsidR="004741AF" w:rsidRDefault="0047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453C9">
      <w:rPr>
        <w:noProof/>
        <w:lang w:val="en-US"/>
      </w:rPr>
      <w:t>C:\Users\brotons\Desktop\ACBA 2015\Trad18 387830\051S (387830)LIN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18B3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53C9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25" w:rsidRDefault="00CB3F25" w:rsidP="00CB3F25">
    <w:pPr>
      <w:pStyle w:val="Footer"/>
    </w:pPr>
    <w:fldSimple w:instr=" FILENAME \p  \* MERGEFORMAT ">
      <w:r>
        <w:t>P:\ESP\ITU-R\CONF-R\CMR15\000\051S.docx</w:t>
      </w:r>
    </w:fldSimple>
    <w:r>
      <w:t xml:space="preserve"> (387830)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E18B3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25" w:rsidRDefault="000E18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B3F25">
      <w:t>P:\ESP\ITU-R\CONF-R\CMR15\000\051S.docx</w:t>
    </w:r>
    <w:r>
      <w:fldChar w:fldCharType="end"/>
    </w:r>
    <w:r w:rsidR="00CB3F25">
      <w:t xml:space="preserve"> (387830)</w:t>
    </w:r>
    <w:r w:rsidR="00CB3F25">
      <w:tab/>
    </w:r>
    <w:r w:rsidR="00CB3F25">
      <w:fldChar w:fldCharType="begin"/>
    </w:r>
    <w:r w:rsidR="00CB3F25">
      <w:instrText xml:space="preserve"> SAVEDATE \@ DD.MM.YY </w:instrText>
    </w:r>
    <w:r w:rsidR="00CB3F25">
      <w:fldChar w:fldCharType="separate"/>
    </w:r>
    <w:r>
      <w:t>27.10.15</w:t>
    </w:r>
    <w:r w:rsidR="00CB3F25">
      <w:fldChar w:fldCharType="end"/>
    </w:r>
    <w:r w:rsidR="00CB3F25">
      <w:tab/>
    </w:r>
    <w:r w:rsidR="00CB3F25">
      <w:fldChar w:fldCharType="begin"/>
    </w:r>
    <w:r w:rsidR="00CB3F25">
      <w:instrText xml:space="preserve"> PRINTDATE \@ DD.MM.YY </w:instrText>
    </w:r>
    <w:r w:rsidR="00CB3F25">
      <w:fldChar w:fldCharType="separate"/>
    </w:r>
    <w:r w:rsidR="00CB3F25">
      <w:t>27.10.15</w:t>
    </w:r>
    <w:r w:rsidR="00CB3F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AF" w:rsidRDefault="004741AF">
      <w:r>
        <w:rPr>
          <w:b/>
        </w:rPr>
        <w:t>_______________</w:t>
      </w:r>
    </w:p>
  </w:footnote>
  <w:footnote w:type="continuationSeparator" w:id="0">
    <w:p w:rsidR="004741AF" w:rsidRDefault="00474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18B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51-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18B3"/>
    <w:rsid w:val="000E5BF9"/>
    <w:rsid w:val="000F0E6D"/>
    <w:rsid w:val="000F191B"/>
    <w:rsid w:val="001138BC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253E2"/>
    <w:rsid w:val="00440B3A"/>
    <w:rsid w:val="0045384C"/>
    <w:rsid w:val="00454553"/>
    <w:rsid w:val="004741AF"/>
    <w:rsid w:val="004B124A"/>
    <w:rsid w:val="004B59FD"/>
    <w:rsid w:val="004D0DEB"/>
    <w:rsid w:val="005133B5"/>
    <w:rsid w:val="00532097"/>
    <w:rsid w:val="0058350F"/>
    <w:rsid w:val="00583C7E"/>
    <w:rsid w:val="005D46FB"/>
    <w:rsid w:val="005D72AA"/>
    <w:rsid w:val="005F2605"/>
    <w:rsid w:val="005F33A8"/>
    <w:rsid w:val="005F3B0E"/>
    <w:rsid w:val="005F559C"/>
    <w:rsid w:val="00662BA0"/>
    <w:rsid w:val="006851E5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2ACF"/>
    <w:rsid w:val="00866AE6"/>
    <w:rsid w:val="008750A8"/>
    <w:rsid w:val="00883412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82FCC"/>
    <w:rsid w:val="00CB3F2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74189"/>
    <w:rsid w:val="00F453C9"/>
    <w:rsid w:val="00F66597"/>
    <w:rsid w:val="00F675D0"/>
    <w:rsid w:val="00F7390D"/>
    <w:rsid w:val="00F8150C"/>
    <w:rsid w:val="00FB4BD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C1A7266-4EE8-4A00-AE0D-942BEBB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F453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3C9"/>
    <w:rPr>
      <w:rFonts w:ascii="Segoe UI" w:hAnsi="Segoe UI" w:cs="Segoe UI"/>
      <w:sz w:val="18"/>
      <w:szCs w:val="18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0DE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0DEB"/>
    <w:rPr>
      <w:rFonts w:ascii="Times New Roman" w:hAnsi="Times New Roman"/>
      <w:lang w:val="es-ES_tradnl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D0DEB"/>
    <w:rPr>
      <w:rFonts w:ascii="Times New Roman" w:hAnsi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4D0DE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R15-WRC15-C-0051!!MSW-S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5D655-3EDB-4415-8D15-4727B966A76E}">
  <ds:schemaRefs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8FBDDCF-5B77-4697-B53C-AD82F00C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R15-WRC15-C-0051!!MSW-S</vt:lpstr>
    </vt:vector>
  </TitlesOfParts>
  <Manager>Secretaría General - Pool</Manager>
  <Company>Unión Internacional de Telecomunicaciones (UIT)</Company>
  <LinksUpToDate>false</LinksUpToDate>
  <CharactersWithSpaces>2294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R15-WRC15-C-0051!!MSW-S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2015-10-27T14:04:00Z</cp:lastPrinted>
  <dcterms:created xsi:type="dcterms:W3CDTF">2015-10-27T18:08:00Z</dcterms:created>
  <dcterms:modified xsi:type="dcterms:W3CDTF">2015-10-27T18:50:00Z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