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127EFC" w:rsidRDefault="005D46FB" w:rsidP="00E07BB6">
            <w:pPr>
              <w:spacing w:before="400" w:after="48"/>
              <w:rPr>
                <w:rFonts w:ascii="Verdana" w:hAnsi="Verdana"/>
                <w:position w:val="6"/>
              </w:rPr>
            </w:pPr>
            <w:bookmarkStart w:id="0" w:name="_GoBack"/>
            <w:bookmarkEnd w:id="0"/>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E07BB6">
            <w:pPr>
              <w:spacing w:before="0"/>
              <w:jc w:val="right"/>
              <w:rPr>
                <w:lang w:val="en-US"/>
              </w:rPr>
            </w:pPr>
            <w:bookmarkStart w:id="1" w:name="ditulogo"/>
            <w:bookmarkEnd w:id="1"/>
            <w:r>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E07BB6">
            <w:pPr>
              <w:spacing w:before="0" w:after="48"/>
              <w:rPr>
                <w:b/>
                <w:smallCaps/>
                <w:szCs w:val="24"/>
                <w:lang w:val="en-US"/>
              </w:rPr>
            </w:pPr>
            <w:bookmarkStart w:id="2"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E07BB6">
            <w:pPr>
              <w:spacing w:before="0"/>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E07BB6">
            <w:pPr>
              <w:spacing w:before="0" w:after="48"/>
              <w:rPr>
                <w:rFonts w:ascii="Verdana" w:hAnsi="Verdana"/>
                <w:b/>
                <w:smallCaps/>
                <w:sz w:val="20"/>
                <w:lang w:val="en-US"/>
              </w:rPr>
            </w:pPr>
          </w:p>
        </w:tc>
        <w:tc>
          <w:tcPr>
            <w:tcW w:w="3120" w:type="dxa"/>
            <w:tcBorders>
              <w:top w:val="single" w:sz="12" w:space="0" w:color="auto"/>
            </w:tcBorders>
          </w:tcPr>
          <w:p w:rsidR="0090121B" w:rsidRPr="0002785D" w:rsidRDefault="0090121B" w:rsidP="00E07BB6">
            <w:pPr>
              <w:spacing w:before="0"/>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E07BB6">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E07BB6">
            <w:pPr>
              <w:spacing w:before="0"/>
              <w:rPr>
                <w:rFonts w:ascii="Verdana" w:hAnsi="Verdana"/>
                <w:sz w:val="20"/>
                <w:lang w:val="en-US"/>
              </w:rPr>
            </w:pPr>
            <w:r>
              <w:rPr>
                <w:rFonts w:ascii="Verdana" w:eastAsia="SimSun" w:hAnsi="Verdana" w:cs="Traditional Arabic"/>
                <w:b/>
                <w:sz w:val="20"/>
                <w:lang w:val="en-US"/>
              </w:rPr>
              <w:t>Documento 49</w:t>
            </w:r>
            <w:r w:rsidR="0090121B" w:rsidRPr="0002785D">
              <w:rPr>
                <w:rFonts w:ascii="Verdana" w:hAnsi="Verdana"/>
                <w:b/>
                <w:sz w:val="20"/>
                <w:lang w:val="en-US"/>
              </w:rPr>
              <w:t>-</w:t>
            </w:r>
            <w:r w:rsidRPr="0002785D">
              <w:rPr>
                <w:rFonts w:ascii="Verdana" w:hAnsi="Verdana"/>
                <w:b/>
                <w:sz w:val="20"/>
                <w:lang w:val="en-US"/>
              </w:rPr>
              <w:t>S</w:t>
            </w:r>
          </w:p>
        </w:tc>
      </w:tr>
      <w:bookmarkEnd w:id="2"/>
      <w:tr w:rsidR="000A5B9A" w:rsidRPr="0002785D" w:rsidTr="0090121B">
        <w:trPr>
          <w:cantSplit/>
        </w:trPr>
        <w:tc>
          <w:tcPr>
            <w:tcW w:w="6911" w:type="dxa"/>
            <w:shd w:val="clear" w:color="auto" w:fill="auto"/>
          </w:tcPr>
          <w:p w:rsidR="000A5B9A" w:rsidRPr="0002785D" w:rsidRDefault="000A5B9A" w:rsidP="00E07BB6">
            <w:pPr>
              <w:spacing w:before="0" w:after="48"/>
              <w:rPr>
                <w:rFonts w:ascii="Verdana" w:hAnsi="Verdana"/>
                <w:b/>
                <w:smallCaps/>
                <w:sz w:val="20"/>
                <w:lang w:val="en-US"/>
              </w:rPr>
            </w:pPr>
          </w:p>
        </w:tc>
        <w:tc>
          <w:tcPr>
            <w:tcW w:w="3120" w:type="dxa"/>
            <w:shd w:val="clear" w:color="auto" w:fill="auto"/>
          </w:tcPr>
          <w:p w:rsidR="000A5B9A" w:rsidRPr="0002785D" w:rsidRDefault="000A5B9A" w:rsidP="00E07BB6">
            <w:pPr>
              <w:spacing w:before="0"/>
              <w:rPr>
                <w:rFonts w:ascii="Verdana" w:hAnsi="Verdana"/>
                <w:b/>
                <w:sz w:val="20"/>
                <w:lang w:val="en-US"/>
              </w:rPr>
            </w:pPr>
            <w:r w:rsidRPr="0002785D">
              <w:rPr>
                <w:rFonts w:ascii="Verdana" w:hAnsi="Verdana"/>
                <w:b/>
                <w:sz w:val="20"/>
                <w:lang w:val="en-US"/>
              </w:rPr>
              <w:t>8 de octubre de 2015</w:t>
            </w:r>
          </w:p>
        </w:tc>
      </w:tr>
      <w:tr w:rsidR="000A5B9A" w:rsidRPr="0002785D" w:rsidTr="0090121B">
        <w:trPr>
          <w:cantSplit/>
        </w:trPr>
        <w:tc>
          <w:tcPr>
            <w:tcW w:w="6911" w:type="dxa"/>
          </w:tcPr>
          <w:p w:rsidR="000A5B9A" w:rsidRPr="0002785D" w:rsidRDefault="000A5B9A" w:rsidP="00E07BB6">
            <w:pPr>
              <w:spacing w:before="0" w:after="48"/>
              <w:rPr>
                <w:rFonts w:ascii="Verdana" w:hAnsi="Verdana"/>
                <w:b/>
                <w:smallCaps/>
                <w:sz w:val="20"/>
                <w:lang w:val="en-US"/>
              </w:rPr>
            </w:pPr>
          </w:p>
        </w:tc>
        <w:tc>
          <w:tcPr>
            <w:tcW w:w="3120" w:type="dxa"/>
          </w:tcPr>
          <w:p w:rsidR="000A5B9A" w:rsidRPr="0002785D" w:rsidRDefault="000A5B9A" w:rsidP="00E07BB6">
            <w:pPr>
              <w:spacing w:before="0"/>
              <w:rPr>
                <w:rFonts w:ascii="Verdana" w:hAnsi="Verdana"/>
                <w:b/>
                <w:sz w:val="20"/>
                <w:lang w:val="en-US"/>
              </w:rPr>
            </w:pPr>
            <w:r w:rsidRPr="0002785D">
              <w:rPr>
                <w:rFonts w:ascii="Verdana" w:hAnsi="Verdana"/>
                <w:b/>
                <w:sz w:val="20"/>
                <w:lang w:val="en-US"/>
              </w:rPr>
              <w:t>Original: árabe</w:t>
            </w:r>
          </w:p>
        </w:tc>
      </w:tr>
      <w:tr w:rsidR="000A5B9A" w:rsidRPr="0002785D" w:rsidTr="006744FC">
        <w:trPr>
          <w:cantSplit/>
        </w:trPr>
        <w:tc>
          <w:tcPr>
            <w:tcW w:w="10031" w:type="dxa"/>
            <w:gridSpan w:val="2"/>
          </w:tcPr>
          <w:p w:rsidR="000A5B9A" w:rsidRPr="0002785D" w:rsidRDefault="000A5B9A" w:rsidP="00E07BB6">
            <w:pPr>
              <w:spacing w:before="0"/>
              <w:rPr>
                <w:rFonts w:ascii="Verdana" w:hAnsi="Verdana"/>
                <w:b/>
                <w:sz w:val="20"/>
                <w:lang w:val="en-US"/>
              </w:rPr>
            </w:pPr>
          </w:p>
        </w:tc>
      </w:tr>
      <w:tr w:rsidR="000A5B9A" w:rsidRPr="0002785D" w:rsidTr="0050008E">
        <w:trPr>
          <w:cantSplit/>
        </w:trPr>
        <w:tc>
          <w:tcPr>
            <w:tcW w:w="10031" w:type="dxa"/>
            <w:gridSpan w:val="2"/>
          </w:tcPr>
          <w:p w:rsidR="000A5B9A" w:rsidRPr="00127EFC" w:rsidRDefault="000A5B9A" w:rsidP="00E07BB6">
            <w:pPr>
              <w:pStyle w:val="Source"/>
            </w:pPr>
            <w:bookmarkStart w:id="3" w:name="dsource" w:colFirst="0" w:colLast="0"/>
            <w:r w:rsidRPr="00127EFC">
              <w:t>Argelia (República Argelina Democrática y Popular)/</w:t>
            </w:r>
            <w:r w:rsidR="00527C9A">
              <w:br/>
            </w:r>
            <w:r w:rsidRPr="00127EFC">
              <w:t>Djibouti (República de)/Egipto (República Árabe de)/</w:t>
            </w:r>
            <w:r w:rsidR="00527C9A">
              <w:br/>
            </w:r>
            <w:r w:rsidRPr="00127EFC">
              <w:t>Líbano/Sudán (República del)/Túnez</w:t>
            </w:r>
          </w:p>
        </w:tc>
      </w:tr>
      <w:tr w:rsidR="000A5B9A" w:rsidRPr="0002785D" w:rsidTr="0050008E">
        <w:trPr>
          <w:cantSplit/>
        </w:trPr>
        <w:tc>
          <w:tcPr>
            <w:tcW w:w="10031" w:type="dxa"/>
            <w:gridSpan w:val="2"/>
          </w:tcPr>
          <w:p w:rsidR="000A5B9A" w:rsidRPr="001F4A3A" w:rsidRDefault="000A5B9A" w:rsidP="00E07BB6">
            <w:pPr>
              <w:pStyle w:val="Title1"/>
            </w:pPr>
            <w:bookmarkStart w:id="4" w:name="dtitle1" w:colFirst="0" w:colLast="0"/>
            <w:bookmarkEnd w:id="3"/>
          </w:p>
        </w:tc>
      </w:tr>
      <w:tr w:rsidR="000A5B9A" w:rsidRPr="0002785D" w:rsidTr="0050008E">
        <w:trPr>
          <w:cantSplit/>
        </w:trPr>
        <w:tc>
          <w:tcPr>
            <w:tcW w:w="10031" w:type="dxa"/>
            <w:gridSpan w:val="2"/>
          </w:tcPr>
          <w:p w:rsidR="000A5B9A" w:rsidRPr="00127EFC" w:rsidRDefault="00127EFC" w:rsidP="00E07BB6">
            <w:pPr>
              <w:pStyle w:val="Title2"/>
            </w:pPr>
            <w:bookmarkStart w:id="5" w:name="dtitle2" w:colFirst="0" w:colLast="0"/>
            <w:bookmarkEnd w:id="4"/>
            <w:r w:rsidRPr="00127EFC">
              <w:t>propuestas para los trabajos de la conferencia</w:t>
            </w:r>
          </w:p>
        </w:tc>
      </w:tr>
      <w:tr w:rsidR="000A5B9A" w:rsidTr="0050008E">
        <w:trPr>
          <w:cantSplit/>
        </w:trPr>
        <w:tc>
          <w:tcPr>
            <w:tcW w:w="10031" w:type="dxa"/>
            <w:gridSpan w:val="2"/>
          </w:tcPr>
          <w:p w:rsidR="000A5B9A" w:rsidRDefault="000A5B9A" w:rsidP="00E07BB6">
            <w:pPr>
              <w:pStyle w:val="Agendaitem"/>
            </w:pPr>
            <w:bookmarkStart w:id="6" w:name="dtitle3" w:colFirst="0" w:colLast="0"/>
            <w:bookmarkEnd w:id="5"/>
            <w:r w:rsidRPr="00AE658F">
              <w:t>Punto 1.11 del orden del día</w:t>
            </w:r>
          </w:p>
        </w:tc>
      </w:tr>
    </w:tbl>
    <w:bookmarkEnd w:id="6"/>
    <w:p w:rsidR="001C0E40" w:rsidRDefault="00314568" w:rsidP="00E07BB6">
      <w:r w:rsidRPr="00211854">
        <w:t>1.11</w:t>
      </w:r>
      <w:r w:rsidRPr="00211854">
        <w:tab/>
        <w:t xml:space="preserve">considerar la posibilidad de efectuar una atribución a título primario al servicio de exploración de la Tierra por satélite (Tierra-espacio) en la gama 7-8 GHz, de conformidad con la Resolución </w:t>
      </w:r>
      <w:r w:rsidRPr="00211854">
        <w:rPr>
          <w:b/>
          <w:bCs/>
        </w:rPr>
        <w:t>650 (CMR-12)</w:t>
      </w:r>
      <w:r w:rsidRPr="00211854">
        <w:t>;</w:t>
      </w:r>
    </w:p>
    <w:p w:rsidR="009C51BD" w:rsidRDefault="009C51BD" w:rsidP="00E07BB6">
      <w:pPr>
        <w:pStyle w:val="Headingb"/>
      </w:pPr>
    </w:p>
    <w:p w:rsidR="001F4A3A" w:rsidRPr="007A7AFA" w:rsidRDefault="001F4A3A" w:rsidP="00E07BB6">
      <w:pPr>
        <w:pStyle w:val="Headingb"/>
      </w:pPr>
      <w:r>
        <w:t>Introducción</w:t>
      </w:r>
    </w:p>
    <w:p w:rsidR="00E02BA9" w:rsidRPr="00982527" w:rsidRDefault="0076459A" w:rsidP="00982527">
      <w:r w:rsidRPr="00982527">
        <w:t xml:space="preserve">En la Resolución </w:t>
      </w:r>
      <w:r w:rsidRPr="00982527">
        <w:rPr>
          <w:color w:val="000000"/>
        </w:rPr>
        <w:t>650 </w:t>
      </w:r>
      <w:r w:rsidRPr="00982527">
        <w:t>(CMR-12) se invita al UIT-R a estudiar las necesidades de espectro en la gama de frecuencias 7-8 GHz para operaciones de telemando del SETS (Tierra-espacio) con el fin de complementar las operaciones de telemedida del SETS (espacio-Tierra) en la banda de frecuencias 8 025</w:t>
      </w:r>
      <w:r w:rsidRPr="00982527">
        <w:noBreakHyphen/>
        <w:t>8 400 MHz, y a realizar estudios de la compatibilidad entre los sistemas del SETS (Tierra-espacio) y los servicios existentes, con carácter prioritario en la banda de frecuencias 7</w:t>
      </w:r>
      <w:r w:rsidR="00E07BB6" w:rsidRPr="00982527">
        <w:t> </w:t>
      </w:r>
      <w:r w:rsidRPr="00982527">
        <w:t>145-7</w:t>
      </w:r>
      <w:r w:rsidR="00E07BB6" w:rsidRPr="00982527">
        <w:t> </w:t>
      </w:r>
      <w:r w:rsidRPr="00982527">
        <w:t xml:space="preserve">235 MHz y luego en otras partes de la gama de frecuencias 7-8 GHz, en caso de que la banda de frecuencias 7 145-7 235 MHz no se considerase adecuada. </w:t>
      </w:r>
    </w:p>
    <w:p w:rsidR="0076459A" w:rsidRPr="00982527" w:rsidRDefault="0076459A" w:rsidP="00982527">
      <w:r w:rsidRPr="00982527">
        <w:t>Según los estudios de requisitos de espectro realizados para el SETS, las necesidades de ancho de banda de espectro del sistema SETS oscilan entre 38 y 56 MHz. El espectro de 38 MHz</w:t>
      </w:r>
      <w:r w:rsidR="00E02BA9" w:rsidRPr="00982527">
        <w:t xml:space="preserve"> se requiere</w:t>
      </w:r>
      <w:r w:rsidRPr="00982527">
        <w:t xml:space="preserve"> en el caso en que la atribución se efectúe en bandas de frecuencias no compartidas con otros servicios espaciales, mientras que el espectro requerido de 56 MHz corresponde al caso en que la atribución se efectúe en bandas compartidas con otros servicios espaciales (como la banda de frecuencias 7 190-7 235 MHz).</w:t>
      </w:r>
    </w:p>
    <w:p w:rsidR="00884E17" w:rsidRPr="00E46D2E" w:rsidRDefault="00884E17" w:rsidP="00982527">
      <w:r w:rsidRPr="00982527">
        <w:t>A raíz de los resultados de los estudios del UIT-R, los signatarios proponen que no se realice ninguna modificación al Reglamento de Radiocomunicaciones.</w:t>
      </w:r>
    </w:p>
    <w:p w:rsidR="00884E17" w:rsidRDefault="00884E17" w:rsidP="00E07BB6"/>
    <w:p w:rsidR="00E425E7" w:rsidRDefault="00E425E7" w:rsidP="00E425E7">
      <w:pPr>
        <w:pStyle w:val="Headingb"/>
      </w:pPr>
      <w:r>
        <w:rPr>
          <w:lang w:val="en-GB"/>
        </w:rPr>
        <w:lastRenderedPageBreak/>
        <w:t>Propuestas</w:t>
      </w:r>
    </w:p>
    <w:p w:rsidR="00842156" w:rsidRPr="00527C9A" w:rsidRDefault="00314568" w:rsidP="00E07BB6">
      <w:pPr>
        <w:pStyle w:val="Proposal"/>
        <w:rPr>
          <w:lang w:val="de-CH"/>
        </w:rPr>
      </w:pPr>
      <w:r w:rsidRPr="00527C9A">
        <w:rPr>
          <w:u w:val="single"/>
          <w:lang w:val="de-CH"/>
        </w:rPr>
        <w:t>NOC</w:t>
      </w:r>
      <w:r w:rsidRPr="00527C9A">
        <w:rPr>
          <w:lang w:val="de-CH"/>
        </w:rPr>
        <w:tab/>
        <w:t>ALG/DJI/EGY/LBN/SDN/TUN/49/1</w:t>
      </w:r>
    </w:p>
    <w:p w:rsidR="00F008F3" w:rsidRPr="00245062" w:rsidRDefault="00314568" w:rsidP="00E07BB6">
      <w:pPr>
        <w:pStyle w:val="ArtNo"/>
      </w:pPr>
      <w:r w:rsidRPr="00245062">
        <w:t xml:space="preserve">ARTÍCULO </w:t>
      </w:r>
      <w:r w:rsidRPr="00245062">
        <w:rPr>
          <w:rStyle w:val="href"/>
        </w:rPr>
        <w:t>5</w:t>
      </w:r>
    </w:p>
    <w:p w:rsidR="00F008F3" w:rsidRPr="00F63BD5" w:rsidRDefault="00314568" w:rsidP="00E07BB6">
      <w:pPr>
        <w:pStyle w:val="Arttitle"/>
      </w:pPr>
      <w:r w:rsidRPr="00245062">
        <w:t>Atribuciones de frecuencia</w:t>
      </w:r>
    </w:p>
    <w:p w:rsidR="00842156" w:rsidRDefault="00842156" w:rsidP="00E425E7">
      <w:pPr>
        <w:pStyle w:val="Reasons"/>
        <w:jc w:val="both"/>
      </w:pPr>
    </w:p>
    <w:p w:rsidR="00842156" w:rsidRDefault="00314568" w:rsidP="00E07BB6">
      <w:pPr>
        <w:pStyle w:val="Proposal"/>
      </w:pPr>
      <w:r>
        <w:t>SUP</w:t>
      </w:r>
      <w:r>
        <w:tab/>
        <w:t>ALG/DJI/EGY/LBN/SDN/TUN/49/2</w:t>
      </w:r>
    </w:p>
    <w:p w:rsidR="00954CD7" w:rsidRPr="00D14182" w:rsidRDefault="00314568" w:rsidP="00E07BB6">
      <w:pPr>
        <w:pStyle w:val="ResNo"/>
      </w:pPr>
      <w:bookmarkStart w:id="7" w:name="_Toc328141440"/>
      <w:r w:rsidRPr="00D14182">
        <w:t xml:space="preserve">RESOLUCIÓN </w:t>
      </w:r>
      <w:r w:rsidRPr="00D14182">
        <w:rPr>
          <w:rStyle w:val="href"/>
        </w:rPr>
        <w:t>650</w:t>
      </w:r>
      <w:r w:rsidRPr="00D14182">
        <w:t xml:space="preserve"> (CMR-12)</w:t>
      </w:r>
      <w:bookmarkEnd w:id="7"/>
    </w:p>
    <w:p w:rsidR="00954CD7" w:rsidRDefault="00314568" w:rsidP="00E07BB6">
      <w:pPr>
        <w:pStyle w:val="Restitle"/>
      </w:pPr>
      <w:bookmarkStart w:id="8" w:name="_Toc328141441"/>
      <w:r w:rsidRPr="00D14182">
        <w:t xml:space="preserve">Atribución al servicio de exploración de la Tierra por satélite </w:t>
      </w:r>
      <w:r w:rsidRPr="00D14182">
        <w:br/>
        <w:t>(Tierra-espacio) en la gama 7</w:t>
      </w:r>
      <w:r w:rsidRPr="00D14182">
        <w:noBreakHyphen/>
        <w:t>8 GHz</w:t>
      </w:r>
      <w:bookmarkEnd w:id="8"/>
      <w:r w:rsidRPr="00D14182">
        <w:t xml:space="preserve"> </w:t>
      </w:r>
    </w:p>
    <w:p w:rsidR="00B67B89" w:rsidRPr="00B67B89" w:rsidRDefault="00B67B89" w:rsidP="00E07BB6">
      <w:pPr>
        <w:pStyle w:val="Resref"/>
      </w:pPr>
    </w:p>
    <w:p w:rsidR="00FE4AFD" w:rsidRDefault="00314568" w:rsidP="00E07BB6">
      <w:pPr>
        <w:pStyle w:val="Reasons"/>
      </w:pPr>
      <w:r>
        <w:rPr>
          <w:b/>
        </w:rPr>
        <w:t>Motivos:</w:t>
      </w:r>
      <w:r>
        <w:tab/>
      </w:r>
    </w:p>
    <w:p w:rsidR="00842156" w:rsidRDefault="00E425E7" w:rsidP="00E425E7">
      <w:pPr>
        <w:pStyle w:val="enumlev1"/>
      </w:pPr>
      <w:r w:rsidRPr="00C538AB">
        <w:t>−</w:t>
      </w:r>
      <w:r>
        <w:tab/>
      </w:r>
      <w:r w:rsidR="00B67B89" w:rsidRPr="00E46D2E">
        <w:t xml:space="preserve">La frecuente utilización de determinados servicios radioeléctricos en las bandas de frecuencias de </w:t>
      </w:r>
      <w:r w:rsidR="00E02BA9">
        <w:t>7</w:t>
      </w:r>
      <w:r w:rsidR="00B67B89" w:rsidRPr="00E46D2E">
        <w:t>-</w:t>
      </w:r>
      <w:r w:rsidR="00E02BA9">
        <w:t>8</w:t>
      </w:r>
      <w:r w:rsidR="00B67B89" w:rsidRPr="00E46D2E">
        <w:t xml:space="preserve"> GHz, que han de protegerse y que no deben ser afectadas, debido a la sensibilidad de su utilización por los Estados signatarios del presente documento.</w:t>
      </w:r>
    </w:p>
    <w:p w:rsidR="00FE4AFD" w:rsidRDefault="00E425E7" w:rsidP="00E425E7">
      <w:pPr>
        <w:pStyle w:val="enumlev1"/>
      </w:pPr>
      <w:r w:rsidRPr="00C538AB">
        <w:t>−</w:t>
      </w:r>
      <w:r>
        <w:tab/>
      </w:r>
      <w:r w:rsidR="00FE4AFD">
        <w:t xml:space="preserve">Las </w:t>
      </w:r>
      <w:r w:rsidR="007C50E9">
        <w:t>A</w:t>
      </w:r>
      <w:r w:rsidR="00FE4AFD">
        <w:t>dministraciones signatarias de este documento consideran que sus fronteras contiguas compartidas con estados limítrofes y las grandes distancias de coordinación requeridas para proteger el SF impedirán el funcionamiento de muchas estaciones del SF y las expondrá</w:t>
      </w:r>
      <w:r w:rsidR="007C50E9">
        <w:t>n</w:t>
      </w:r>
      <w:r w:rsidR="00FE4AFD">
        <w:t xml:space="preserve"> a interferencia en el caso de que funcionen.  </w:t>
      </w:r>
    </w:p>
    <w:p w:rsidR="00B67B89" w:rsidRPr="00E46D2E" w:rsidRDefault="00E425E7" w:rsidP="00E425E7">
      <w:pPr>
        <w:pStyle w:val="enumlev1"/>
      </w:pPr>
      <w:r w:rsidRPr="00C538AB">
        <w:t>−</w:t>
      </w:r>
      <w:r>
        <w:tab/>
      </w:r>
      <w:r w:rsidR="00B67B89" w:rsidRPr="00E46D2E">
        <w:t xml:space="preserve">Las Administraciones signatarias del presente documento opinan que los estudios sobre las repercusiones del servicio de exploración de la Tierra por satélite en los sistemas que funcionan en el servicio móvil son inapropiados. Por otro lado, ello podría afectar a la utilización del servicio móvil en el futuro en esta banda de frecuencias, en particular si </w:t>
      </w:r>
      <w:r w:rsidR="007C50E9">
        <w:t xml:space="preserve">se </w:t>
      </w:r>
      <w:r w:rsidR="00B67B89" w:rsidRPr="00E46D2E">
        <w:t>destina a las IMT.</w:t>
      </w:r>
    </w:p>
    <w:p w:rsidR="00CE0B31" w:rsidRDefault="00CE0B31" w:rsidP="0032202E">
      <w:pPr>
        <w:pStyle w:val="Reasons"/>
      </w:pPr>
    </w:p>
    <w:p w:rsidR="00E425E7" w:rsidRDefault="00E425E7" w:rsidP="0032202E">
      <w:pPr>
        <w:pStyle w:val="Reasons"/>
      </w:pPr>
    </w:p>
    <w:p w:rsidR="00B67B89" w:rsidRDefault="00CE0B31" w:rsidP="00CE0B31">
      <w:pPr>
        <w:jc w:val="center"/>
      </w:pPr>
      <w:r>
        <w:t>______________</w:t>
      </w:r>
    </w:p>
    <w:sectPr w:rsidR="00B67B89">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7C50E9" w:rsidRDefault="0077084A">
    <w:pPr>
      <w:ind w:right="360"/>
    </w:pPr>
    <w:r>
      <w:fldChar w:fldCharType="begin"/>
    </w:r>
    <w:r w:rsidRPr="007C50E9">
      <w:instrText xml:space="preserve"> FILENAME \p  \* MERGEFORMAT </w:instrText>
    </w:r>
    <w:r>
      <w:fldChar w:fldCharType="separate"/>
    </w:r>
    <w:r w:rsidR="008D1C79">
      <w:rPr>
        <w:noProof/>
      </w:rPr>
      <w:t>P:\ESP\ITU-R\CONF-R\CMR15\000\049S.docx</w:t>
    </w:r>
    <w:r>
      <w:fldChar w:fldCharType="end"/>
    </w:r>
    <w:r w:rsidRPr="007C50E9">
      <w:tab/>
    </w:r>
    <w:r>
      <w:fldChar w:fldCharType="begin"/>
    </w:r>
    <w:r>
      <w:instrText xml:space="preserve"> SAVEDATE \@ DD.MM.YY </w:instrText>
    </w:r>
    <w:r>
      <w:fldChar w:fldCharType="separate"/>
    </w:r>
    <w:r w:rsidR="008D1C79">
      <w:rPr>
        <w:noProof/>
      </w:rPr>
      <w:t>29.10.15</w:t>
    </w:r>
    <w:r>
      <w:fldChar w:fldCharType="end"/>
    </w:r>
    <w:r w:rsidRPr="007C50E9">
      <w:tab/>
    </w:r>
    <w:r>
      <w:fldChar w:fldCharType="begin"/>
    </w:r>
    <w:r>
      <w:instrText xml:space="preserve"> PRINTDATE \@ DD.MM.YY </w:instrText>
    </w:r>
    <w:r>
      <w:fldChar w:fldCharType="separate"/>
    </w:r>
    <w:r w:rsidR="008D1C79">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9C51BD" w:rsidRDefault="009C51BD" w:rsidP="009C51BD">
    <w:pPr>
      <w:pStyle w:val="Footer"/>
      <w:rPr>
        <w:lang w:val="en-US"/>
      </w:rPr>
    </w:pPr>
    <w:r>
      <w:fldChar w:fldCharType="begin"/>
    </w:r>
    <w:r w:rsidRPr="0076459A">
      <w:rPr>
        <w:lang w:val="en-US"/>
      </w:rPr>
      <w:instrText xml:space="preserve"> FILENAME \p  \* MERGEFORMAT </w:instrText>
    </w:r>
    <w:r>
      <w:fldChar w:fldCharType="separate"/>
    </w:r>
    <w:r w:rsidR="008D1C79">
      <w:rPr>
        <w:lang w:val="en-US"/>
      </w:rPr>
      <w:t>P:\ESP\ITU-R\CONF-R\CMR15\000\049S.docx</w:t>
    </w:r>
    <w:r>
      <w:fldChar w:fldCharType="end"/>
    </w:r>
    <w:r>
      <w:t xml:space="preserve"> (387823)</w:t>
    </w:r>
    <w:r w:rsidRPr="0076459A">
      <w:rPr>
        <w:lang w:val="en-US"/>
      </w:rPr>
      <w:tab/>
    </w:r>
    <w:r>
      <w:fldChar w:fldCharType="begin"/>
    </w:r>
    <w:r>
      <w:instrText xml:space="preserve"> SAVEDATE \@ DD.MM.YY </w:instrText>
    </w:r>
    <w:r>
      <w:fldChar w:fldCharType="separate"/>
    </w:r>
    <w:r w:rsidR="008D1C79">
      <w:t>29.10.15</w:t>
    </w:r>
    <w:r>
      <w:fldChar w:fldCharType="end"/>
    </w:r>
    <w:r w:rsidRPr="0076459A">
      <w:rPr>
        <w:lang w:val="en-US"/>
      </w:rPr>
      <w:tab/>
    </w:r>
    <w:r>
      <w:fldChar w:fldCharType="begin"/>
    </w:r>
    <w:r>
      <w:instrText xml:space="preserve"> PRINTDATE \@ DD.MM.YY </w:instrText>
    </w:r>
    <w:r>
      <w:fldChar w:fldCharType="separate"/>
    </w:r>
    <w:r w:rsidR="008D1C79">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6459A" w:rsidP="009C51BD">
    <w:pPr>
      <w:pStyle w:val="Footer"/>
      <w:rPr>
        <w:lang w:val="en-US"/>
      </w:rPr>
    </w:pPr>
    <w:r>
      <w:fldChar w:fldCharType="begin"/>
    </w:r>
    <w:r w:rsidRPr="0076459A">
      <w:rPr>
        <w:lang w:val="en-US"/>
      </w:rPr>
      <w:instrText xml:space="preserve"> FILENAME \p  \* MERGEFORMAT </w:instrText>
    </w:r>
    <w:r>
      <w:fldChar w:fldCharType="separate"/>
    </w:r>
    <w:r w:rsidR="008D1C79">
      <w:rPr>
        <w:lang w:val="en-US"/>
      </w:rPr>
      <w:t>P:\ESP\ITU-R\CONF-R\CMR15\000\049S.docx</w:t>
    </w:r>
    <w:r>
      <w:fldChar w:fldCharType="end"/>
    </w:r>
    <w:r w:rsidR="009C51BD">
      <w:t xml:space="preserve"> (387823)</w:t>
    </w:r>
    <w:r w:rsidRPr="0076459A">
      <w:rPr>
        <w:lang w:val="en-US"/>
      </w:rPr>
      <w:tab/>
    </w:r>
    <w:r>
      <w:fldChar w:fldCharType="begin"/>
    </w:r>
    <w:r>
      <w:instrText xml:space="preserve"> SAVEDATE \@ DD.MM.YY </w:instrText>
    </w:r>
    <w:r>
      <w:fldChar w:fldCharType="separate"/>
    </w:r>
    <w:r w:rsidR="008D1C79">
      <w:t>29.10.15</w:t>
    </w:r>
    <w:r>
      <w:fldChar w:fldCharType="end"/>
    </w:r>
    <w:r w:rsidRPr="0076459A">
      <w:rPr>
        <w:lang w:val="en-US"/>
      </w:rPr>
      <w:tab/>
    </w:r>
    <w:r>
      <w:fldChar w:fldCharType="begin"/>
    </w:r>
    <w:r>
      <w:instrText xml:space="preserve"> PRINTDATE \@ DD.MM.YY </w:instrText>
    </w:r>
    <w:r>
      <w:fldChar w:fldCharType="separate"/>
    </w:r>
    <w:r w:rsidR="008D1C79">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D1C79">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49-</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44E2C15"/>
    <w:multiLevelType w:val="hybridMultilevel"/>
    <w:tmpl w:val="67FCB62A"/>
    <w:lvl w:ilvl="0" w:tplc="4508D3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27EFC"/>
    <w:rsid w:val="0015142D"/>
    <w:rsid w:val="001616DC"/>
    <w:rsid w:val="00163962"/>
    <w:rsid w:val="00191A97"/>
    <w:rsid w:val="001A083F"/>
    <w:rsid w:val="001C41FA"/>
    <w:rsid w:val="001E2B52"/>
    <w:rsid w:val="001E3F27"/>
    <w:rsid w:val="001F3ED5"/>
    <w:rsid w:val="001F4A3A"/>
    <w:rsid w:val="00217DEF"/>
    <w:rsid w:val="00236D2A"/>
    <w:rsid w:val="00255F12"/>
    <w:rsid w:val="00262C09"/>
    <w:rsid w:val="00296FBA"/>
    <w:rsid w:val="002A08E0"/>
    <w:rsid w:val="002A791F"/>
    <w:rsid w:val="002C1B26"/>
    <w:rsid w:val="002C5D6C"/>
    <w:rsid w:val="002E701F"/>
    <w:rsid w:val="00314568"/>
    <w:rsid w:val="003248A9"/>
    <w:rsid w:val="00324FFA"/>
    <w:rsid w:val="0032680B"/>
    <w:rsid w:val="00363A65"/>
    <w:rsid w:val="003B1E8C"/>
    <w:rsid w:val="003C2508"/>
    <w:rsid w:val="003D0AA3"/>
    <w:rsid w:val="00440B3A"/>
    <w:rsid w:val="0045384C"/>
    <w:rsid w:val="00454553"/>
    <w:rsid w:val="004B124A"/>
    <w:rsid w:val="005133B5"/>
    <w:rsid w:val="00527C9A"/>
    <w:rsid w:val="00532097"/>
    <w:rsid w:val="005435E1"/>
    <w:rsid w:val="0058350F"/>
    <w:rsid w:val="00583C7E"/>
    <w:rsid w:val="005D46FB"/>
    <w:rsid w:val="005F2605"/>
    <w:rsid w:val="005F3B0E"/>
    <w:rsid w:val="005F559C"/>
    <w:rsid w:val="00662BA0"/>
    <w:rsid w:val="00692AAE"/>
    <w:rsid w:val="006D6E67"/>
    <w:rsid w:val="006E1A13"/>
    <w:rsid w:val="00701C20"/>
    <w:rsid w:val="00702F3D"/>
    <w:rsid w:val="0070518E"/>
    <w:rsid w:val="007315FE"/>
    <w:rsid w:val="007354E9"/>
    <w:rsid w:val="0076459A"/>
    <w:rsid w:val="00765578"/>
    <w:rsid w:val="0077084A"/>
    <w:rsid w:val="007952C7"/>
    <w:rsid w:val="007C0B95"/>
    <w:rsid w:val="007C2317"/>
    <w:rsid w:val="007C50E9"/>
    <w:rsid w:val="007D330A"/>
    <w:rsid w:val="00842156"/>
    <w:rsid w:val="00866AE6"/>
    <w:rsid w:val="008750A8"/>
    <w:rsid w:val="00884E17"/>
    <w:rsid w:val="008D1C79"/>
    <w:rsid w:val="008E5AF2"/>
    <w:rsid w:val="0090121B"/>
    <w:rsid w:val="009144C9"/>
    <w:rsid w:val="0094091F"/>
    <w:rsid w:val="00973754"/>
    <w:rsid w:val="00982527"/>
    <w:rsid w:val="009C0BED"/>
    <w:rsid w:val="009C51BD"/>
    <w:rsid w:val="009E11EC"/>
    <w:rsid w:val="00A118DB"/>
    <w:rsid w:val="00A4450C"/>
    <w:rsid w:val="00A74667"/>
    <w:rsid w:val="00AA5E6C"/>
    <w:rsid w:val="00AE5677"/>
    <w:rsid w:val="00AE658F"/>
    <w:rsid w:val="00AF2F78"/>
    <w:rsid w:val="00B239FA"/>
    <w:rsid w:val="00B52D55"/>
    <w:rsid w:val="00B67B89"/>
    <w:rsid w:val="00B8288C"/>
    <w:rsid w:val="00BE2E80"/>
    <w:rsid w:val="00BE5EDD"/>
    <w:rsid w:val="00BE6A1F"/>
    <w:rsid w:val="00C126C4"/>
    <w:rsid w:val="00C63EB5"/>
    <w:rsid w:val="00CC01E0"/>
    <w:rsid w:val="00CD5FEE"/>
    <w:rsid w:val="00CE0B31"/>
    <w:rsid w:val="00CE60D2"/>
    <w:rsid w:val="00CE7431"/>
    <w:rsid w:val="00D0288A"/>
    <w:rsid w:val="00D72A5D"/>
    <w:rsid w:val="00DC629B"/>
    <w:rsid w:val="00E02BA9"/>
    <w:rsid w:val="00E05BFF"/>
    <w:rsid w:val="00E07BB6"/>
    <w:rsid w:val="00E262F1"/>
    <w:rsid w:val="00E3176A"/>
    <w:rsid w:val="00E425E7"/>
    <w:rsid w:val="00E54754"/>
    <w:rsid w:val="00E56BD3"/>
    <w:rsid w:val="00E71D14"/>
    <w:rsid w:val="00F66597"/>
    <w:rsid w:val="00F675D0"/>
    <w:rsid w:val="00F8150C"/>
    <w:rsid w:val="00FE4574"/>
    <w:rsid w:val="00FE4A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ABEEAE0-800E-46FB-B0D5-D912807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R15-WRC15-C-0049!!MSW-S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D2809A1-94A3-43BB-AE86-6A84360F5475}">
  <ds:schemaRefs>
    <ds:schemaRef ds:uri="32a1a8c5-2265-4ebc-b7a0-2071e2c5c9b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792505-D213-440E-8969-742D0709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484</Words>
  <Characters>2665</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R15-WRC15-C-0049!!MSW-S</vt:lpstr>
    </vt:vector>
  </TitlesOfParts>
  <Manager>Secretaría General - Pool</Manager>
  <Company>Unión Internacional de Telecomunicaciones (UIT)</Company>
  <LinksUpToDate>false</LinksUpToDate>
  <CharactersWithSpaces>3129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R15-WRC15-C-0049!!MSW-S</dc:title>
  <dc:subject>Conferencia Mundial de Radiocomunicaciones - 2015</dc:subject>
  <dc:creator>Documents Proposals Manager (DPM)</dc:creator>
  <cp:keywords>DPM_v5.2015.10.230_prod</cp:keywords>
  <dc:description/>
  <cp:lastModifiedBy>Spanish</cp:lastModifiedBy>
  <cp:revision>10</cp:revision>
  <cp:lastPrinted>2015-10-29T12:53:00Z</cp:lastPrinted>
  <dcterms:created xsi:type="dcterms:W3CDTF">2015-10-29T11:03:00Z</dcterms:created>
  <dcterms:modified xsi:type="dcterms:W3CDTF">2015-10-29T12:53:00Z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