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C160A" w:rsidTr="0050008E">
        <w:trPr>
          <w:cantSplit/>
        </w:trPr>
        <w:tc>
          <w:tcPr>
            <w:tcW w:w="6911" w:type="dxa"/>
          </w:tcPr>
          <w:p w:rsidR="0090121B" w:rsidRPr="007C160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C160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C160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C160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C160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C160A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C160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C160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7C160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C160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C160A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C160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C160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C160A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C160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C160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C160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C160A">
              <w:rPr>
                <w:rFonts w:ascii="Verdana" w:eastAsia="SimSun" w:hAnsi="Verdana" w:cs="Traditional Arabic"/>
                <w:b/>
                <w:sz w:val="20"/>
              </w:rPr>
              <w:t>Documento 47</w:t>
            </w:r>
            <w:r w:rsidR="0090121B" w:rsidRPr="007C160A">
              <w:rPr>
                <w:rFonts w:ascii="Verdana" w:hAnsi="Verdana"/>
                <w:b/>
                <w:sz w:val="20"/>
              </w:rPr>
              <w:t>-</w:t>
            </w:r>
            <w:r w:rsidRPr="007C160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C160A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C16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C16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C160A">
              <w:rPr>
                <w:rFonts w:ascii="Verdana" w:hAnsi="Verdana"/>
                <w:b/>
                <w:sz w:val="20"/>
              </w:rPr>
              <w:t>8 de octubre de 2015</w:t>
            </w:r>
          </w:p>
        </w:tc>
      </w:tr>
      <w:tr w:rsidR="000A5B9A" w:rsidRPr="007C160A" w:rsidTr="0090121B">
        <w:trPr>
          <w:cantSplit/>
        </w:trPr>
        <w:tc>
          <w:tcPr>
            <w:tcW w:w="6911" w:type="dxa"/>
          </w:tcPr>
          <w:p w:rsidR="000A5B9A" w:rsidRPr="007C16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7C16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C160A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7C160A" w:rsidTr="006744FC">
        <w:trPr>
          <w:cantSplit/>
        </w:trPr>
        <w:tc>
          <w:tcPr>
            <w:tcW w:w="10031" w:type="dxa"/>
            <w:gridSpan w:val="2"/>
          </w:tcPr>
          <w:p w:rsidR="000A5B9A" w:rsidRPr="007C160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C160A" w:rsidTr="0050008E">
        <w:trPr>
          <w:cantSplit/>
        </w:trPr>
        <w:tc>
          <w:tcPr>
            <w:tcW w:w="10031" w:type="dxa"/>
            <w:gridSpan w:val="2"/>
          </w:tcPr>
          <w:p w:rsidR="000A5B9A" w:rsidRPr="007C160A" w:rsidRDefault="000A5B9A" w:rsidP="000A5B9A">
            <w:pPr>
              <w:pStyle w:val="Source"/>
            </w:pPr>
            <w:bookmarkStart w:id="2" w:name="dsource" w:colFirst="0" w:colLast="0"/>
            <w:r w:rsidRPr="007C160A">
              <w:t>Argelia (República Argelina Democrática y Popular)/Arabia Saudita (Reino de)/Egipto (República Árabe de)/Líbano/Sudán (República del)/Túnez</w:t>
            </w:r>
          </w:p>
        </w:tc>
      </w:tr>
      <w:tr w:rsidR="000A5B9A" w:rsidRPr="007C160A" w:rsidTr="0050008E">
        <w:trPr>
          <w:cantSplit/>
        </w:trPr>
        <w:tc>
          <w:tcPr>
            <w:tcW w:w="10031" w:type="dxa"/>
            <w:gridSpan w:val="2"/>
          </w:tcPr>
          <w:p w:rsidR="000A5B9A" w:rsidRPr="007C160A" w:rsidRDefault="005C4120" w:rsidP="000A5B9A">
            <w:pPr>
              <w:pStyle w:val="Title1"/>
            </w:pPr>
            <w:bookmarkStart w:id="3" w:name="dtitle1" w:colFirst="0" w:colLast="0"/>
            <w:bookmarkEnd w:id="2"/>
            <w:r w:rsidRPr="007C160A">
              <w:t>PROPUESTAS PARA LOS TRABAJOS DE LA CONFERENCIA</w:t>
            </w:r>
          </w:p>
        </w:tc>
      </w:tr>
      <w:tr w:rsidR="000A5B9A" w:rsidRPr="007C160A" w:rsidTr="0050008E">
        <w:trPr>
          <w:cantSplit/>
        </w:trPr>
        <w:tc>
          <w:tcPr>
            <w:tcW w:w="10031" w:type="dxa"/>
            <w:gridSpan w:val="2"/>
          </w:tcPr>
          <w:p w:rsidR="000A5B9A" w:rsidRPr="007C160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C160A" w:rsidTr="0050008E">
        <w:trPr>
          <w:cantSplit/>
        </w:trPr>
        <w:tc>
          <w:tcPr>
            <w:tcW w:w="10031" w:type="dxa"/>
            <w:gridSpan w:val="2"/>
          </w:tcPr>
          <w:p w:rsidR="000A5B9A" w:rsidRPr="007C160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C160A">
              <w:t>Punto 1.4 del orden del día</w:t>
            </w:r>
          </w:p>
        </w:tc>
      </w:tr>
    </w:tbl>
    <w:bookmarkEnd w:id="5"/>
    <w:p w:rsidR="001C0E40" w:rsidRPr="007C160A" w:rsidRDefault="007C160A" w:rsidP="00FF5A54">
      <w:r w:rsidRPr="007C160A">
        <w:t>1.4</w:t>
      </w:r>
      <w:r w:rsidRPr="007C160A">
        <w:tab/>
      </w:r>
      <w:r w:rsidRPr="007C160A">
        <w:t xml:space="preserve">considerar una posible nueva atribución a título secundario al servicio de aficionados en la banda 5 250-5 450 kHz, de conformidad con la Resolución </w:t>
      </w:r>
      <w:r w:rsidRPr="007C160A">
        <w:rPr>
          <w:b/>
          <w:bCs/>
        </w:rPr>
        <w:t>649 (CMR-12)</w:t>
      </w:r>
      <w:r w:rsidRPr="007C160A">
        <w:t>;</w:t>
      </w:r>
    </w:p>
    <w:p w:rsidR="00D75B62" w:rsidRPr="007C160A" w:rsidRDefault="00D75B62" w:rsidP="00FF5A54"/>
    <w:p w:rsidR="00BF4A0A" w:rsidRPr="007C160A" w:rsidRDefault="00BF4A0A" w:rsidP="00BF4A0A">
      <w:pPr>
        <w:pStyle w:val="Headingb"/>
      </w:pPr>
      <w:r w:rsidRPr="007C160A">
        <w:t>Introducción</w:t>
      </w:r>
    </w:p>
    <w:p w:rsidR="00BF4A0A" w:rsidRPr="007C160A" w:rsidRDefault="00BF4A0A" w:rsidP="00BF4A0A">
      <w:r w:rsidRPr="007C160A">
        <w:t xml:space="preserve">En la Resolución </w:t>
      </w:r>
      <w:r w:rsidRPr="007C160A">
        <w:rPr>
          <w:b/>
        </w:rPr>
        <w:t>649 (CMR-12)</w:t>
      </w:r>
      <w:r w:rsidRPr="007C160A">
        <w:t xml:space="preserve"> se invita a considerar, basándose en los estudios del UIT-R, la posibilidad de efectuar la atribución de una cantidad adecuada de espectro, no necesariamente contiguo, a título secundario al servicio de aficionados en la banda 5 250-5 450 kHz.</w:t>
      </w:r>
    </w:p>
    <w:p w:rsidR="00CB303F" w:rsidRPr="007C160A" w:rsidRDefault="00BF4A0A" w:rsidP="003E688B">
      <w:r w:rsidRPr="007C160A">
        <w:t>En el caso de la gama de frecuencias de 5</w:t>
      </w:r>
      <w:r w:rsidR="003E688B" w:rsidRPr="007C160A">
        <w:t> </w:t>
      </w:r>
      <w:r w:rsidRPr="007C160A">
        <w:t>250-5</w:t>
      </w:r>
      <w:r w:rsidR="003E688B" w:rsidRPr="007C160A">
        <w:t> </w:t>
      </w:r>
      <w:r w:rsidRPr="007C160A">
        <w:t>275 kHz, atribuida al servicio de radiolocalización</w:t>
      </w:r>
      <w:r w:rsidRPr="007C160A">
        <w:t xml:space="preserve"> </w:t>
      </w:r>
      <w:r w:rsidRPr="007C160A">
        <w:t>(SRL) para las aplicaciones oceanográficas, diversos estudios anteriores del UIT-R han hallado que</w:t>
      </w:r>
      <w:r w:rsidRPr="007C160A">
        <w:t xml:space="preserve"> </w:t>
      </w:r>
      <w:r w:rsidRPr="007C160A">
        <w:t>la compartición «parece ser difícil…». Por este motivo, no debería estudiarse una segunda</w:t>
      </w:r>
      <w:r w:rsidRPr="007C160A">
        <w:t xml:space="preserve"> </w:t>
      </w:r>
      <w:r w:rsidRPr="007C160A">
        <w:t>atribución al SAF dentro de la banda de frecuencias 5 250-5 275 kHz autorizada en la CMR-12</w:t>
      </w:r>
      <w:r w:rsidR="00CB303F" w:rsidRPr="007C160A">
        <w:t>.</w:t>
      </w:r>
    </w:p>
    <w:p w:rsidR="00BF4A0A" w:rsidRPr="007C160A" w:rsidRDefault="00BF4A0A" w:rsidP="003E688B">
      <w:r w:rsidRPr="007C160A">
        <w:t>Si fuera necesario, podrían imponerse restricciones relativas al funcionamiento de las estaciones de</w:t>
      </w:r>
      <w:r w:rsidRPr="007C160A">
        <w:t xml:space="preserve"> </w:t>
      </w:r>
      <w:r w:rsidRPr="007C160A">
        <w:t>aficionados, además de las ya existentes para los usuarios a título secundario, a fin de garantizar la</w:t>
      </w:r>
      <w:r w:rsidRPr="007C160A">
        <w:t xml:space="preserve"> </w:t>
      </w:r>
      <w:r w:rsidRPr="007C160A">
        <w:t>compatibilidad de las estaciones de aficionados con el SF y el SM</w:t>
      </w:r>
      <w:r w:rsidRPr="007C160A">
        <w:t>.</w:t>
      </w:r>
    </w:p>
    <w:p w:rsidR="00BF4A0A" w:rsidRPr="007C160A" w:rsidRDefault="00BF4A0A" w:rsidP="00BF4A0A">
      <w:pPr>
        <w:pStyle w:val="Headingb"/>
      </w:pPr>
      <w:r w:rsidRPr="007C160A">
        <w:t>Propuestas</w:t>
      </w:r>
    </w:p>
    <w:p w:rsidR="00BF4A0A" w:rsidRPr="007C160A" w:rsidRDefault="00BF4A0A" w:rsidP="00BF4A0A">
      <w:pPr>
        <w:pPrChange w:id="6" w:author="Lucas,Tracy" w:date="2015-10-19T11:34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7C160A">
        <w:t xml:space="preserve">Conforme a los resultados de los estudios del UIT-R relacionados con la Resolución </w:t>
      </w:r>
      <w:r w:rsidRPr="007C160A">
        <w:rPr>
          <w:b/>
        </w:rPr>
        <w:t>649 (CMR</w:t>
      </w:r>
      <w:r w:rsidR="00ED2846" w:rsidRPr="007C160A">
        <w:rPr>
          <w:b/>
        </w:rPr>
        <w:noBreakHyphen/>
      </w:r>
      <w:r w:rsidRPr="007C160A">
        <w:rPr>
          <w:b/>
        </w:rPr>
        <w:t>12)</w:t>
      </w:r>
      <w:r w:rsidRPr="007C160A">
        <w:rPr>
          <w:bCs/>
        </w:rPr>
        <w:t xml:space="preserve">, las partes signatarias proponen que no se apruebe una atribución de la banda </w:t>
      </w:r>
      <w:r w:rsidR="00AC54C0" w:rsidRPr="007C160A">
        <w:t>5 250</w:t>
      </w:r>
      <w:r w:rsidR="00AC54C0" w:rsidRPr="007C160A">
        <w:noBreakHyphen/>
      </w:r>
      <w:r w:rsidRPr="007C160A">
        <w:t>5 450 kHz al servicio de aficionados a título secundario.</w:t>
      </w:r>
    </w:p>
    <w:p w:rsidR="008750A8" w:rsidRPr="007C160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C160A">
        <w:br w:type="page"/>
      </w:r>
    </w:p>
    <w:p w:rsidR="00F008F3" w:rsidRPr="007C160A" w:rsidRDefault="007C160A" w:rsidP="00D44B91">
      <w:pPr>
        <w:pStyle w:val="ArtNo"/>
      </w:pPr>
      <w:r w:rsidRPr="007C160A">
        <w:lastRenderedPageBreak/>
        <w:t xml:space="preserve">ARTÍCULO </w:t>
      </w:r>
      <w:r w:rsidRPr="007C160A">
        <w:rPr>
          <w:rStyle w:val="href"/>
        </w:rPr>
        <w:t>5</w:t>
      </w:r>
    </w:p>
    <w:p w:rsidR="00F008F3" w:rsidRPr="007C160A" w:rsidRDefault="007C160A" w:rsidP="00D44B91">
      <w:pPr>
        <w:pStyle w:val="Arttitle"/>
      </w:pPr>
      <w:r w:rsidRPr="007C160A">
        <w:t>Atribuciones de frecuencia</w:t>
      </w:r>
    </w:p>
    <w:p w:rsidR="00F008F3" w:rsidRPr="007C160A" w:rsidRDefault="007C160A" w:rsidP="00417F4D">
      <w:pPr>
        <w:pStyle w:val="Section1"/>
      </w:pPr>
      <w:r w:rsidRPr="007C160A">
        <w:t xml:space="preserve">Sección IV – </w:t>
      </w:r>
      <w:r w:rsidRPr="007C160A">
        <w:t xml:space="preserve">Cuadro de atribución de bandas de </w:t>
      </w:r>
      <w:r w:rsidRPr="007C160A">
        <w:t>frecuencias</w:t>
      </w:r>
      <w:r w:rsidRPr="007C160A">
        <w:br/>
      </w:r>
      <w:r w:rsidRPr="007C160A">
        <w:rPr>
          <w:b w:val="0"/>
          <w:bCs/>
        </w:rPr>
        <w:t>(Véase el número</w:t>
      </w:r>
      <w:r w:rsidRPr="007C160A">
        <w:t xml:space="preserve"> </w:t>
      </w:r>
      <w:r w:rsidRPr="007C160A">
        <w:rPr>
          <w:rStyle w:val="Artref"/>
        </w:rPr>
        <w:t>2.1</w:t>
      </w:r>
      <w:r w:rsidRPr="007C160A">
        <w:rPr>
          <w:b w:val="0"/>
          <w:bCs/>
        </w:rPr>
        <w:t>)</w:t>
      </w:r>
      <w:r w:rsidR="009B5091" w:rsidRPr="007C160A">
        <w:rPr>
          <w:b w:val="0"/>
          <w:bCs/>
        </w:rPr>
        <w:br/>
      </w:r>
      <w:r w:rsidRPr="007C160A">
        <w:br/>
      </w:r>
    </w:p>
    <w:p w:rsidR="00774346" w:rsidRPr="007C160A" w:rsidRDefault="007C160A">
      <w:pPr>
        <w:pStyle w:val="Proposal"/>
      </w:pPr>
      <w:r w:rsidRPr="007C160A">
        <w:rPr>
          <w:u w:val="single"/>
        </w:rPr>
        <w:t>NOC</w:t>
      </w:r>
      <w:r w:rsidRPr="007C160A">
        <w:tab/>
        <w:t>ALG/ARS/EGY/LBN/SDN/TUN/47/1</w:t>
      </w:r>
    </w:p>
    <w:p w:rsidR="00F008F3" w:rsidRPr="007C160A" w:rsidRDefault="007C160A" w:rsidP="004D72B7">
      <w:pPr>
        <w:pStyle w:val="Tabletitle"/>
      </w:pPr>
      <w:r w:rsidRPr="007C160A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7C160A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7C160A" w:rsidRDefault="007C160A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7C160A">
              <w:rPr>
                <w:color w:val="000000"/>
              </w:rPr>
              <w:t>Atribución a los servicios</w:t>
            </w:r>
          </w:p>
        </w:tc>
      </w:tr>
      <w:tr w:rsidR="00F008F3" w:rsidRPr="007C160A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7C160A" w:rsidRDefault="007C160A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7C160A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7C160A" w:rsidRDefault="007C160A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7C160A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7C160A" w:rsidRDefault="007C160A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7C160A">
              <w:rPr>
                <w:color w:val="000000"/>
              </w:rPr>
              <w:t>Región 3</w:t>
            </w:r>
          </w:p>
        </w:tc>
      </w:tr>
      <w:tr w:rsidR="007A3E44" w:rsidRPr="007C160A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7C160A" w:rsidRDefault="007C160A" w:rsidP="007A3E44">
            <w:pPr>
              <w:pStyle w:val="TableTextS5"/>
              <w:rPr>
                <w:rStyle w:val="Tablefreq"/>
              </w:rPr>
            </w:pPr>
            <w:r w:rsidRPr="007C160A">
              <w:rPr>
                <w:rStyle w:val="Tablefreq"/>
              </w:rPr>
              <w:t>5 250-5 275</w:t>
            </w:r>
          </w:p>
          <w:p w:rsidR="007A3E44" w:rsidRPr="007C160A" w:rsidRDefault="007C160A" w:rsidP="007A3E44">
            <w:pPr>
              <w:pStyle w:val="TableTextS5"/>
              <w:rPr>
                <w:color w:val="000000"/>
              </w:rPr>
            </w:pPr>
            <w:r w:rsidRPr="007C160A">
              <w:rPr>
                <w:color w:val="000000"/>
              </w:rPr>
              <w:t>FIJO</w:t>
            </w:r>
          </w:p>
          <w:p w:rsidR="007A3E44" w:rsidRPr="007C160A" w:rsidRDefault="007C160A" w:rsidP="007A3E44">
            <w:pPr>
              <w:pStyle w:val="TableTextS5"/>
              <w:ind w:left="170" w:hanging="170"/>
              <w:rPr>
                <w:color w:val="000000"/>
              </w:rPr>
            </w:pPr>
            <w:r w:rsidRPr="007C160A">
              <w:rPr>
                <w:color w:val="000000"/>
              </w:rPr>
              <w:t>MÓVIL salvo móvil</w:t>
            </w:r>
            <w:r w:rsidRPr="007C160A">
              <w:rPr>
                <w:color w:val="000000"/>
              </w:rPr>
              <w:br/>
              <w:t>aeronáutico</w:t>
            </w:r>
          </w:p>
          <w:p w:rsidR="007A3E44" w:rsidRPr="007C160A" w:rsidRDefault="007C160A" w:rsidP="007A3E44">
            <w:pPr>
              <w:pStyle w:val="TableTextS5"/>
              <w:rPr>
                <w:color w:val="000000"/>
              </w:rPr>
            </w:pPr>
            <w:r w:rsidRPr="007C160A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7C160A" w:rsidRDefault="007C160A" w:rsidP="007A3E44">
            <w:pPr>
              <w:pStyle w:val="TableTextS5"/>
              <w:rPr>
                <w:rStyle w:val="Tablefreq"/>
              </w:rPr>
            </w:pPr>
            <w:r w:rsidRPr="007C160A">
              <w:rPr>
                <w:rStyle w:val="Tablefreq"/>
              </w:rPr>
              <w:t>5 250-5 275</w:t>
            </w:r>
          </w:p>
          <w:p w:rsidR="007A3E44" w:rsidRPr="007C160A" w:rsidRDefault="007C160A" w:rsidP="007A3E44">
            <w:pPr>
              <w:pStyle w:val="TableTextS5"/>
              <w:rPr>
                <w:color w:val="000000"/>
              </w:rPr>
            </w:pPr>
            <w:r w:rsidRPr="007C160A">
              <w:rPr>
                <w:color w:val="000000"/>
              </w:rPr>
              <w:t>FIJO</w:t>
            </w:r>
          </w:p>
          <w:p w:rsidR="007A3E44" w:rsidRPr="007C160A" w:rsidRDefault="007C160A" w:rsidP="007A3E44">
            <w:pPr>
              <w:pStyle w:val="TableTextS5"/>
              <w:ind w:left="173" w:hanging="173"/>
              <w:rPr>
                <w:color w:val="000000"/>
              </w:rPr>
            </w:pPr>
            <w:r w:rsidRPr="007C160A">
              <w:rPr>
                <w:color w:val="000000"/>
              </w:rPr>
              <w:t>MÓVIL salvo móvil</w:t>
            </w:r>
            <w:r w:rsidRPr="007C160A">
              <w:rPr>
                <w:color w:val="000000"/>
              </w:rPr>
              <w:br/>
              <w:t xml:space="preserve">aeronáutico </w:t>
            </w:r>
          </w:p>
          <w:p w:rsidR="007A3E44" w:rsidRPr="007C160A" w:rsidRDefault="007C160A" w:rsidP="007A3E44">
            <w:pPr>
              <w:pStyle w:val="TableTextS5"/>
              <w:rPr>
                <w:color w:val="000000"/>
              </w:rPr>
            </w:pPr>
            <w:r w:rsidRPr="007C160A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7C160A" w:rsidRDefault="007C160A" w:rsidP="007A3E44">
            <w:pPr>
              <w:pStyle w:val="TableTextS5"/>
              <w:rPr>
                <w:rStyle w:val="Tablefreq"/>
              </w:rPr>
            </w:pPr>
            <w:r w:rsidRPr="007C160A">
              <w:rPr>
                <w:rStyle w:val="Tablefreq"/>
              </w:rPr>
              <w:t>5 250-5 275</w:t>
            </w:r>
          </w:p>
          <w:p w:rsidR="007A3E44" w:rsidRPr="007C160A" w:rsidRDefault="007C160A" w:rsidP="007A3E44">
            <w:pPr>
              <w:pStyle w:val="TableTextS5"/>
              <w:rPr>
                <w:color w:val="000000"/>
              </w:rPr>
            </w:pPr>
            <w:r w:rsidRPr="007C160A">
              <w:rPr>
                <w:color w:val="000000"/>
              </w:rPr>
              <w:t>FIJO</w:t>
            </w:r>
          </w:p>
          <w:p w:rsidR="007A3E44" w:rsidRPr="007C160A" w:rsidRDefault="007C160A" w:rsidP="007A3E44">
            <w:pPr>
              <w:pStyle w:val="TableTextS5"/>
              <w:ind w:left="170" w:hanging="170"/>
              <w:rPr>
                <w:color w:val="000000"/>
              </w:rPr>
            </w:pPr>
            <w:r w:rsidRPr="007C160A">
              <w:rPr>
                <w:color w:val="000000"/>
              </w:rPr>
              <w:t>MÓVIL salvo móvil</w:t>
            </w:r>
            <w:r w:rsidRPr="007C160A">
              <w:rPr>
                <w:color w:val="000000"/>
              </w:rPr>
              <w:br/>
            </w:r>
            <w:r w:rsidRPr="007C160A">
              <w:rPr>
                <w:color w:val="000000"/>
              </w:rPr>
              <w:t>aeronáutico</w:t>
            </w:r>
          </w:p>
          <w:p w:rsidR="007A3E44" w:rsidRPr="007C160A" w:rsidRDefault="007C160A" w:rsidP="007A3E44">
            <w:pPr>
              <w:pStyle w:val="TableTextS5"/>
              <w:ind w:left="170" w:hanging="170"/>
              <w:rPr>
                <w:color w:val="000000"/>
              </w:rPr>
            </w:pPr>
            <w:r w:rsidRPr="007C160A">
              <w:rPr>
                <w:color w:val="000000"/>
              </w:rPr>
              <w:t>Radiolocalización  5.132A</w:t>
            </w:r>
          </w:p>
        </w:tc>
      </w:tr>
      <w:tr w:rsidR="00D33277" w:rsidRPr="007C160A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7C160A" w:rsidRDefault="007C160A" w:rsidP="00640906">
            <w:pPr>
              <w:pStyle w:val="TableTextS5"/>
              <w:rPr>
                <w:rStyle w:val="Tablefreq"/>
                <w:b w:val="0"/>
                <w:bCs/>
              </w:rPr>
            </w:pPr>
            <w:r w:rsidRPr="007C160A">
              <w:rPr>
                <w:b/>
                <w:bCs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7C160A" w:rsidRDefault="007C160A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7C160A" w:rsidRDefault="007C160A" w:rsidP="007A3E44">
            <w:pPr>
              <w:pStyle w:val="TableTextS5"/>
              <w:rPr>
                <w:rStyle w:val="Tablefreq"/>
              </w:rPr>
            </w:pPr>
          </w:p>
        </w:tc>
      </w:tr>
      <w:tr w:rsidR="007A3E44" w:rsidRPr="007C160A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7C160A" w:rsidRDefault="007C160A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7C160A">
              <w:rPr>
                <w:rStyle w:val="Tablefreq"/>
                <w:color w:val="000000"/>
              </w:rPr>
              <w:t>5 275-5 450</w:t>
            </w:r>
            <w:r w:rsidRPr="007C160A">
              <w:rPr>
                <w:color w:val="000000"/>
              </w:rPr>
              <w:tab/>
              <w:t>FIJO</w:t>
            </w:r>
          </w:p>
          <w:p w:rsidR="007A3E44" w:rsidRPr="007C160A" w:rsidRDefault="007C160A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7C160A">
              <w:rPr>
                <w:color w:val="000000"/>
              </w:rPr>
              <w:tab/>
            </w:r>
            <w:r w:rsidRPr="007C160A">
              <w:rPr>
                <w:color w:val="000000"/>
              </w:rPr>
              <w:tab/>
            </w:r>
            <w:r w:rsidRPr="007C160A">
              <w:rPr>
                <w:color w:val="000000"/>
              </w:rPr>
              <w:tab/>
            </w:r>
            <w:r w:rsidRPr="007C160A">
              <w:rPr>
                <w:color w:val="000000"/>
              </w:rPr>
              <w:tab/>
              <w:t>MÓVIL salvo móvil aeronáutico</w:t>
            </w:r>
          </w:p>
        </w:tc>
      </w:tr>
    </w:tbl>
    <w:p w:rsidR="00774346" w:rsidRPr="007C160A" w:rsidRDefault="007C160A">
      <w:pPr>
        <w:pStyle w:val="Reasons"/>
      </w:pPr>
      <w:r w:rsidRPr="007C160A">
        <w:rPr>
          <w:b/>
        </w:rPr>
        <w:t>Motivos:</w:t>
      </w:r>
      <w:r w:rsidRPr="007C160A">
        <w:tab/>
      </w:r>
      <w:r w:rsidR="00CA1CBF" w:rsidRPr="007C160A">
        <w:t>No introducir modificaciones en relación con la banda 5 250-5 450 kHz habida cuenta de la interferencia perjudicial que podría causar al SF y al SM la atribución propuesta al servicio de aficionados en esta banda, y del uso intensivo que hacen muchos países de esta banda para el SF y el SM.</w:t>
      </w:r>
    </w:p>
    <w:p w:rsidR="00CA1CBF" w:rsidRPr="007C160A" w:rsidRDefault="00CA1CBF" w:rsidP="0032202E">
      <w:pPr>
        <w:pStyle w:val="Reasons"/>
      </w:pPr>
      <w:bookmarkStart w:id="7" w:name="_GoBack"/>
      <w:bookmarkEnd w:id="7"/>
    </w:p>
    <w:p w:rsidR="00CA1CBF" w:rsidRPr="007C160A" w:rsidRDefault="00CA1CBF">
      <w:pPr>
        <w:jc w:val="center"/>
      </w:pPr>
      <w:r w:rsidRPr="007C160A">
        <w:t>______________</w:t>
      </w:r>
    </w:p>
    <w:p w:rsidR="00CA1CBF" w:rsidRPr="007C160A" w:rsidRDefault="00CA1CBF">
      <w:pPr>
        <w:pStyle w:val="Reasons"/>
      </w:pPr>
    </w:p>
    <w:sectPr w:rsidR="00CA1CBF" w:rsidRPr="007C160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4A0A">
      <w:rPr>
        <w:noProof/>
      </w:rPr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11" w:rsidRDefault="00382311" w:rsidP="0038231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P:\ESP\ITU-R\CONF-R\CMR15\000\047S.docx</w:t>
    </w:r>
    <w:r>
      <w:fldChar w:fldCharType="end"/>
    </w:r>
    <w:r>
      <w:t xml:space="preserve"> (387809)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82311">
      <w:rPr>
        <w:lang w:val="en-US"/>
      </w:rPr>
      <w:t>P:\ESP\ITU-R\CONF-R\CMR15\000\047S.docx</w:t>
    </w:r>
    <w:r>
      <w:fldChar w:fldCharType="end"/>
    </w:r>
    <w:r w:rsidR="00382311">
      <w:t xml:space="preserve"> (387809)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2311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2311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60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47-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s,Tracy">
    <w15:presenceInfo w15:providerId="AD" w15:userId="S-1-5-21-8740799-900759487-1415713722-4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1834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2311"/>
    <w:rsid w:val="00395F0F"/>
    <w:rsid w:val="003B1E8C"/>
    <w:rsid w:val="003C2508"/>
    <w:rsid w:val="003D0AA3"/>
    <w:rsid w:val="003E688B"/>
    <w:rsid w:val="00440B3A"/>
    <w:rsid w:val="0045384C"/>
    <w:rsid w:val="00454553"/>
    <w:rsid w:val="00484A02"/>
    <w:rsid w:val="004B124A"/>
    <w:rsid w:val="005133B5"/>
    <w:rsid w:val="00532097"/>
    <w:rsid w:val="0058350F"/>
    <w:rsid w:val="00583C7E"/>
    <w:rsid w:val="005C4120"/>
    <w:rsid w:val="005D46FB"/>
    <w:rsid w:val="005F2605"/>
    <w:rsid w:val="005F3B0E"/>
    <w:rsid w:val="005F559C"/>
    <w:rsid w:val="006609A3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74346"/>
    <w:rsid w:val="00775673"/>
    <w:rsid w:val="007952C7"/>
    <w:rsid w:val="007C0B95"/>
    <w:rsid w:val="007C160A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B5091"/>
    <w:rsid w:val="009C0BED"/>
    <w:rsid w:val="009E11EC"/>
    <w:rsid w:val="00A118DB"/>
    <w:rsid w:val="00A4450C"/>
    <w:rsid w:val="00AA5E6C"/>
    <w:rsid w:val="00AC54C0"/>
    <w:rsid w:val="00AD71A4"/>
    <w:rsid w:val="00AE5677"/>
    <w:rsid w:val="00AE658F"/>
    <w:rsid w:val="00AF2F78"/>
    <w:rsid w:val="00B11259"/>
    <w:rsid w:val="00B239FA"/>
    <w:rsid w:val="00B52D55"/>
    <w:rsid w:val="00B8288C"/>
    <w:rsid w:val="00BE2E80"/>
    <w:rsid w:val="00BE5EDD"/>
    <w:rsid w:val="00BE6A1F"/>
    <w:rsid w:val="00BF4A0A"/>
    <w:rsid w:val="00C126C4"/>
    <w:rsid w:val="00C63EB5"/>
    <w:rsid w:val="00C7294F"/>
    <w:rsid w:val="00CA1CBF"/>
    <w:rsid w:val="00CB303F"/>
    <w:rsid w:val="00CC01E0"/>
    <w:rsid w:val="00CD5FEE"/>
    <w:rsid w:val="00CE60D2"/>
    <w:rsid w:val="00CE7431"/>
    <w:rsid w:val="00D0288A"/>
    <w:rsid w:val="00D72A5D"/>
    <w:rsid w:val="00D75B62"/>
    <w:rsid w:val="00DC629B"/>
    <w:rsid w:val="00E05BFF"/>
    <w:rsid w:val="00E262F1"/>
    <w:rsid w:val="00E3176A"/>
    <w:rsid w:val="00E54754"/>
    <w:rsid w:val="00E56BD3"/>
    <w:rsid w:val="00E71D14"/>
    <w:rsid w:val="00ED2846"/>
    <w:rsid w:val="00F510C1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BB0AEB-E055-4E47-B49F-BF53013B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R15-WRC15-C-0047!!MSW-S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48D82-1C95-47E0-8D86-EC8733B16011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2a1a8c5-2265-4ebc-b7a0-2071e2c5c9bb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994BF06-1A5F-4A19-949E-1AE7F569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R15-WRC15-C-0047!!MSW-S</vt:lpstr>
    </vt:vector>
  </TitlesOfParts>
  <Manager>Secretaría General - Pool</Manager>
  <Company>Unión Internacional de Telecomunicaciones (UIT)</Company>
  <LinksUpToDate>false</LinksUpToDate>
  <CharactersWithSpaces>2615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R15-WRC15-C-0047!!MSW-S</dc:title>
  <dc:subject>Conferencia Mundial de Radiocomunicaciones - 2015</dc:subject>
  <dc:creator>Documents Proposals Manager (DPM)</dc:creator>
  <cp:keywords>DPM_v5.2015.10.290_prod</cp:keywords>
  <dc:description/>
  <cp:lastModifiedBy>Saez Grau, Ricardo</cp:lastModifiedBy>
  <cp:revision>16</cp:revision>
  <cp:lastPrinted>2003-02-19T20:20:00Z</cp:lastPrinted>
  <dcterms:created xsi:type="dcterms:W3CDTF">2015-11-01T15:27:00Z</dcterms:created>
  <dcterms:modified xsi:type="dcterms:W3CDTF">2015-11-01T15:30:00Z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