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44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8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964F1" w:rsidRDefault="00690C7B" w:rsidP="00690C7B">
            <w:pPr>
              <w:pStyle w:val="Source"/>
              <w:rPr>
                <w:lang w:val="fr-CH"/>
              </w:rPr>
            </w:pPr>
            <w:bookmarkStart w:id="2" w:name="dsource" w:colFirst="0" w:colLast="0"/>
            <w:r w:rsidRPr="002964F1">
              <w:rPr>
                <w:lang w:val="fr-CH"/>
              </w:rPr>
              <w:t>Emirats arabes unis/Mauritanie (République islamique de)</w:t>
            </w:r>
          </w:p>
        </w:tc>
      </w:tr>
      <w:tr w:rsidR="00690C7B" w:rsidRPr="002A6F8F" w:rsidTr="0050008E">
        <w:trPr>
          <w:cantSplit/>
        </w:trPr>
        <w:tc>
          <w:tcPr>
            <w:tcW w:w="10031" w:type="dxa"/>
            <w:gridSpan w:val="2"/>
          </w:tcPr>
          <w:p w:rsidR="00690C7B" w:rsidRPr="002964F1" w:rsidRDefault="002964F1" w:rsidP="00690C7B">
            <w:pPr>
              <w:pStyle w:val="Title1"/>
              <w:rPr>
                <w:lang w:val="fr-CH"/>
              </w:rPr>
            </w:pPr>
            <w:bookmarkStart w:id="3" w:name="dtitle1" w:colFirst="0" w:colLast="0"/>
            <w:bookmarkEnd w:id="2"/>
            <w:r w:rsidRPr="002964F1">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2964F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612DC5" w:rsidP="00577770">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2964F1" w:rsidRPr="00577770" w:rsidRDefault="00577770" w:rsidP="00993155">
      <w:pPr>
        <w:pStyle w:val="Title3"/>
        <w:spacing w:before="120"/>
      </w:pPr>
      <w:r w:rsidRPr="00577770">
        <w:t>Bande de fréquences</w:t>
      </w:r>
      <w:r w:rsidR="002964F1" w:rsidRPr="00577770">
        <w:t xml:space="preserve"> 3 400-3 600 MHz</w:t>
      </w:r>
    </w:p>
    <w:p w:rsidR="003A583E" w:rsidRPr="00577770" w:rsidRDefault="002964F1" w:rsidP="00577770">
      <w:pPr>
        <w:rPr>
          <w:lang w:val="fr-CH"/>
        </w:rPr>
      </w:pPr>
      <w:r w:rsidRPr="00577770">
        <w:rPr>
          <w:lang w:val="fr-CH"/>
        </w:rPr>
        <w:t>R</w:t>
      </w:r>
      <w:r w:rsidR="00577770" w:rsidRPr="00577770">
        <w:rPr>
          <w:lang w:val="fr-CH"/>
        </w:rPr>
        <w:t>é</w:t>
      </w:r>
      <w:r w:rsidRPr="00577770">
        <w:rPr>
          <w:lang w:val="fr-CH"/>
        </w:rPr>
        <w:t xml:space="preserve">solution </w:t>
      </w:r>
      <w:r w:rsidRPr="00577770">
        <w:rPr>
          <w:b/>
          <w:bCs/>
          <w:lang w:val="fr-CH"/>
        </w:rPr>
        <w:t>233 (WRC-12)</w:t>
      </w:r>
      <w:r w:rsidRPr="00CF5DA1">
        <w:rPr>
          <w:lang w:val="fr-CH"/>
        </w:rPr>
        <w:t>:</w:t>
      </w:r>
      <w:r w:rsidRPr="00577770">
        <w:rPr>
          <w:lang w:val="fr-CH"/>
        </w:rPr>
        <w:t xml:space="preserve"> </w:t>
      </w:r>
      <w:r w:rsidR="00577770">
        <w:t>E</w:t>
      </w:r>
      <w:r w:rsidR="00577770" w:rsidRPr="00577770">
        <w:t>tudes sur les questions liées aux fréquences pour les Télécommunications mobiles internationales et d'autres applications mobiles à large bande de Terre</w:t>
      </w:r>
      <w:r w:rsidR="00577770">
        <w:t>.</w:t>
      </w:r>
    </w:p>
    <w:p w:rsidR="002964F1" w:rsidRPr="002964F1" w:rsidRDefault="002964F1" w:rsidP="00577770">
      <w:pPr>
        <w:pStyle w:val="Headingb"/>
        <w:rPr>
          <w:lang w:val="fr-CH"/>
        </w:rPr>
      </w:pPr>
      <w:r w:rsidRPr="002964F1">
        <w:rPr>
          <w:lang w:val="fr-CH"/>
        </w:rPr>
        <w:t>Introduction</w:t>
      </w:r>
    </w:p>
    <w:p w:rsidR="002964F1" w:rsidRDefault="002964F1" w:rsidP="009C2E69">
      <w:r>
        <w:t>Les communications mobiles, y </w:t>
      </w:r>
      <w:r w:rsidRPr="0076027B">
        <w:t>compris les communications mobiles à large bande, apportent une contribution positive au développement socio-économique</w:t>
      </w:r>
      <w:r w:rsidR="00994E9C">
        <w:t>,</w:t>
      </w:r>
      <w:r>
        <w:t xml:space="preserve"> </w:t>
      </w:r>
      <w:r w:rsidRPr="0076027B">
        <w:t xml:space="preserve">aussi bien </w:t>
      </w:r>
      <w:r w:rsidR="001C4600">
        <w:t>dans les</w:t>
      </w:r>
      <w:r w:rsidRPr="0076027B">
        <w:t xml:space="preserve"> pays développés que d</w:t>
      </w:r>
      <w:r w:rsidR="001C4600">
        <w:t>ans le</w:t>
      </w:r>
      <w:r w:rsidRPr="0076027B">
        <w:t>s pays en développement</w:t>
      </w:r>
      <w:r>
        <w:t>.</w:t>
      </w:r>
    </w:p>
    <w:p w:rsidR="002964F1" w:rsidRDefault="002964F1" w:rsidP="009C2E69">
      <w:r>
        <w:t xml:space="preserve">Conformément à la </w:t>
      </w:r>
      <w:r w:rsidRPr="004E7023">
        <w:t>Résolution 233 (CMR-12),</w:t>
      </w:r>
      <w:r w:rsidRPr="0076027B">
        <w:t xml:space="preserve"> il est indispensable de mettre à disposition en temps </w:t>
      </w:r>
      <w:r w:rsidR="00577770">
        <w:t>utile</w:t>
      </w:r>
      <w:r>
        <w:t xml:space="preserve"> </w:t>
      </w:r>
      <w:r w:rsidRPr="0076027B">
        <w:t>une quantité de spectre suffisante et de prévoir des dispositions réglementaires appropriées, ainsi que des techniques améliorées, pour favoriser la croiss</w:t>
      </w:r>
      <w:r>
        <w:t xml:space="preserve">ance future des </w:t>
      </w:r>
      <w:r w:rsidR="009C2E69">
        <w:t xml:space="preserve">systèmes IMT et </w:t>
      </w:r>
      <w:r w:rsidRPr="0076027B">
        <w:t>d</w:t>
      </w:r>
      <w:r>
        <w:t>'</w:t>
      </w:r>
      <w:r w:rsidRPr="0076027B">
        <w:t>autres systèmes mobiles à large bande. Il est vivement souhai</w:t>
      </w:r>
      <w:r>
        <w:t>t</w:t>
      </w:r>
      <w:r w:rsidRPr="0076027B">
        <w:t>able</w:t>
      </w:r>
      <w:r>
        <w:t xml:space="preserve"> </w:t>
      </w:r>
      <w:r w:rsidRPr="0076027B">
        <w:t>d</w:t>
      </w:r>
      <w:r>
        <w:t>'</w:t>
      </w:r>
      <w:r w:rsidRPr="0076027B">
        <w:t>utiliser des bandes harmonisées à l</w:t>
      </w:r>
      <w:r>
        <w:t>'</w:t>
      </w:r>
      <w:r w:rsidRPr="0076027B">
        <w:t>échelle mondiale et des dispositions de fréquence</w:t>
      </w:r>
      <w:r>
        <w:t xml:space="preserve">s harmonisées pour </w:t>
      </w:r>
      <w:r w:rsidR="00577770">
        <w:t>c</w:t>
      </w:r>
      <w:r>
        <w:t>es systèmes</w:t>
      </w:r>
      <w:r w:rsidRPr="0076027B">
        <w:t>, afin de parvenir à l</w:t>
      </w:r>
      <w:r>
        <w:t>'</w:t>
      </w:r>
      <w:r w:rsidRPr="0076027B">
        <w:t>itinérance mondiale et de tirer parti des économies d</w:t>
      </w:r>
      <w:r>
        <w:t>'</w:t>
      </w:r>
      <w:r w:rsidRPr="0076027B">
        <w:t>échelle</w:t>
      </w:r>
      <w:r>
        <w:t>.</w:t>
      </w:r>
    </w:p>
    <w:p w:rsidR="002964F1" w:rsidRDefault="002964F1" w:rsidP="009C2E69">
      <w:pPr>
        <w:rPr>
          <w:lang w:val="fr-CH"/>
        </w:rPr>
      </w:pPr>
      <w:r w:rsidRPr="00447D31">
        <w:rPr>
          <w:lang w:val="fr-CH"/>
        </w:rPr>
        <w:t xml:space="preserve">Des études ont </w:t>
      </w:r>
      <w:r w:rsidR="001C4600">
        <w:rPr>
          <w:lang w:val="fr-CH"/>
        </w:rPr>
        <w:t xml:space="preserve">été </w:t>
      </w:r>
      <w:r w:rsidR="00577770">
        <w:rPr>
          <w:lang w:val="fr-CH"/>
        </w:rPr>
        <w:t>menées sur</w:t>
      </w:r>
      <w:r w:rsidRPr="00447D31">
        <w:rPr>
          <w:lang w:val="fr-CH"/>
        </w:rPr>
        <w:t xml:space="preserve"> les </w:t>
      </w:r>
      <w:r w:rsidR="00577770" w:rsidRPr="00447D31">
        <w:rPr>
          <w:lang w:val="fr-CH"/>
        </w:rPr>
        <w:t xml:space="preserve">futurs </w:t>
      </w:r>
      <w:r w:rsidRPr="00447D31">
        <w:rPr>
          <w:lang w:val="fr-CH"/>
        </w:rPr>
        <w:t xml:space="preserve">besoins de spectre et les bandes qui pourraient être envisagées pour les IMT, ainsi </w:t>
      </w:r>
      <w:r w:rsidR="00577770">
        <w:rPr>
          <w:lang w:val="fr-CH"/>
        </w:rPr>
        <w:t>que sur</w:t>
      </w:r>
      <w:r w:rsidRPr="00447D31">
        <w:rPr>
          <w:lang w:val="fr-CH"/>
        </w:rPr>
        <w:t xml:space="preserve"> d'autres applications mobiles à large bande de Terre. Les administrations ont proposé, conformément au point 2 du </w:t>
      </w:r>
      <w:r w:rsidRPr="00447D31">
        <w:rPr>
          <w:i/>
          <w:iCs/>
          <w:lang w:val="fr-CH"/>
        </w:rPr>
        <w:t>décide d'inviter l'UIT-R</w:t>
      </w:r>
      <w:r w:rsidRPr="00447D31">
        <w:rPr>
          <w:lang w:val="fr-CH"/>
        </w:rPr>
        <w:t xml:space="preserve"> de la Résolution 233 (CMR-12), que des études soient menées sur les bandes de fréquences suivantes: </w:t>
      </w:r>
      <w:r>
        <w:rPr>
          <w:lang w:val="fr-CH"/>
        </w:rPr>
        <w:t>470</w:t>
      </w:r>
      <w:r>
        <w:rPr>
          <w:lang w:val="fr-CH"/>
        </w:rPr>
        <w:noBreakHyphen/>
      </w:r>
      <w:r w:rsidRPr="00447D31">
        <w:rPr>
          <w:lang w:val="fr-CH"/>
        </w:rPr>
        <w:t>694/698 MHz, 1 300-1 525 MHz, 1 695-1 710 MHz, 2 025-2 110 MHz, 2 200-2 290 MHz, 2 700-2 900 MHz, 2 900-3 100 MHz, 3 300-3 400 MHz, 3 400-3 600 MHz, 3 600-4 200 MHz, 4 400-4 900 MHz, 4 800-5 000 MHz, 5 350-5 470 MHz, 5 725-5 850 MHz et 5 925-6 425 MHz.</w:t>
      </w:r>
    </w:p>
    <w:p w:rsidR="002964F1" w:rsidRDefault="00577770" w:rsidP="009C2E69">
      <w:pPr>
        <w:rPr>
          <w:lang w:val="fr-CH"/>
        </w:rPr>
      </w:pPr>
      <w:r w:rsidRPr="00577770">
        <w:rPr>
          <w:lang w:val="fr-CH"/>
        </w:rPr>
        <w:lastRenderedPageBreak/>
        <w:t xml:space="preserve">Parmi les bandes étudiées figure la </w:t>
      </w:r>
      <w:r>
        <w:rPr>
          <w:lang w:val="fr-CH"/>
        </w:rPr>
        <w:t>gamme de fréquences</w:t>
      </w:r>
      <w:r w:rsidRPr="00577770">
        <w:rPr>
          <w:lang w:val="fr-CH"/>
        </w:rPr>
        <w:t xml:space="preserve"> 3 400-3 600 MHz</w:t>
      </w:r>
      <w:r>
        <w:rPr>
          <w:lang w:val="fr-CH"/>
        </w:rPr>
        <w:t xml:space="preserve">. </w:t>
      </w:r>
      <w:r w:rsidR="002964F1">
        <w:rPr>
          <w:rFonts w:eastAsiaTheme="minorHAnsi"/>
          <w:lang w:val="fr-CH"/>
        </w:rPr>
        <w:t xml:space="preserve">Des études de partage entre le service fixe par satellite </w:t>
      </w:r>
      <w:r w:rsidR="002964F1">
        <w:rPr>
          <w:lang w:val="fr-CH"/>
        </w:rPr>
        <w:t xml:space="preserve">et le </w:t>
      </w:r>
      <w:r w:rsidR="002964F1" w:rsidRPr="00F2437A">
        <w:rPr>
          <w:lang w:val="fr-CH"/>
        </w:rPr>
        <w:t>service</w:t>
      </w:r>
      <w:r w:rsidR="002964F1">
        <w:rPr>
          <w:lang w:val="fr-CH"/>
        </w:rPr>
        <w:t xml:space="preserve"> mobile</w:t>
      </w:r>
      <w:r w:rsidR="001C4600">
        <w:rPr>
          <w:lang w:val="fr-CH"/>
        </w:rPr>
        <w:t xml:space="preserve"> et </w:t>
      </w:r>
      <w:r w:rsidR="002964F1">
        <w:rPr>
          <w:lang w:val="fr-CH"/>
        </w:rPr>
        <w:t xml:space="preserve">les </w:t>
      </w:r>
      <w:r w:rsidR="002964F1" w:rsidRPr="00F2437A">
        <w:rPr>
          <w:lang w:val="fr-CH"/>
        </w:rPr>
        <w:t>IMT</w:t>
      </w:r>
      <w:r w:rsidR="002964F1" w:rsidRPr="00F2437A">
        <w:rPr>
          <w:rFonts w:eastAsiaTheme="minorHAnsi"/>
          <w:lang w:val="fr-CH"/>
        </w:rPr>
        <w:t xml:space="preserve"> </w:t>
      </w:r>
      <w:r w:rsidR="002964F1">
        <w:rPr>
          <w:rFonts w:eastAsiaTheme="minorHAnsi"/>
          <w:lang w:val="fr-CH"/>
        </w:rPr>
        <w:t xml:space="preserve">dans la </w:t>
      </w:r>
      <w:r w:rsidR="002964F1" w:rsidRPr="00F2437A">
        <w:rPr>
          <w:rFonts w:eastAsiaTheme="minorHAnsi"/>
          <w:lang w:val="fr-CH"/>
        </w:rPr>
        <w:t>band</w:t>
      </w:r>
      <w:r w:rsidR="002964F1">
        <w:rPr>
          <w:rFonts w:eastAsiaTheme="minorHAnsi"/>
          <w:lang w:val="fr-CH"/>
        </w:rPr>
        <w:t>e</w:t>
      </w:r>
      <w:r w:rsidR="002964F1" w:rsidRPr="00F2437A">
        <w:rPr>
          <w:rFonts w:eastAsiaTheme="minorHAnsi"/>
          <w:lang w:val="fr-CH"/>
        </w:rPr>
        <w:t xml:space="preserve"> 3 400</w:t>
      </w:r>
      <w:r w:rsidR="002964F1" w:rsidRPr="00F2437A">
        <w:rPr>
          <w:rFonts w:eastAsiaTheme="minorHAnsi"/>
          <w:lang w:val="fr-CH"/>
        </w:rPr>
        <w:noBreakHyphen/>
        <w:t xml:space="preserve">3 600 MHz </w:t>
      </w:r>
      <w:r w:rsidR="002964F1">
        <w:rPr>
          <w:rFonts w:eastAsiaTheme="minorHAnsi"/>
          <w:lang w:val="fr-CH"/>
        </w:rPr>
        <w:t xml:space="preserve">ont montré que cette bande de fréquences est utilisée </w:t>
      </w:r>
      <w:r w:rsidR="002964F1">
        <w:rPr>
          <w:lang w:val="fr-CH"/>
        </w:rPr>
        <w:t xml:space="preserve">depuis les années 70 </w:t>
      </w:r>
      <w:r w:rsidR="002964F1">
        <w:rPr>
          <w:lang w:val="fr-CH" w:eastAsia="ja-JP"/>
        </w:rPr>
        <w:t xml:space="preserve">par le SFS </w:t>
      </w:r>
      <w:r w:rsidR="002964F1">
        <w:rPr>
          <w:lang w:val="fr-CH"/>
        </w:rPr>
        <w:t>pour des liaisons e</w:t>
      </w:r>
      <w:r w:rsidR="002964F1" w:rsidRPr="00F2437A">
        <w:rPr>
          <w:lang w:val="fr-CH" w:eastAsia="ja-JP"/>
        </w:rPr>
        <w:t>space</w:t>
      </w:r>
      <w:r w:rsidR="002964F1">
        <w:rPr>
          <w:lang w:val="fr-CH" w:eastAsia="ja-JP"/>
        </w:rPr>
        <w:t xml:space="preserve"> vers Terre</w:t>
      </w:r>
      <w:r w:rsidR="002964F1" w:rsidRPr="00F2437A">
        <w:rPr>
          <w:lang w:val="fr-CH" w:eastAsia="ja-JP"/>
        </w:rPr>
        <w:t xml:space="preserve">, </w:t>
      </w:r>
      <w:r w:rsidR="002964F1">
        <w:rPr>
          <w:lang w:val="fr-CH" w:eastAsia="ja-JP"/>
        </w:rPr>
        <w:t>conjointement avec la bande de fréquences 5 850</w:t>
      </w:r>
      <w:r w:rsidR="002964F1">
        <w:rPr>
          <w:lang w:val="fr-CH" w:eastAsia="ja-JP"/>
        </w:rPr>
        <w:noBreakHyphen/>
        <w:t>6 725 </w:t>
      </w:r>
      <w:r w:rsidR="002964F1" w:rsidRPr="00F2437A">
        <w:rPr>
          <w:lang w:val="fr-CH" w:eastAsia="ja-JP"/>
        </w:rPr>
        <w:t xml:space="preserve">MHz </w:t>
      </w:r>
      <w:r w:rsidR="002964F1">
        <w:rPr>
          <w:lang w:val="fr-CH" w:eastAsia="ja-JP"/>
        </w:rPr>
        <w:t>pour des liaisons Terre vers e</w:t>
      </w:r>
      <w:r w:rsidR="002964F1" w:rsidRPr="00F2437A">
        <w:rPr>
          <w:lang w:val="fr-CH" w:eastAsia="ja-JP"/>
        </w:rPr>
        <w:t>space</w:t>
      </w:r>
      <w:r w:rsidR="002964F1" w:rsidRPr="00F2437A">
        <w:rPr>
          <w:lang w:val="fr-CH"/>
        </w:rPr>
        <w:t xml:space="preserve">. </w:t>
      </w:r>
      <w:r w:rsidR="002964F1">
        <w:rPr>
          <w:lang w:val="fr-CH"/>
        </w:rPr>
        <w:t>La</w:t>
      </w:r>
      <w:r w:rsidR="002964F1" w:rsidRPr="001C7DBD">
        <w:rPr>
          <w:lang w:val="fr-CH"/>
        </w:rPr>
        <w:t xml:space="preserve"> techn</w:t>
      </w:r>
      <w:r w:rsidR="002964F1">
        <w:rPr>
          <w:lang w:val="fr-CH"/>
        </w:rPr>
        <w:t xml:space="preserve">ologie est arrivée à maturité </w:t>
      </w:r>
      <w:r w:rsidR="002964F1" w:rsidRPr="001C7DBD">
        <w:rPr>
          <w:lang w:val="fr-CH"/>
        </w:rPr>
        <w:t xml:space="preserve">et on trouve désormais des équipements </w:t>
      </w:r>
      <w:r>
        <w:rPr>
          <w:lang w:val="fr-CH"/>
        </w:rPr>
        <w:t>à un</w:t>
      </w:r>
      <w:r w:rsidR="002964F1" w:rsidRPr="001C7DBD">
        <w:rPr>
          <w:lang w:val="fr-CH"/>
        </w:rPr>
        <w:t xml:space="preserve"> coût modique.</w:t>
      </w:r>
    </w:p>
    <w:p w:rsidR="002964F1" w:rsidRDefault="002964F1" w:rsidP="009C2E69">
      <w:pPr>
        <w:rPr>
          <w:lang w:val="fr-CH"/>
        </w:rPr>
      </w:pPr>
      <w:r w:rsidRPr="001C7DBD">
        <w:rPr>
          <w:lang w:val="fr-CH"/>
        </w:rPr>
        <w:t xml:space="preserve">De plus, grâce à leur couverture étendue, les satellites exploités dans ces bandes permettent de fournir des services aux pays en développement dans des zones peu </w:t>
      </w:r>
      <w:r w:rsidR="001C4600">
        <w:rPr>
          <w:lang w:val="fr-CH"/>
        </w:rPr>
        <w:t xml:space="preserve">densément </w:t>
      </w:r>
      <w:r w:rsidRPr="001C7DBD">
        <w:rPr>
          <w:lang w:val="fr-CH"/>
        </w:rPr>
        <w:t xml:space="preserve">peuplées et sur de grandes distances (par exemple pour la diffusion </w:t>
      </w:r>
      <w:r w:rsidR="004E7023" w:rsidRPr="001C7DBD">
        <w:rPr>
          <w:lang w:val="fr-CH"/>
        </w:rPr>
        <w:t xml:space="preserve">de données </w:t>
      </w:r>
      <w:r w:rsidR="004E7023">
        <w:rPr>
          <w:lang w:val="fr-CH"/>
        </w:rPr>
        <w:t xml:space="preserve">et </w:t>
      </w:r>
      <w:r w:rsidRPr="001C7DBD">
        <w:rPr>
          <w:lang w:val="fr-CH"/>
        </w:rPr>
        <w:t>de contenus de programmes entre continents).</w:t>
      </w:r>
    </w:p>
    <w:p w:rsidR="002964F1" w:rsidRDefault="00577770" w:rsidP="009C2E69">
      <w:pPr>
        <w:rPr>
          <w:rFonts w:asciiTheme="majorBidi" w:hAnsiTheme="majorBidi" w:cstheme="majorBidi"/>
          <w:color w:val="000000" w:themeColor="text1"/>
          <w:szCs w:val="24"/>
          <w:lang w:val="fr-CH"/>
        </w:rPr>
      </w:pPr>
      <w:r>
        <w:rPr>
          <w:rFonts w:asciiTheme="majorBidi" w:hAnsiTheme="majorBidi" w:cstheme="majorBidi"/>
          <w:color w:val="000000" w:themeColor="text1"/>
          <w:szCs w:val="24"/>
          <w:lang w:val="fr-CH"/>
        </w:rPr>
        <w:t>Il</w:t>
      </w:r>
      <w:r w:rsidR="002964F1" w:rsidRPr="002964F1">
        <w:rPr>
          <w:rFonts w:asciiTheme="majorBidi" w:hAnsiTheme="majorBidi" w:cstheme="majorBidi"/>
          <w:color w:val="000000" w:themeColor="text1"/>
          <w:szCs w:val="24"/>
          <w:lang w:val="fr-CH"/>
        </w:rPr>
        <w:t xml:space="preserve"> ressort d</w:t>
      </w:r>
      <w:r w:rsidR="001C4600">
        <w:rPr>
          <w:rFonts w:asciiTheme="majorBidi" w:hAnsiTheme="majorBidi" w:cstheme="majorBidi"/>
          <w:color w:val="000000" w:themeColor="text1"/>
          <w:szCs w:val="24"/>
          <w:lang w:val="fr-CH"/>
        </w:rPr>
        <w:t xml:space="preserve">es </w:t>
      </w:r>
      <w:r w:rsidR="002964F1" w:rsidRPr="002964F1">
        <w:rPr>
          <w:rFonts w:asciiTheme="majorBidi" w:hAnsiTheme="majorBidi" w:cstheme="majorBidi"/>
          <w:color w:val="000000" w:themeColor="text1"/>
          <w:szCs w:val="24"/>
          <w:lang w:val="fr-CH"/>
        </w:rPr>
        <w:t xml:space="preserve">études de partage menées </w:t>
      </w:r>
      <w:r>
        <w:rPr>
          <w:rFonts w:asciiTheme="majorBidi" w:hAnsiTheme="majorBidi" w:cstheme="majorBidi"/>
          <w:color w:val="000000" w:themeColor="text1"/>
          <w:szCs w:val="24"/>
          <w:lang w:val="fr-CH"/>
        </w:rPr>
        <w:t>par</w:t>
      </w:r>
      <w:r w:rsidR="002964F1" w:rsidRPr="002964F1">
        <w:rPr>
          <w:rFonts w:asciiTheme="majorBidi" w:hAnsiTheme="majorBidi" w:cstheme="majorBidi"/>
          <w:color w:val="000000" w:themeColor="text1"/>
          <w:szCs w:val="24"/>
          <w:lang w:val="fr-CH"/>
        </w:rPr>
        <w:t xml:space="preserve"> l'UIT</w:t>
      </w:r>
      <w:r w:rsidR="002964F1" w:rsidRPr="002964F1">
        <w:rPr>
          <w:rFonts w:asciiTheme="majorBidi" w:hAnsiTheme="majorBidi" w:cstheme="majorBidi"/>
          <w:color w:val="000000" w:themeColor="text1"/>
          <w:szCs w:val="24"/>
          <w:lang w:val="fr-CH"/>
        </w:rPr>
        <w:noBreakHyphen/>
        <w:t xml:space="preserve">R que les IMT et les services par satellite présentent un degré élevé d'incompatibilité. Les distances de séparation entre les stations du SFS et </w:t>
      </w:r>
      <w:r w:rsidR="004E7023">
        <w:rPr>
          <w:rFonts w:asciiTheme="majorBidi" w:hAnsiTheme="majorBidi" w:cstheme="majorBidi"/>
          <w:color w:val="000000" w:themeColor="text1"/>
          <w:szCs w:val="24"/>
          <w:lang w:val="fr-CH"/>
        </w:rPr>
        <w:t>les stations</w:t>
      </w:r>
      <w:r w:rsidR="002964F1" w:rsidRPr="002964F1">
        <w:rPr>
          <w:rFonts w:asciiTheme="majorBidi" w:hAnsiTheme="majorBidi" w:cstheme="majorBidi"/>
          <w:color w:val="000000" w:themeColor="text1"/>
          <w:szCs w:val="24"/>
          <w:lang w:val="fr-CH"/>
        </w:rPr>
        <w:t xml:space="preserve"> IMT doivent être de l'ordre de plusieurs centaines de kilomètres</w:t>
      </w:r>
      <w:r w:rsidR="002964F1">
        <w:rPr>
          <w:rFonts w:asciiTheme="majorBidi" w:hAnsiTheme="majorBidi" w:cstheme="majorBidi"/>
          <w:color w:val="000000" w:themeColor="text1"/>
          <w:szCs w:val="24"/>
          <w:lang w:val="fr-CH"/>
        </w:rPr>
        <w:t>.</w:t>
      </w:r>
    </w:p>
    <w:p w:rsidR="002964F1" w:rsidRPr="009C2E69" w:rsidRDefault="002964F1" w:rsidP="004E7023">
      <w:pPr>
        <w:pStyle w:val="Headingb"/>
      </w:pPr>
      <w:r w:rsidRPr="009C2E69">
        <w:t>Proposition</w:t>
      </w:r>
    </w:p>
    <w:p w:rsidR="00577770" w:rsidRDefault="00577770" w:rsidP="009C2E69">
      <w:pPr>
        <w:rPr>
          <w:lang w:val="fr-CH"/>
        </w:rPr>
      </w:pPr>
      <w:r w:rsidRPr="00577770">
        <w:rPr>
          <w:lang w:val="fr-CH"/>
        </w:rPr>
        <w:t xml:space="preserve">Compte tenu des résultats des études et de l'analyse menée ci-avant </w:t>
      </w:r>
      <w:r w:rsidR="001C4600">
        <w:rPr>
          <w:lang w:val="fr-CH"/>
        </w:rPr>
        <w:t>au sujet de</w:t>
      </w:r>
      <w:r w:rsidRPr="00577770">
        <w:rPr>
          <w:lang w:val="fr-CH"/>
        </w:rPr>
        <w:t xml:space="preserve"> ce point, les administrations signataires de la présente contribution proposent de n'apporter aucune modification </w:t>
      </w:r>
      <w:r>
        <w:rPr>
          <w:lang w:val="fr-CH"/>
        </w:rPr>
        <w:t xml:space="preserve">au Règlement des radiocommunications </w:t>
      </w:r>
      <w:r w:rsidRPr="00577770">
        <w:rPr>
          <w:lang w:val="fr-CH"/>
        </w:rPr>
        <w:t>en ce qui concerne la b</w:t>
      </w:r>
      <w:r>
        <w:rPr>
          <w:lang w:val="fr-CH"/>
        </w:rPr>
        <w:t xml:space="preserve">ande </w:t>
      </w:r>
      <w:r w:rsidRPr="00577770">
        <w:rPr>
          <w:lang w:val="fr-CH"/>
        </w:rPr>
        <w:t>3 400-3 600 MHz.</w:t>
      </w:r>
    </w:p>
    <w:p w:rsidR="00577770" w:rsidRPr="00577770" w:rsidRDefault="00577770" w:rsidP="009C2E69">
      <w:pPr>
        <w:rPr>
          <w:lang w:val="fr-CH"/>
        </w:rPr>
      </w:pPr>
      <w:r>
        <w:rPr>
          <w:lang w:val="fr-CH"/>
        </w:rPr>
        <w:t xml:space="preserve">Ci-après figurent les considérations réglementaires et de procédure </w:t>
      </w:r>
      <w:r w:rsidR="004E7023">
        <w:rPr>
          <w:lang w:val="fr-CH"/>
        </w:rPr>
        <w:t>résultant de</w:t>
      </w:r>
      <w:r>
        <w:rPr>
          <w:lang w:val="fr-CH"/>
        </w:rPr>
        <w:t xml:space="preserve"> cette proposition:</w:t>
      </w:r>
    </w:p>
    <w:p w:rsidR="004A6A8C" w:rsidRDefault="00612DC5" w:rsidP="00D94B99">
      <w:pPr>
        <w:pStyle w:val="ArtNo"/>
      </w:pPr>
      <w:r>
        <w:t xml:space="preserve">ARTICLE </w:t>
      </w:r>
      <w:r>
        <w:rPr>
          <w:rStyle w:val="href"/>
          <w:color w:val="000000"/>
        </w:rPr>
        <w:t>5</w:t>
      </w:r>
    </w:p>
    <w:p w:rsidR="004A6A8C" w:rsidRDefault="00612DC5" w:rsidP="00D94B99">
      <w:pPr>
        <w:pStyle w:val="Arttitle"/>
        <w:rPr>
          <w:lang w:val="fr-CH"/>
        </w:rPr>
      </w:pPr>
      <w:r>
        <w:rPr>
          <w:lang w:val="fr-CH"/>
        </w:rPr>
        <w:t>Attribution des bandes de fréquences</w:t>
      </w:r>
    </w:p>
    <w:p w:rsidR="004A6A8C" w:rsidRPr="00375EEA" w:rsidRDefault="00612DC5" w:rsidP="00D94B99">
      <w:pPr>
        <w:pStyle w:val="Section1"/>
        <w:keepNext/>
      </w:pPr>
      <w:r>
        <w:t>Section IV –</w:t>
      </w:r>
      <w:r w:rsidRPr="00375EEA">
        <w:t xml:space="preserve"> Tableau d'attribution des bandes de fréquences</w:t>
      </w:r>
      <w:r w:rsidRPr="00375EEA">
        <w:br/>
      </w:r>
      <w:r w:rsidRPr="002964F1">
        <w:rPr>
          <w:b w:val="0"/>
          <w:bCs/>
        </w:rPr>
        <w:t>(Voir le numéro</w:t>
      </w:r>
      <w:r w:rsidRPr="00260AE5">
        <w:t xml:space="preserve"> 2.1</w:t>
      </w:r>
      <w:r w:rsidRPr="002964F1">
        <w:rPr>
          <w:b w:val="0"/>
          <w:bCs/>
        </w:rPr>
        <w:t>)</w:t>
      </w:r>
      <w:r>
        <w:rPr>
          <w:b w:val="0"/>
          <w:color w:val="000000"/>
        </w:rPr>
        <w:br/>
      </w:r>
      <w:r>
        <w:rPr>
          <w:b w:val="0"/>
          <w:color w:val="000000"/>
        </w:rPr>
        <w:br/>
      </w:r>
    </w:p>
    <w:p w:rsidR="00391E82" w:rsidRDefault="00612DC5">
      <w:pPr>
        <w:pStyle w:val="Proposal"/>
      </w:pPr>
      <w:r>
        <w:rPr>
          <w:u w:val="single"/>
        </w:rPr>
        <w:t>NOC</w:t>
      </w:r>
      <w:r>
        <w:tab/>
        <w:t>UAE/MTN/44/1</w:t>
      </w:r>
    </w:p>
    <w:p w:rsidR="004A6A8C" w:rsidRDefault="00612DC5"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3269"/>
      </w:tblGrid>
      <w:tr w:rsidR="004A6A8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Default="00612DC5" w:rsidP="00D94B99">
            <w:pPr>
              <w:pStyle w:val="Tablehead"/>
              <w:rPr>
                <w:color w:val="000000"/>
              </w:rPr>
            </w:pPr>
            <w:r>
              <w:rPr>
                <w:color w:val="000000"/>
              </w:rPr>
              <w:t>Attribution aux services</w:t>
            </w:r>
          </w:p>
        </w:tc>
      </w:tr>
      <w:tr w:rsidR="004A6A8C" w:rsidTr="00F87C6C">
        <w:trPr>
          <w:cantSplit/>
          <w:jc w:val="center"/>
        </w:trPr>
        <w:tc>
          <w:tcPr>
            <w:tcW w:w="3111" w:type="dxa"/>
            <w:tcBorders>
              <w:top w:val="single" w:sz="6" w:space="0" w:color="auto"/>
              <w:left w:val="single" w:sz="6" w:space="0" w:color="auto"/>
              <w:bottom w:val="single" w:sz="6" w:space="0" w:color="auto"/>
              <w:right w:val="single" w:sz="6" w:space="0" w:color="auto"/>
            </w:tcBorders>
          </w:tcPr>
          <w:p w:rsidR="004A6A8C" w:rsidRDefault="00612DC5" w:rsidP="00D94B99">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612DC5" w:rsidP="00D94B99">
            <w:pPr>
              <w:pStyle w:val="Tablehead"/>
              <w:rPr>
                <w:color w:val="000000"/>
              </w:rPr>
            </w:pPr>
            <w:r>
              <w:rPr>
                <w:color w:val="000000"/>
              </w:rPr>
              <w:t>Région 2</w:t>
            </w:r>
          </w:p>
        </w:tc>
        <w:tc>
          <w:tcPr>
            <w:tcW w:w="3269" w:type="dxa"/>
            <w:tcBorders>
              <w:top w:val="single" w:sz="6" w:space="0" w:color="auto"/>
              <w:left w:val="single" w:sz="6" w:space="0" w:color="auto"/>
              <w:bottom w:val="single" w:sz="6" w:space="0" w:color="auto"/>
              <w:right w:val="single" w:sz="6" w:space="0" w:color="auto"/>
            </w:tcBorders>
          </w:tcPr>
          <w:p w:rsidR="004A6A8C" w:rsidRDefault="00612DC5" w:rsidP="00D94B99">
            <w:pPr>
              <w:pStyle w:val="Tablehead"/>
              <w:rPr>
                <w:color w:val="000000"/>
              </w:rPr>
            </w:pPr>
            <w:r>
              <w:rPr>
                <w:color w:val="000000"/>
              </w:rPr>
              <w:t>Région 3</w:t>
            </w:r>
          </w:p>
        </w:tc>
      </w:tr>
      <w:tr w:rsidR="004A6A8C" w:rsidTr="00F87C6C">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6" w:space="0" w:color="auto"/>
            </w:tcBorders>
          </w:tcPr>
          <w:p w:rsidR="004A6A8C" w:rsidRPr="004867BF" w:rsidRDefault="00612DC5" w:rsidP="00D94B99">
            <w:pPr>
              <w:pStyle w:val="TableTextS5"/>
              <w:spacing w:before="10" w:after="10"/>
              <w:ind w:left="300" w:right="130" w:hanging="170"/>
              <w:rPr>
                <w:color w:val="000000"/>
              </w:rPr>
            </w:pPr>
            <w:r w:rsidRPr="0046453D">
              <w:rPr>
                <w:rStyle w:val="Tablefreq"/>
              </w:rPr>
              <w:t>3 400-3 600</w:t>
            </w:r>
          </w:p>
          <w:p w:rsidR="004A6A8C" w:rsidRPr="004867BF" w:rsidRDefault="00612DC5" w:rsidP="00D94B99">
            <w:pPr>
              <w:pStyle w:val="TableTextS5"/>
              <w:spacing w:before="10" w:after="10"/>
              <w:ind w:left="300" w:right="130" w:hanging="170"/>
              <w:rPr>
                <w:color w:val="000000"/>
              </w:rPr>
            </w:pPr>
            <w:r>
              <w:rPr>
                <w:color w:val="000000"/>
              </w:rPr>
              <w:t>FIXE</w:t>
            </w:r>
          </w:p>
          <w:p w:rsidR="004A6A8C" w:rsidRPr="004867BF" w:rsidRDefault="00612DC5" w:rsidP="00D94B9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612DC5" w:rsidP="00D94B99">
            <w:pPr>
              <w:pStyle w:val="TableTextS5"/>
              <w:spacing w:before="10" w:after="10"/>
              <w:ind w:left="300" w:right="130" w:hanging="170"/>
              <w:rPr>
                <w:color w:val="000000"/>
              </w:rPr>
            </w:pPr>
            <w:r>
              <w:rPr>
                <w:color w:val="000000"/>
              </w:rPr>
              <w:t xml:space="preserve">Mobile </w:t>
            </w:r>
            <w:r w:rsidRPr="004867BF">
              <w:rPr>
                <w:color w:val="000000"/>
              </w:rPr>
              <w:t xml:space="preserve"> 5.430A</w:t>
            </w:r>
          </w:p>
          <w:p w:rsidR="004A6A8C" w:rsidRPr="004867BF" w:rsidRDefault="00612DC5" w:rsidP="00031106">
            <w:pPr>
              <w:pStyle w:val="TableTextS5"/>
              <w:spacing w:before="10" w:after="10"/>
              <w:ind w:left="300" w:right="130" w:hanging="170"/>
              <w:rPr>
                <w:rStyle w:val="Artref"/>
                <w:color w:val="000000"/>
              </w:rPr>
            </w:pPr>
            <w:r w:rsidRPr="00751443">
              <w:rPr>
                <w:color w:val="000000"/>
              </w:rPr>
              <w:t>Radiolocalisation</w:t>
            </w:r>
          </w:p>
          <w:p w:rsidR="004A6A8C" w:rsidRPr="009C2E69" w:rsidRDefault="00CF5DA1" w:rsidP="009C2E69"/>
        </w:tc>
        <w:tc>
          <w:tcPr>
            <w:tcW w:w="3118" w:type="dxa"/>
            <w:tcBorders>
              <w:top w:val="single" w:sz="4" w:space="0" w:color="auto"/>
              <w:left w:val="single" w:sz="6" w:space="0" w:color="auto"/>
              <w:bottom w:val="single" w:sz="4" w:space="0" w:color="auto"/>
              <w:right w:val="single" w:sz="6" w:space="0" w:color="auto"/>
            </w:tcBorders>
          </w:tcPr>
          <w:p w:rsidR="004A6A8C" w:rsidRPr="004867BF" w:rsidRDefault="00612DC5" w:rsidP="00D94B99">
            <w:pPr>
              <w:pStyle w:val="TableTextS5"/>
              <w:spacing w:before="10" w:after="10"/>
              <w:ind w:left="300" w:right="130" w:hanging="170"/>
              <w:rPr>
                <w:color w:val="000000"/>
              </w:rPr>
            </w:pPr>
            <w:r w:rsidRPr="0046453D">
              <w:rPr>
                <w:rStyle w:val="Tablefreq"/>
              </w:rPr>
              <w:t>3 400-3 500</w:t>
            </w:r>
          </w:p>
          <w:p w:rsidR="004A6A8C" w:rsidRPr="004867BF" w:rsidRDefault="00612DC5" w:rsidP="00D94B99">
            <w:pPr>
              <w:pStyle w:val="TableTextS5"/>
              <w:spacing w:before="10" w:after="10"/>
              <w:ind w:left="300" w:right="130" w:hanging="170"/>
              <w:rPr>
                <w:color w:val="000000"/>
              </w:rPr>
            </w:pPr>
            <w:r>
              <w:rPr>
                <w:color w:val="000000"/>
              </w:rPr>
              <w:t>FIXE</w:t>
            </w:r>
          </w:p>
          <w:p w:rsidR="004A6A8C" w:rsidRPr="004867BF" w:rsidRDefault="00612DC5" w:rsidP="00D94B9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612DC5" w:rsidP="00D94B99">
            <w:pPr>
              <w:pStyle w:val="TableTextS5"/>
              <w:spacing w:before="10" w:after="10"/>
              <w:ind w:left="300" w:right="130" w:hanging="170"/>
              <w:rPr>
                <w:color w:val="000000"/>
              </w:rPr>
            </w:pPr>
            <w:r w:rsidRPr="004867BF">
              <w:rPr>
                <w:color w:val="000000"/>
              </w:rPr>
              <w:t>Amateur</w:t>
            </w:r>
          </w:p>
          <w:p w:rsidR="004A6A8C" w:rsidRPr="004867BF" w:rsidRDefault="00612DC5" w:rsidP="00D94B99">
            <w:pPr>
              <w:pStyle w:val="TableTextS5"/>
              <w:spacing w:before="10" w:after="10"/>
              <w:ind w:left="300" w:right="130" w:hanging="170"/>
              <w:rPr>
                <w:color w:val="000000"/>
              </w:rPr>
            </w:pPr>
            <w:r>
              <w:rPr>
                <w:color w:val="000000"/>
              </w:rPr>
              <w:t xml:space="preserve">Mobile </w:t>
            </w:r>
            <w:r w:rsidRPr="004867BF">
              <w:rPr>
                <w:color w:val="000000"/>
              </w:rPr>
              <w:t xml:space="preserve"> 5.431A</w:t>
            </w:r>
          </w:p>
          <w:p w:rsidR="004A6A8C" w:rsidRDefault="00612DC5" w:rsidP="00D94B99">
            <w:pPr>
              <w:pStyle w:val="TableTextS5"/>
              <w:spacing w:before="10" w:after="10"/>
              <w:ind w:left="170"/>
              <w:rPr>
                <w:color w:val="000000"/>
              </w:rPr>
            </w:pPr>
            <w:r w:rsidRPr="00751443">
              <w:rPr>
                <w:color w:val="000000"/>
              </w:rPr>
              <w:t>Radiolocalisation</w:t>
            </w:r>
            <w:r w:rsidRPr="007D6EBE">
              <w:rPr>
                <w:color w:val="000000"/>
              </w:rPr>
              <w:t xml:space="preserve"> </w:t>
            </w:r>
            <w:r>
              <w:rPr>
                <w:color w:val="000000"/>
              </w:rPr>
              <w:t xml:space="preserve"> </w:t>
            </w:r>
            <w:r w:rsidRPr="004867BF">
              <w:rPr>
                <w:rStyle w:val="Artref"/>
                <w:color w:val="000000"/>
              </w:rPr>
              <w:t>5.433</w:t>
            </w:r>
            <w:r>
              <w:rPr>
                <w:rStyle w:val="Artref"/>
                <w:color w:val="000000"/>
              </w:rPr>
              <w:br/>
            </w:r>
            <w:r w:rsidRPr="004867BF">
              <w:rPr>
                <w:rStyle w:val="Artref"/>
                <w:color w:val="000000"/>
              </w:rPr>
              <w:t>5.282</w:t>
            </w:r>
          </w:p>
        </w:tc>
        <w:tc>
          <w:tcPr>
            <w:tcW w:w="3269" w:type="dxa"/>
            <w:tcBorders>
              <w:top w:val="single" w:sz="4" w:space="0" w:color="auto"/>
              <w:left w:val="single" w:sz="6" w:space="0" w:color="auto"/>
              <w:bottom w:val="single" w:sz="4" w:space="0" w:color="auto"/>
              <w:right w:val="single" w:sz="6" w:space="0" w:color="auto"/>
            </w:tcBorders>
          </w:tcPr>
          <w:p w:rsidR="004A6A8C" w:rsidRPr="004867BF" w:rsidRDefault="00612DC5" w:rsidP="00D94B99">
            <w:pPr>
              <w:pStyle w:val="TableTextS5"/>
              <w:spacing w:before="10" w:after="10"/>
              <w:ind w:left="300" w:right="130" w:hanging="170"/>
              <w:rPr>
                <w:color w:val="000000"/>
              </w:rPr>
            </w:pPr>
            <w:r w:rsidRPr="0046453D">
              <w:rPr>
                <w:rStyle w:val="Tablefreq"/>
              </w:rPr>
              <w:t>3 400-3 500</w:t>
            </w:r>
          </w:p>
          <w:p w:rsidR="004A6A8C" w:rsidRPr="004867BF" w:rsidRDefault="00612DC5" w:rsidP="00D94B99">
            <w:pPr>
              <w:pStyle w:val="TableTextS5"/>
              <w:spacing w:before="10" w:after="10"/>
              <w:ind w:left="300" w:right="130" w:hanging="170"/>
              <w:rPr>
                <w:color w:val="000000"/>
              </w:rPr>
            </w:pPr>
            <w:r>
              <w:rPr>
                <w:color w:val="000000"/>
              </w:rPr>
              <w:t>FIXE</w:t>
            </w:r>
          </w:p>
          <w:p w:rsidR="004A6A8C" w:rsidRPr="004867BF" w:rsidRDefault="00612DC5" w:rsidP="00A43E82">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612DC5" w:rsidP="00D94B99">
            <w:pPr>
              <w:pStyle w:val="TableTextS5"/>
              <w:spacing w:before="10" w:after="10"/>
              <w:ind w:left="300" w:right="130" w:hanging="170"/>
              <w:rPr>
                <w:color w:val="000000"/>
              </w:rPr>
            </w:pPr>
            <w:r w:rsidRPr="004867BF">
              <w:rPr>
                <w:color w:val="000000"/>
              </w:rPr>
              <w:t>Amateur</w:t>
            </w:r>
          </w:p>
          <w:p w:rsidR="004A6A8C" w:rsidRPr="004867BF" w:rsidRDefault="00612DC5" w:rsidP="00D94B99">
            <w:pPr>
              <w:pStyle w:val="TableTextS5"/>
              <w:spacing w:before="10" w:after="10"/>
              <w:ind w:left="300" w:right="130" w:hanging="170"/>
              <w:rPr>
                <w:color w:val="000000"/>
              </w:rPr>
            </w:pPr>
            <w:r>
              <w:rPr>
                <w:color w:val="000000"/>
              </w:rPr>
              <w:t xml:space="preserve">Mobile </w:t>
            </w:r>
            <w:r w:rsidRPr="004867BF">
              <w:rPr>
                <w:color w:val="000000"/>
              </w:rPr>
              <w:t xml:space="preserve"> 5.432B</w:t>
            </w:r>
          </w:p>
          <w:p w:rsidR="004A6A8C" w:rsidRDefault="00612DC5" w:rsidP="00D94B99">
            <w:pPr>
              <w:pStyle w:val="TableTextS5"/>
              <w:spacing w:before="10" w:after="10"/>
              <w:ind w:left="300" w:right="130" w:hanging="170"/>
              <w:rPr>
                <w:rStyle w:val="Tablefreq"/>
                <w:b w:val="0"/>
                <w:bCs/>
                <w:color w:val="000000"/>
              </w:rPr>
            </w:pPr>
            <w:r w:rsidRPr="00751443">
              <w:rPr>
                <w:color w:val="000000"/>
              </w:rPr>
              <w:t>Radiolocalisation</w:t>
            </w:r>
            <w:r w:rsidRPr="007D6EBE">
              <w:rPr>
                <w:color w:val="000000"/>
              </w:rPr>
              <w:t xml:space="preserve"> </w:t>
            </w:r>
            <w:r>
              <w:rPr>
                <w:color w:val="000000"/>
              </w:rPr>
              <w:t xml:space="preserve"> </w:t>
            </w:r>
            <w:r w:rsidRPr="00880E98">
              <w:t>5.433</w:t>
            </w:r>
            <w:r w:rsidRPr="00880E98">
              <w:br/>
              <w:t>5.282</w:t>
            </w:r>
            <w:r w:rsidRPr="004867BF">
              <w:rPr>
                <w:color w:val="000000"/>
              </w:rPr>
              <w:t xml:space="preserve"> </w:t>
            </w:r>
            <w:r>
              <w:rPr>
                <w:color w:val="000000"/>
              </w:rPr>
              <w:t xml:space="preserve"> </w:t>
            </w:r>
            <w:r w:rsidRPr="004867BF">
              <w:rPr>
                <w:color w:val="000000"/>
              </w:rPr>
              <w:t>5</w:t>
            </w:r>
            <w:r w:rsidRPr="00880E98">
              <w:t xml:space="preserve">.432 </w:t>
            </w:r>
            <w:r w:rsidRPr="006B6D2D">
              <w:rPr>
                <w:color w:val="000000"/>
              </w:rPr>
              <w:t xml:space="preserve"> 5.432A</w:t>
            </w:r>
          </w:p>
        </w:tc>
      </w:tr>
      <w:tr w:rsidR="004A6A8C" w:rsidTr="00F87C6C">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6" w:space="0" w:color="auto"/>
            </w:tcBorders>
          </w:tcPr>
          <w:p w:rsidR="004A6A8C" w:rsidRPr="004867BF" w:rsidRDefault="00CF5DA1" w:rsidP="00D94B99">
            <w:pPr>
              <w:pStyle w:val="TableTextS5"/>
              <w:spacing w:before="10" w:after="10"/>
              <w:ind w:left="300" w:right="130" w:hanging="170"/>
              <w:rPr>
                <w:rStyle w:val="Artref"/>
                <w:color w:val="000000"/>
              </w:rPr>
            </w:pPr>
          </w:p>
          <w:p w:rsidR="004A6A8C" w:rsidRPr="004867BF" w:rsidRDefault="00CF5DA1" w:rsidP="00D94B99">
            <w:pPr>
              <w:pStyle w:val="TableTextS5"/>
              <w:spacing w:before="10" w:after="10"/>
              <w:ind w:left="300" w:right="130" w:hanging="170"/>
              <w:rPr>
                <w:rStyle w:val="Artref"/>
                <w:color w:val="000000"/>
              </w:rPr>
            </w:pPr>
          </w:p>
          <w:p w:rsidR="004A6A8C" w:rsidRPr="004867BF" w:rsidRDefault="00CF5DA1" w:rsidP="00D94B99">
            <w:pPr>
              <w:pStyle w:val="TableTextS5"/>
              <w:spacing w:before="10" w:after="10"/>
              <w:ind w:left="300" w:right="130" w:hanging="170"/>
              <w:rPr>
                <w:rStyle w:val="Artref"/>
                <w:color w:val="000000"/>
              </w:rPr>
            </w:pPr>
          </w:p>
          <w:p w:rsidR="004A6A8C" w:rsidRPr="004867BF" w:rsidRDefault="00CF5DA1" w:rsidP="00D94B99">
            <w:pPr>
              <w:pStyle w:val="TableTextS5"/>
              <w:spacing w:before="10" w:after="10"/>
              <w:ind w:left="300" w:right="130" w:hanging="170"/>
              <w:rPr>
                <w:rStyle w:val="Artref"/>
                <w:color w:val="000000"/>
              </w:rPr>
            </w:pPr>
          </w:p>
          <w:p w:rsidR="004A6A8C" w:rsidRPr="004867BF" w:rsidRDefault="00CF5DA1" w:rsidP="00D94B99">
            <w:pPr>
              <w:pStyle w:val="TableTextS5"/>
              <w:spacing w:before="10" w:after="10"/>
              <w:ind w:left="300" w:right="130" w:hanging="170"/>
              <w:rPr>
                <w:rStyle w:val="Artref"/>
                <w:color w:val="000000"/>
              </w:rPr>
            </w:pPr>
          </w:p>
          <w:p w:rsidR="004A6A8C" w:rsidRPr="004867BF" w:rsidRDefault="00CF5DA1" w:rsidP="00D94B99">
            <w:pPr>
              <w:pStyle w:val="TableTextS5"/>
              <w:spacing w:before="10" w:after="10"/>
              <w:ind w:left="300" w:right="130" w:hanging="170"/>
              <w:rPr>
                <w:rStyle w:val="Artref"/>
                <w:color w:val="000000"/>
              </w:rPr>
            </w:pPr>
          </w:p>
          <w:p w:rsidR="004A6A8C" w:rsidRPr="009C2E69" w:rsidRDefault="00612DC5" w:rsidP="00F87C6C">
            <w:pPr>
              <w:pStyle w:val="TableTextS5"/>
              <w:spacing w:before="10" w:after="10"/>
              <w:ind w:left="300" w:right="130" w:hanging="170"/>
            </w:pPr>
            <w:r w:rsidRPr="006E560B">
              <w:t>5.431</w:t>
            </w:r>
          </w:p>
        </w:tc>
        <w:tc>
          <w:tcPr>
            <w:tcW w:w="3118" w:type="dxa"/>
            <w:tcBorders>
              <w:top w:val="single" w:sz="4" w:space="0" w:color="auto"/>
              <w:left w:val="single" w:sz="6" w:space="0" w:color="auto"/>
              <w:bottom w:val="single" w:sz="4" w:space="0" w:color="auto"/>
              <w:right w:val="single" w:sz="6" w:space="0" w:color="auto"/>
            </w:tcBorders>
          </w:tcPr>
          <w:p w:rsidR="004A6A8C" w:rsidRPr="004867BF" w:rsidRDefault="00612DC5" w:rsidP="00D94B99">
            <w:pPr>
              <w:pStyle w:val="TableTextS5"/>
              <w:spacing w:before="10" w:after="10"/>
              <w:ind w:left="300" w:right="130" w:hanging="170"/>
              <w:rPr>
                <w:color w:val="000000"/>
              </w:rPr>
            </w:pPr>
            <w:r w:rsidRPr="0046453D">
              <w:rPr>
                <w:rStyle w:val="Tablefreq"/>
              </w:rPr>
              <w:t>3 500-3 700</w:t>
            </w:r>
          </w:p>
          <w:p w:rsidR="004A6A8C" w:rsidRPr="004867BF" w:rsidRDefault="00612DC5" w:rsidP="00D94B99">
            <w:pPr>
              <w:pStyle w:val="TableTextS5"/>
              <w:spacing w:before="10" w:after="10"/>
              <w:ind w:left="300" w:right="130" w:hanging="170"/>
              <w:rPr>
                <w:color w:val="000000"/>
              </w:rPr>
            </w:pPr>
            <w:r w:rsidRPr="004867BF">
              <w:rPr>
                <w:color w:val="000000"/>
              </w:rPr>
              <w:t>FIXE</w:t>
            </w:r>
          </w:p>
          <w:p w:rsidR="004A6A8C" w:rsidRDefault="00612DC5" w:rsidP="00D94B99">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4A6A8C" w:rsidRPr="002151BA" w:rsidRDefault="00612DC5" w:rsidP="00D94B99">
            <w:pPr>
              <w:pStyle w:val="TableTextS5"/>
              <w:spacing w:before="10" w:after="10"/>
              <w:ind w:left="300" w:right="130" w:hanging="170"/>
              <w:rPr>
                <w:color w:val="000000"/>
              </w:rPr>
            </w:pPr>
            <w:r>
              <w:rPr>
                <w:color w:val="000000"/>
              </w:rPr>
              <w:t xml:space="preserve">MOBILE sauf mobile </w:t>
            </w:r>
            <w:r>
              <w:rPr>
                <w:color w:val="000000"/>
              </w:rPr>
              <w:br/>
              <w:t>aéronautique</w:t>
            </w:r>
          </w:p>
          <w:p w:rsidR="004A6A8C" w:rsidRDefault="00612DC5" w:rsidP="00D94B99">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69" w:type="dxa"/>
            <w:tcBorders>
              <w:top w:val="single" w:sz="4" w:space="0" w:color="auto"/>
              <w:left w:val="single" w:sz="6" w:space="0" w:color="auto"/>
              <w:bottom w:val="single" w:sz="4" w:space="0" w:color="auto"/>
              <w:right w:val="single" w:sz="6" w:space="0" w:color="auto"/>
            </w:tcBorders>
          </w:tcPr>
          <w:p w:rsidR="004A6A8C" w:rsidRPr="004867BF" w:rsidRDefault="00612DC5" w:rsidP="00D94B99">
            <w:pPr>
              <w:pStyle w:val="TableTextS5"/>
              <w:spacing w:before="10" w:after="10"/>
              <w:ind w:left="300" w:right="130" w:hanging="170"/>
              <w:rPr>
                <w:color w:val="000000"/>
              </w:rPr>
            </w:pPr>
            <w:r w:rsidRPr="0046453D">
              <w:rPr>
                <w:rStyle w:val="Tablefreq"/>
              </w:rPr>
              <w:t>3 500-3 600</w:t>
            </w:r>
          </w:p>
          <w:p w:rsidR="004A6A8C" w:rsidRPr="004867BF" w:rsidRDefault="00612DC5" w:rsidP="00D94B99">
            <w:pPr>
              <w:pStyle w:val="TableTextS5"/>
              <w:spacing w:before="10" w:after="10"/>
              <w:ind w:left="300" w:right="130" w:hanging="170"/>
              <w:rPr>
                <w:color w:val="000000"/>
              </w:rPr>
            </w:pPr>
            <w:r>
              <w:rPr>
                <w:color w:val="000000"/>
              </w:rPr>
              <w:t>FIXE</w:t>
            </w:r>
          </w:p>
          <w:p w:rsidR="004A6A8C" w:rsidRPr="003A7B14" w:rsidRDefault="00612DC5" w:rsidP="00D94B99">
            <w:pPr>
              <w:pStyle w:val="TableTextS5"/>
              <w:spacing w:before="10" w:after="10"/>
              <w:ind w:left="300" w:right="130" w:hanging="170"/>
              <w:rPr>
                <w:color w:val="000000"/>
              </w:rPr>
            </w:pPr>
            <w:r w:rsidRPr="003A7B14">
              <w:rPr>
                <w:color w:val="000000"/>
              </w:rPr>
              <w:t>FIXE PAR SATELLITE (espace vers Terre)</w:t>
            </w:r>
          </w:p>
          <w:p w:rsidR="004A6A8C" w:rsidRPr="006B6D2D" w:rsidRDefault="00612DC5" w:rsidP="00D94B99">
            <w:pPr>
              <w:pStyle w:val="TableTextS5"/>
              <w:spacing w:before="10" w:after="10"/>
              <w:ind w:left="300" w:right="130" w:hanging="170"/>
              <w:rPr>
                <w:color w:val="000000"/>
              </w:rPr>
            </w:pPr>
            <w:r>
              <w:rPr>
                <w:color w:val="000000"/>
              </w:rPr>
              <w:t>MOBILE sauf mobile aéronautique</w:t>
            </w:r>
            <w:r w:rsidRPr="002151BA">
              <w:rPr>
                <w:color w:val="000000"/>
              </w:rPr>
              <w:t xml:space="preserve"> </w:t>
            </w:r>
            <w:r>
              <w:rPr>
                <w:color w:val="000000"/>
              </w:rPr>
              <w:t xml:space="preserve"> </w:t>
            </w:r>
            <w:r w:rsidRPr="006B6D2D">
              <w:rPr>
                <w:color w:val="000000"/>
              </w:rPr>
              <w:t>5.433A</w:t>
            </w:r>
          </w:p>
          <w:p w:rsidR="004A6A8C" w:rsidRDefault="00612DC5" w:rsidP="00D94B99">
            <w:pPr>
              <w:pStyle w:val="TableTextS5"/>
              <w:spacing w:before="10" w:after="10"/>
              <w:ind w:left="300" w:right="130" w:hanging="170"/>
              <w:rPr>
                <w:rStyle w:val="Tablefreq"/>
                <w:b w:val="0"/>
                <w:bCs/>
                <w:color w:val="000000"/>
              </w:rPr>
            </w:pPr>
            <w:r w:rsidRPr="00AA0E23">
              <w:rPr>
                <w:color w:val="000000"/>
              </w:rPr>
              <w:t>Radiolocalisation</w:t>
            </w:r>
            <w:r w:rsidRPr="004867BF">
              <w:rPr>
                <w:color w:val="000000"/>
              </w:rPr>
              <w:t xml:space="preserve">  </w:t>
            </w:r>
            <w:r w:rsidRPr="00880E98">
              <w:t>5.433</w:t>
            </w:r>
          </w:p>
        </w:tc>
      </w:tr>
    </w:tbl>
    <w:p w:rsidR="00577770" w:rsidRPr="00577770" w:rsidRDefault="0094220C" w:rsidP="006822FA">
      <w:pPr>
        <w:pStyle w:val="Reasons"/>
        <w:rPr>
          <w:b/>
          <w:bCs/>
          <w:lang w:val="fr-CH"/>
        </w:rPr>
      </w:pPr>
      <w:r w:rsidRPr="00577770">
        <w:rPr>
          <w:b/>
          <w:bCs/>
          <w:lang w:val="fr-CH"/>
        </w:rPr>
        <w:lastRenderedPageBreak/>
        <w:t>Motifs:</w:t>
      </w:r>
      <w:r w:rsidRPr="00577770">
        <w:rPr>
          <w:b/>
          <w:bCs/>
          <w:lang w:val="fr-CH"/>
        </w:rPr>
        <w:tab/>
      </w:r>
      <w:r w:rsidR="00577770" w:rsidRPr="00577770">
        <w:rPr>
          <w:lang w:val="fr-CH"/>
        </w:rPr>
        <w:t>N'apporter</w:t>
      </w:r>
      <w:r w:rsidR="00577770">
        <w:rPr>
          <w:lang w:val="fr-CH"/>
        </w:rPr>
        <w:t xml:space="preserve"> a</w:t>
      </w:r>
      <w:r w:rsidR="00577770" w:rsidRPr="00577770">
        <w:rPr>
          <w:lang w:val="fr-CH"/>
        </w:rPr>
        <w:t>ucune modification en ce qui concerne la bande de fréquences 3 400-3 600 MHz</w:t>
      </w:r>
      <w:r w:rsidR="00577770">
        <w:rPr>
          <w:lang w:val="fr-CH"/>
        </w:rPr>
        <w:t xml:space="preserve">, </w:t>
      </w:r>
      <w:r w:rsidR="006822FA">
        <w:rPr>
          <w:lang w:val="fr-CH"/>
        </w:rPr>
        <w:t>pour les raisons suivantes</w:t>
      </w:r>
      <w:r w:rsidR="00577770">
        <w:rPr>
          <w:lang w:val="fr-CH"/>
        </w:rPr>
        <w:t>:</w:t>
      </w:r>
    </w:p>
    <w:p w:rsidR="0094220C" w:rsidRPr="00577770" w:rsidRDefault="0094220C" w:rsidP="004E7023">
      <w:pPr>
        <w:pStyle w:val="Reasons"/>
        <w:ind w:left="1134" w:hanging="1134"/>
        <w:rPr>
          <w:lang w:val="fr-CH"/>
        </w:rPr>
      </w:pPr>
      <w:r w:rsidRPr="00577770">
        <w:rPr>
          <w:lang w:val="fr-CH"/>
        </w:rPr>
        <w:t>–</w:t>
      </w:r>
      <w:r w:rsidRPr="00577770">
        <w:rPr>
          <w:lang w:val="fr-CH"/>
        </w:rPr>
        <w:tab/>
      </w:r>
      <w:r w:rsidR="006822FA">
        <w:rPr>
          <w:lang w:val="fr-CH"/>
        </w:rPr>
        <w:t>L</w:t>
      </w:r>
      <w:r w:rsidR="00577770" w:rsidRPr="00577770">
        <w:rPr>
          <w:lang w:val="fr-CH"/>
        </w:rPr>
        <w:t xml:space="preserve">a bande de fréquences </w:t>
      </w:r>
      <w:r w:rsidR="00577770" w:rsidRPr="00577770">
        <w:rPr>
          <w:color w:val="000000"/>
          <w:lang w:val="fr-CH"/>
        </w:rPr>
        <w:t>3 400-3 600 MHz</w:t>
      </w:r>
      <w:r w:rsidR="00577770">
        <w:rPr>
          <w:color w:val="000000"/>
          <w:lang w:val="fr-CH"/>
        </w:rPr>
        <w:t xml:space="preserve"> a été étudiée au titre du point 1.4 de l'ordre du jour de la CMR-07. </w:t>
      </w:r>
      <w:r>
        <w:rPr>
          <w:szCs w:val="24"/>
          <w:lang w:val="fr-CH" w:eastAsia="ja-JP"/>
        </w:rPr>
        <w:t xml:space="preserve">A l'issue d'un échange de vues approfondi et prolongé, un consensus s'est dégagé, en ce qui concerne les </w:t>
      </w:r>
      <w:r w:rsidR="004E7023">
        <w:rPr>
          <w:szCs w:val="24"/>
          <w:lang w:val="fr-CH" w:eastAsia="ja-JP"/>
        </w:rPr>
        <w:t>Régions 1 et 3, pour attribuer cette</w:t>
      </w:r>
      <w:r>
        <w:rPr>
          <w:szCs w:val="24"/>
          <w:lang w:val="fr-CH" w:eastAsia="ja-JP"/>
        </w:rPr>
        <w:t xml:space="preserve"> bande au SM et/ou pour </w:t>
      </w:r>
      <w:r w:rsidR="004E7023">
        <w:rPr>
          <w:szCs w:val="24"/>
          <w:lang w:val="fr-CH" w:eastAsia="ja-JP"/>
        </w:rPr>
        <w:t>l'</w:t>
      </w:r>
      <w:r>
        <w:rPr>
          <w:szCs w:val="24"/>
          <w:lang w:val="fr-CH" w:eastAsia="ja-JP"/>
        </w:rPr>
        <w:t xml:space="preserve">identifier pour les IMT dans des renvois (numéros </w:t>
      </w:r>
      <w:r w:rsidRPr="00B563A8">
        <w:rPr>
          <w:bCs/>
          <w:szCs w:val="24"/>
          <w:lang w:val="fr-CH" w:eastAsia="ja-JP"/>
        </w:rPr>
        <w:t>5.430A, 5.432A, 5.432B et 5.433A</w:t>
      </w:r>
      <w:r>
        <w:rPr>
          <w:bCs/>
          <w:szCs w:val="24"/>
          <w:lang w:val="fr-CH" w:eastAsia="ja-JP"/>
        </w:rPr>
        <w:t xml:space="preserve"> du </w:t>
      </w:r>
      <w:r w:rsidR="00B94E0A">
        <w:rPr>
          <w:szCs w:val="24"/>
          <w:lang w:val="fr-CH" w:eastAsia="ja-JP"/>
        </w:rPr>
        <w:t>RR), selon le cas</w:t>
      </w:r>
      <w:r w:rsidR="001C4600">
        <w:rPr>
          <w:szCs w:val="24"/>
          <w:lang w:val="fr-CH" w:eastAsia="ja-JP"/>
        </w:rPr>
        <w:t>;</w:t>
      </w:r>
      <w:r w:rsidR="00B94E0A">
        <w:rPr>
          <w:szCs w:val="24"/>
          <w:lang w:val="fr-CH" w:eastAsia="ja-JP"/>
        </w:rPr>
        <w:t xml:space="preserve"> i</w:t>
      </w:r>
      <w:r>
        <w:rPr>
          <w:szCs w:val="24"/>
          <w:lang w:val="fr-CH" w:eastAsia="ja-JP"/>
        </w:rPr>
        <w:t>l faut maintenir les principes sur la base desquels la CMR</w:t>
      </w:r>
      <w:r>
        <w:rPr>
          <w:szCs w:val="24"/>
          <w:lang w:val="fr-CH" w:eastAsia="ja-JP"/>
        </w:rPr>
        <w:noBreakHyphen/>
        <w:t>07 est parvenue à ce consensus</w:t>
      </w:r>
      <w:r w:rsidR="006822FA">
        <w:rPr>
          <w:szCs w:val="24"/>
          <w:lang w:val="fr-CH" w:eastAsia="ja-JP"/>
        </w:rPr>
        <w:t>.</w:t>
      </w:r>
    </w:p>
    <w:p w:rsidR="003F2CDB" w:rsidRPr="00B94E0A" w:rsidRDefault="003F2CDB" w:rsidP="006822FA">
      <w:pPr>
        <w:pStyle w:val="Reasons"/>
        <w:ind w:left="1134" w:hanging="1134"/>
        <w:rPr>
          <w:lang w:val="fr-CH"/>
        </w:rPr>
      </w:pPr>
      <w:r w:rsidRPr="00B94E0A">
        <w:rPr>
          <w:lang w:val="fr-CH"/>
        </w:rPr>
        <w:t>–</w:t>
      </w:r>
      <w:r w:rsidRPr="00B94E0A">
        <w:rPr>
          <w:lang w:val="fr-CH"/>
        </w:rPr>
        <w:tab/>
      </w:r>
      <w:r w:rsidR="006822FA">
        <w:rPr>
          <w:lang w:val="fr-CH"/>
        </w:rPr>
        <w:t>L</w:t>
      </w:r>
      <w:r w:rsidRPr="00B94E0A">
        <w:rPr>
          <w:lang w:val="fr-CH"/>
        </w:rPr>
        <w:t xml:space="preserve">es conclusions </w:t>
      </w:r>
      <w:r w:rsidR="00B94E0A" w:rsidRPr="00B94E0A">
        <w:rPr>
          <w:lang w:val="fr-CH"/>
        </w:rPr>
        <w:t xml:space="preserve">de certaines études </w:t>
      </w:r>
      <w:r w:rsidRPr="00B94E0A">
        <w:rPr>
          <w:lang w:val="fr-CH"/>
        </w:rPr>
        <w:t>indiqu</w:t>
      </w:r>
      <w:r w:rsidR="00B94E0A" w:rsidRPr="00B94E0A">
        <w:rPr>
          <w:lang w:val="fr-CH"/>
        </w:rPr>
        <w:t>e</w:t>
      </w:r>
      <w:r w:rsidRPr="00B94E0A">
        <w:rPr>
          <w:lang w:val="fr-CH"/>
        </w:rPr>
        <w:t>nt une forte incompatibilité entre les IMT et les services par satellite, dans les cas où de nombreux systèmes du SFS sont ou seront déployés</w:t>
      </w:r>
      <w:r w:rsidR="006822FA">
        <w:rPr>
          <w:lang w:val="fr-CH"/>
        </w:rPr>
        <w:t>.</w:t>
      </w:r>
    </w:p>
    <w:p w:rsidR="003F2CDB" w:rsidRPr="00B94E0A" w:rsidRDefault="003F2CDB" w:rsidP="006822FA">
      <w:pPr>
        <w:pStyle w:val="Reasons"/>
        <w:ind w:left="1134" w:hanging="1134"/>
        <w:rPr>
          <w:lang w:val="fr-CH"/>
        </w:rPr>
      </w:pPr>
      <w:r w:rsidRPr="00B94E0A">
        <w:rPr>
          <w:lang w:val="fr-CH"/>
        </w:rPr>
        <w:t>–</w:t>
      </w:r>
      <w:r w:rsidRPr="00B94E0A">
        <w:rPr>
          <w:lang w:val="fr-CH"/>
        </w:rPr>
        <w:tab/>
      </w:r>
      <w:r w:rsidR="006822FA">
        <w:rPr>
          <w:lang w:val="fr-CH"/>
        </w:rPr>
        <w:t>D</w:t>
      </w:r>
      <w:r w:rsidR="00B94E0A" w:rsidRPr="00B94E0A">
        <w:rPr>
          <w:lang w:val="fr-CH"/>
        </w:rPr>
        <w:t xml:space="preserve">es stations terriennes qui </w:t>
      </w:r>
      <w:r w:rsidR="00B94E0A">
        <w:rPr>
          <w:lang w:val="fr-CH"/>
        </w:rPr>
        <w:t>serve</w:t>
      </w:r>
      <w:r w:rsidR="00B94E0A" w:rsidRPr="00B94E0A">
        <w:rPr>
          <w:lang w:val="fr-CH"/>
        </w:rPr>
        <w:t xml:space="preserve">nt </w:t>
      </w:r>
      <w:r w:rsidR="00B94E0A">
        <w:rPr>
          <w:lang w:val="fr-CH"/>
        </w:rPr>
        <w:t xml:space="preserve">à </w:t>
      </w:r>
      <w:r w:rsidR="00B94E0A" w:rsidRPr="00B94E0A">
        <w:rPr>
          <w:lang w:val="fr-CH"/>
        </w:rPr>
        <w:t>assurer des services essentiels (y compris la sécurité) sont déjà déployées dans cette bande dans le monde entier</w:t>
      </w:r>
      <w:r w:rsidR="006822FA">
        <w:rPr>
          <w:lang w:val="fr-CH"/>
        </w:rPr>
        <w:t>.</w:t>
      </w:r>
    </w:p>
    <w:p w:rsidR="00B94E0A" w:rsidRPr="00B94E0A" w:rsidRDefault="003F2CDB" w:rsidP="00994E9C">
      <w:pPr>
        <w:pStyle w:val="Reasons"/>
        <w:ind w:left="1134" w:hanging="1134"/>
        <w:rPr>
          <w:lang w:val="fr-CH"/>
        </w:rPr>
      </w:pPr>
      <w:r w:rsidRPr="00B94E0A">
        <w:rPr>
          <w:lang w:val="fr-CH"/>
        </w:rPr>
        <w:t>–</w:t>
      </w:r>
      <w:r w:rsidRPr="00B94E0A">
        <w:rPr>
          <w:lang w:val="fr-CH"/>
        </w:rPr>
        <w:tab/>
      </w:r>
      <w:r w:rsidR="006822FA">
        <w:rPr>
          <w:lang w:val="fr-CH"/>
        </w:rPr>
        <w:t>C</w:t>
      </w:r>
      <w:r w:rsidR="00B94E0A" w:rsidRPr="00B94E0A">
        <w:rPr>
          <w:lang w:val="fr-CH"/>
        </w:rPr>
        <w:t xml:space="preserve">ette bande </w:t>
      </w:r>
      <w:r w:rsidR="006822FA">
        <w:rPr>
          <w:lang w:val="fr-CH"/>
        </w:rPr>
        <w:t>offre</w:t>
      </w:r>
      <w:r w:rsidR="00B94E0A" w:rsidRPr="00B94E0A">
        <w:rPr>
          <w:lang w:val="fr-CH"/>
        </w:rPr>
        <w:t xml:space="preserve"> une résista</w:t>
      </w:r>
      <w:r w:rsidR="00B94E0A">
        <w:rPr>
          <w:lang w:val="fr-CH"/>
        </w:rPr>
        <w:t>nce élevée à l'évanouissement des</w:t>
      </w:r>
      <w:r w:rsidR="00B94E0A" w:rsidRPr="00B94E0A">
        <w:rPr>
          <w:lang w:val="fr-CH"/>
        </w:rPr>
        <w:t xml:space="preserve"> signa</w:t>
      </w:r>
      <w:r w:rsidR="00B94E0A">
        <w:rPr>
          <w:lang w:val="fr-CH"/>
        </w:rPr>
        <w:t>ux</w:t>
      </w:r>
      <w:r w:rsidR="00B94E0A" w:rsidRPr="00B94E0A">
        <w:rPr>
          <w:lang w:val="fr-CH"/>
        </w:rPr>
        <w:t xml:space="preserve"> d</w:t>
      </w:r>
      <w:r w:rsidR="00B94E0A">
        <w:rPr>
          <w:lang w:val="fr-CH"/>
        </w:rPr>
        <w:t xml:space="preserve">û à la pluie, ce qui renforce </w:t>
      </w:r>
      <w:r w:rsidR="006822FA">
        <w:rPr>
          <w:lang w:val="fr-CH"/>
        </w:rPr>
        <w:t xml:space="preserve">son </w:t>
      </w:r>
      <w:r w:rsidR="00B94E0A">
        <w:rPr>
          <w:lang w:val="fr-CH"/>
        </w:rPr>
        <w:t xml:space="preserve">importance dans les régions à fortes précipitations ou pour des </w:t>
      </w:r>
      <w:r w:rsidR="00D12E0B">
        <w:rPr>
          <w:lang w:val="fr-CH"/>
        </w:rPr>
        <w:t xml:space="preserve">applications </w:t>
      </w:r>
      <w:r w:rsidR="006822FA">
        <w:rPr>
          <w:lang w:val="fr-CH"/>
        </w:rPr>
        <w:t>essentiell</w:t>
      </w:r>
      <w:r w:rsidR="00D12E0B">
        <w:rPr>
          <w:lang w:val="fr-CH"/>
        </w:rPr>
        <w:t>es q</w:t>
      </w:r>
      <w:r w:rsidR="00B94E0A">
        <w:rPr>
          <w:lang w:val="fr-CH"/>
        </w:rPr>
        <w:t xml:space="preserve">ui nécessitent un taux de disponibilité élevé, tels que les systèmes de télémétrie, de poursuite et de télécommande </w:t>
      </w:r>
      <w:r w:rsidR="00994E9C">
        <w:rPr>
          <w:lang w:val="fr-CH"/>
        </w:rPr>
        <w:t>pour les</w:t>
      </w:r>
      <w:r w:rsidR="00B94E0A">
        <w:rPr>
          <w:lang w:val="fr-CH"/>
        </w:rPr>
        <w:t xml:space="preserve"> services par satellite </w:t>
      </w:r>
      <w:r w:rsidR="006822FA">
        <w:rPr>
          <w:lang w:val="fr-CH"/>
        </w:rPr>
        <w:t>ou</w:t>
      </w:r>
      <w:r w:rsidR="00B94E0A">
        <w:rPr>
          <w:lang w:val="fr-CH"/>
        </w:rPr>
        <w:t xml:space="preserve"> les systèmes bancaires.</w:t>
      </w:r>
    </w:p>
    <w:p w:rsidR="006822FA" w:rsidRPr="006822FA" w:rsidRDefault="003F2CDB" w:rsidP="006822FA">
      <w:pPr>
        <w:pStyle w:val="Reasons"/>
        <w:ind w:left="1134" w:hanging="1134"/>
        <w:rPr>
          <w:lang w:val="fr-CH"/>
        </w:rPr>
      </w:pPr>
      <w:r w:rsidRPr="006822FA">
        <w:rPr>
          <w:lang w:val="fr-CH"/>
        </w:rPr>
        <w:t>–</w:t>
      </w:r>
      <w:r w:rsidRPr="006822FA">
        <w:rPr>
          <w:lang w:val="fr-CH"/>
        </w:rPr>
        <w:tab/>
      </w:r>
      <w:r w:rsidR="006822FA" w:rsidRPr="006822FA">
        <w:rPr>
          <w:lang w:val="fr-CH"/>
        </w:rPr>
        <w:t xml:space="preserve">Les différents opérateurs de satellites </w:t>
      </w:r>
      <w:r w:rsidR="00994E9C">
        <w:rPr>
          <w:lang w:val="fr-CH"/>
        </w:rPr>
        <w:t xml:space="preserve">qui exploitent cette bande </w:t>
      </w:r>
      <w:r w:rsidR="006822FA" w:rsidRPr="006822FA">
        <w:rPr>
          <w:lang w:val="fr-CH"/>
        </w:rPr>
        <w:t xml:space="preserve">fournissent de nombreuses applications et services, </w:t>
      </w:r>
      <w:r w:rsidR="006822FA">
        <w:rPr>
          <w:lang w:val="fr-CH"/>
        </w:rPr>
        <w:t>à savoir</w:t>
      </w:r>
      <w:r w:rsidR="006822FA" w:rsidRPr="006822FA">
        <w:rPr>
          <w:lang w:val="fr-CH"/>
        </w:rPr>
        <w:t>:</w:t>
      </w:r>
    </w:p>
    <w:p w:rsidR="006822FA" w:rsidRPr="006822FA" w:rsidRDefault="003F2CDB" w:rsidP="00994E9C">
      <w:pPr>
        <w:pStyle w:val="Reasons"/>
        <w:spacing w:before="80"/>
        <w:ind w:left="1587" w:hanging="425"/>
        <w:rPr>
          <w:lang w:val="fr-CH"/>
        </w:rPr>
      </w:pPr>
      <w:r w:rsidRPr="006822FA">
        <w:rPr>
          <w:lang w:val="fr-CH"/>
        </w:rPr>
        <w:t>•</w:t>
      </w:r>
      <w:r w:rsidRPr="006822FA">
        <w:rPr>
          <w:lang w:val="fr-CH"/>
        </w:rPr>
        <w:tab/>
      </w:r>
      <w:r w:rsidR="006822FA" w:rsidRPr="006822FA">
        <w:rPr>
          <w:lang w:val="fr-CH"/>
        </w:rPr>
        <w:t xml:space="preserve">des services financiers et bancaires, cette bande </w:t>
      </w:r>
      <w:r w:rsidR="001C4600">
        <w:rPr>
          <w:lang w:val="fr-CH"/>
        </w:rPr>
        <w:t xml:space="preserve">étant utilisée </w:t>
      </w:r>
      <w:r w:rsidR="006822FA" w:rsidRPr="006822FA">
        <w:rPr>
          <w:lang w:val="fr-CH"/>
        </w:rPr>
        <w:t>pour desservir des régions isolées et améliorer la connectivité des zones rurales sur l'ensemble d</w:t>
      </w:r>
      <w:r w:rsidR="00994E9C">
        <w:rPr>
          <w:lang w:val="fr-CH"/>
        </w:rPr>
        <w:t>es</w:t>
      </w:r>
      <w:r w:rsidR="006822FA" w:rsidRPr="006822FA">
        <w:rPr>
          <w:lang w:val="fr-CH"/>
        </w:rPr>
        <w:t xml:space="preserve"> territoire</w:t>
      </w:r>
      <w:r w:rsidR="00994E9C">
        <w:rPr>
          <w:lang w:val="fr-CH"/>
        </w:rPr>
        <w:t>s</w:t>
      </w:r>
      <w:r w:rsidR="006822FA" w:rsidRPr="006822FA">
        <w:rPr>
          <w:lang w:val="fr-CH"/>
        </w:rPr>
        <w:t xml:space="preserve"> </w:t>
      </w:r>
      <w:r w:rsidR="00994E9C">
        <w:rPr>
          <w:lang w:val="fr-CH"/>
        </w:rPr>
        <w:t>nationaux;</w:t>
      </w:r>
    </w:p>
    <w:p w:rsidR="003F2CDB" w:rsidRPr="00993155" w:rsidRDefault="003F2CDB" w:rsidP="00993155">
      <w:pPr>
        <w:pStyle w:val="Reasons"/>
        <w:spacing w:before="80"/>
        <w:ind w:left="1587" w:hanging="425"/>
        <w:rPr>
          <w:lang w:val="fr-CH"/>
        </w:rPr>
      </w:pPr>
      <w:r w:rsidRPr="006067F8">
        <w:rPr>
          <w:lang w:val="fr-CH"/>
        </w:rPr>
        <w:t>•</w:t>
      </w:r>
      <w:r w:rsidRPr="006067F8">
        <w:rPr>
          <w:lang w:val="fr-CH"/>
        </w:rPr>
        <w:tab/>
      </w:r>
      <w:r w:rsidR="006822FA">
        <w:rPr>
          <w:lang w:val="fr-CH"/>
        </w:rPr>
        <w:t xml:space="preserve">des </w:t>
      </w:r>
      <w:r w:rsidRPr="00993155">
        <w:rPr>
          <w:lang w:val="fr-CH"/>
        </w:rPr>
        <w:t>réseaux de microstations;</w:t>
      </w:r>
    </w:p>
    <w:p w:rsidR="003F2CDB" w:rsidRPr="00993155" w:rsidRDefault="003F2CDB" w:rsidP="00993155">
      <w:pPr>
        <w:pStyle w:val="Reasons"/>
        <w:spacing w:before="80"/>
        <w:ind w:left="1587" w:hanging="425"/>
        <w:rPr>
          <w:lang w:val="fr-CH"/>
        </w:rPr>
      </w:pPr>
      <w:r w:rsidRPr="00993155">
        <w:rPr>
          <w:lang w:val="fr-CH"/>
        </w:rPr>
        <w:t>•</w:t>
      </w:r>
      <w:r w:rsidRPr="00993155">
        <w:rPr>
          <w:lang w:val="fr-CH"/>
        </w:rPr>
        <w:tab/>
      </w:r>
      <w:r w:rsidR="006822FA" w:rsidRPr="00993155">
        <w:rPr>
          <w:lang w:val="fr-CH"/>
        </w:rPr>
        <w:t xml:space="preserve">des </w:t>
      </w:r>
      <w:r w:rsidRPr="00993155">
        <w:rPr>
          <w:lang w:val="fr-CH"/>
        </w:rPr>
        <w:t>services Internet</w:t>
      </w:r>
      <w:r w:rsidR="006822FA" w:rsidRPr="00993155">
        <w:rPr>
          <w:lang w:val="fr-CH"/>
        </w:rPr>
        <w:t xml:space="preserve"> et des</w:t>
      </w:r>
      <w:r w:rsidRPr="00993155">
        <w:rPr>
          <w:lang w:val="fr-CH"/>
        </w:rPr>
        <w:t xml:space="preserve"> liaisons point à point;</w:t>
      </w:r>
    </w:p>
    <w:p w:rsidR="003F2CDB" w:rsidRPr="00993155" w:rsidRDefault="003F2CDB" w:rsidP="00993155">
      <w:pPr>
        <w:pStyle w:val="Reasons"/>
        <w:spacing w:before="80"/>
        <w:ind w:left="1587" w:hanging="425"/>
        <w:rPr>
          <w:lang w:val="fr-CH"/>
        </w:rPr>
      </w:pPr>
      <w:r w:rsidRPr="00993155">
        <w:rPr>
          <w:lang w:val="fr-CH"/>
        </w:rPr>
        <w:t>•</w:t>
      </w:r>
      <w:r w:rsidRPr="00993155">
        <w:rPr>
          <w:lang w:val="fr-CH"/>
        </w:rPr>
        <w:tab/>
      </w:r>
      <w:r w:rsidR="006822FA" w:rsidRPr="00993155">
        <w:rPr>
          <w:lang w:val="fr-CH"/>
        </w:rPr>
        <w:t xml:space="preserve">des </w:t>
      </w:r>
      <w:r w:rsidRPr="00993155">
        <w:rPr>
          <w:lang w:val="fr-CH"/>
        </w:rPr>
        <w:t>report</w:t>
      </w:r>
      <w:r w:rsidR="006822FA" w:rsidRPr="00993155">
        <w:rPr>
          <w:lang w:val="fr-CH"/>
        </w:rPr>
        <w:t>ages d'actualités par satellite et</w:t>
      </w:r>
      <w:r w:rsidRPr="00993155">
        <w:rPr>
          <w:lang w:val="fr-CH"/>
        </w:rPr>
        <w:t xml:space="preserve"> </w:t>
      </w:r>
      <w:r w:rsidR="006822FA" w:rsidRPr="00993155">
        <w:rPr>
          <w:lang w:val="fr-CH"/>
        </w:rPr>
        <w:t xml:space="preserve">des services de </w:t>
      </w:r>
      <w:r w:rsidRPr="00993155">
        <w:rPr>
          <w:lang w:val="fr-CH"/>
        </w:rPr>
        <w:t>radiodiffusion télévisuelle et de données par satellite;</w:t>
      </w:r>
    </w:p>
    <w:p w:rsidR="003F2CDB" w:rsidRPr="00993155" w:rsidRDefault="003F2CDB" w:rsidP="00993155">
      <w:pPr>
        <w:pStyle w:val="Reasons"/>
        <w:spacing w:before="80"/>
        <w:ind w:left="1587" w:hanging="425"/>
        <w:rPr>
          <w:lang w:val="fr-CH"/>
        </w:rPr>
      </w:pPr>
      <w:r w:rsidRPr="00993155">
        <w:rPr>
          <w:lang w:val="fr-CH"/>
        </w:rPr>
        <w:t>•</w:t>
      </w:r>
      <w:r w:rsidRPr="00993155">
        <w:rPr>
          <w:lang w:val="fr-CH"/>
        </w:rPr>
        <w:tab/>
      </w:r>
      <w:r w:rsidR="006822FA" w:rsidRPr="00993155">
        <w:rPr>
          <w:lang w:val="fr-CH"/>
        </w:rPr>
        <w:t xml:space="preserve">des </w:t>
      </w:r>
      <w:r w:rsidRPr="00993155">
        <w:rPr>
          <w:lang w:val="fr-CH"/>
        </w:rPr>
        <w:t>récepteurs pour la réception directe par satellite chez les particuliers;</w:t>
      </w:r>
    </w:p>
    <w:p w:rsidR="003F2CDB" w:rsidRPr="00993155" w:rsidRDefault="003F2CDB" w:rsidP="00993155">
      <w:pPr>
        <w:pStyle w:val="Reasons"/>
        <w:spacing w:before="80"/>
        <w:ind w:left="1587" w:hanging="425"/>
        <w:rPr>
          <w:lang w:val="fr-CH"/>
        </w:rPr>
      </w:pPr>
      <w:r w:rsidRPr="00993155">
        <w:rPr>
          <w:lang w:val="fr-CH"/>
        </w:rPr>
        <w:t>•</w:t>
      </w:r>
      <w:r w:rsidRPr="00993155">
        <w:rPr>
          <w:lang w:val="fr-CH"/>
        </w:rPr>
        <w:tab/>
      </w:r>
      <w:r w:rsidR="006822FA" w:rsidRPr="00993155">
        <w:rPr>
          <w:lang w:val="fr-CH"/>
        </w:rPr>
        <w:t xml:space="preserve">des </w:t>
      </w:r>
      <w:r w:rsidRPr="00993155">
        <w:rPr>
          <w:lang w:val="fr-CH"/>
        </w:rPr>
        <w:t>liaisons de connexion pour le service mobile par satellite</w:t>
      </w:r>
      <w:r w:rsidR="003D5144" w:rsidRPr="00993155">
        <w:rPr>
          <w:lang w:val="fr-CH"/>
        </w:rPr>
        <w:t>;</w:t>
      </w:r>
    </w:p>
    <w:p w:rsidR="003D5144" w:rsidRPr="00993155" w:rsidRDefault="003D5144" w:rsidP="001C4600">
      <w:pPr>
        <w:pStyle w:val="Reasons"/>
        <w:spacing w:before="80"/>
        <w:ind w:left="1587" w:hanging="425"/>
        <w:rPr>
          <w:lang w:val="fr-CH"/>
        </w:rPr>
      </w:pPr>
      <w:r w:rsidRPr="00993155">
        <w:rPr>
          <w:lang w:val="fr-CH"/>
        </w:rPr>
        <w:t>•</w:t>
      </w:r>
      <w:r w:rsidRPr="00993155">
        <w:rPr>
          <w:lang w:val="fr-CH"/>
        </w:rPr>
        <w:tab/>
        <w:t xml:space="preserve">des </w:t>
      </w:r>
      <w:r w:rsidR="006719FF" w:rsidRPr="00993155">
        <w:rPr>
          <w:lang w:val="fr-CH"/>
        </w:rPr>
        <w:t>liaisons de communication</w:t>
      </w:r>
      <w:r w:rsidRPr="00993155">
        <w:rPr>
          <w:lang w:val="fr-CH"/>
        </w:rPr>
        <w:t xml:space="preserve"> pour la sécurité et les opérations de secours en cas de catastrophe</w:t>
      </w:r>
      <w:r w:rsidR="006719FF" w:rsidRPr="00993155">
        <w:rPr>
          <w:lang w:val="fr-CH"/>
        </w:rPr>
        <w:t xml:space="preserve">, secteurs </w:t>
      </w:r>
      <w:r w:rsidR="001C4600">
        <w:rPr>
          <w:lang w:val="fr-CH"/>
        </w:rPr>
        <w:t>qui font largement appel aux</w:t>
      </w:r>
      <w:r w:rsidR="006719FF" w:rsidRPr="00993155">
        <w:rPr>
          <w:lang w:val="fr-CH"/>
        </w:rPr>
        <w:t xml:space="preserve"> satellites exploités dans cette bande</w:t>
      </w:r>
      <w:r w:rsidRPr="00993155">
        <w:rPr>
          <w:lang w:val="fr-CH"/>
        </w:rPr>
        <w:t>;</w:t>
      </w:r>
    </w:p>
    <w:p w:rsidR="003D5144" w:rsidRPr="003F2CDB" w:rsidRDefault="003D5144" w:rsidP="003C688B">
      <w:pPr>
        <w:pStyle w:val="Reasons"/>
        <w:spacing w:before="80"/>
        <w:ind w:left="1587" w:hanging="425"/>
        <w:rPr>
          <w:lang w:val="fr-CH"/>
        </w:rPr>
      </w:pPr>
      <w:r w:rsidRPr="00993155">
        <w:rPr>
          <w:lang w:val="fr-CH"/>
        </w:rPr>
        <w:t>•</w:t>
      </w:r>
      <w:r w:rsidRPr="00993155">
        <w:rPr>
          <w:lang w:val="fr-CH"/>
        </w:rPr>
        <w:tab/>
      </w:r>
      <w:r w:rsidR="006822FA" w:rsidRPr="00993155">
        <w:rPr>
          <w:lang w:val="fr-CH"/>
        </w:rPr>
        <w:t xml:space="preserve">des systèmes </w:t>
      </w:r>
      <w:r w:rsidRPr="00993155">
        <w:rPr>
          <w:lang w:val="fr-CH"/>
        </w:rPr>
        <w:t xml:space="preserve">de </w:t>
      </w:r>
      <w:r w:rsidR="00994E9C" w:rsidRPr="00993155">
        <w:rPr>
          <w:lang w:val="fr-CH"/>
        </w:rPr>
        <w:t>télémesure</w:t>
      </w:r>
      <w:r w:rsidR="00994E9C">
        <w:rPr>
          <w:lang w:val="fr-CH"/>
        </w:rPr>
        <w:t>, de</w:t>
      </w:r>
      <w:r w:rsidR="00994E9C" w:rsidRPr="00993155">
        <w:rPr>
          <w:lang w:val="fr-CH"/>
        </w:rPr>
        <w:t xml:space="preserve"> </w:t>
      </w:r>
      <w:r w:rsidRPr="00993155">
        <w:rPr>
          <w:lang w:val="fr-CH"/>
        </w:rPr>
        <w:t>poursuite et de télécommande (TT&amp;C) dans le cadre de l'attribution au SFS</w:t>
      </w:r>
      <w:r w:rsidR="006822FA" w:rsidRPr="00993155">
        <w:rPr>
          <w:lang w:val="fr-CH"/>
        </w:rPr>
        <w:t>.</w:t>
      </w:r>
    </w:p>
    <w:p w:rsidR="003F2CDB" w:rsidRPr="00994E9C" w:rsidRDefault="008F4C83" w:rsidP="00994E9C">
      <w:pPr>
        <w:pStyle w:val="Reasons"/>
        <w:ind w:left="1134" w:hanging="1134"/>
        <w:rPr>
          <w:lang w:val="fr-CH"/>
        </w:rPr>
      </w:pPr>
      <w:r w:rsidRPr="00994E9C">
        <w:rPr>
          <w:lang w:val="fr-CH"/>
        </w:rPr>
        <w:t>–</w:t>
      </w:r>
      <w:r w:rsidRPr="00994E9C">
        <w:rPr>
          <w:lang w:val="fr-CH"/>
        </w:rPr>
        <w:tab/>
      </w:r>
      <w:r w:rsidR="00994E9C" w:rsidRPr="00994E9C">
        <w:t xml:space="preserve">Les services par satellite exploités dans cette bande ne peuvent pas être reproduits dans d'autres bandes attribuées aux services par satellite ou au moyen de systèmes de Terre, car les techniques sont suffisamment au point et permettent de trouver des équipements 20% à 100% moins chers que les équipements équivalents fonctionnant </w:t>
      </w:r>
      <w:r w:rsidR="00994E9C">
        <w:t>dans d'autres bandes</w:t>
      </w:r>
      <w:r w:rsidR="00994E9C" w:rsidRPr="00994E9C">
        <w:t>. Le déploiement de ces équipements est donc plus facilement réalisable dans les pays en développement</w:t>
      </w:r>
      <w:r w:rsidR="003C688B">
        <w:t>,</w:t>
      </w:r>
      <w:r w:rsidR="00994E9C" w:rsidRPr="00994E9C">
        <w:t xml:space="preserve"> où le coût constitue un facteur important. Le nombre très élevé de satellites représente environ 42 à 51 milliards USD d'investissement dans les équipements en orbite, auxquels il convient d'ajouter les investissements dans les infrastructures au sol.</w:t>
      </w:r>
      <w:bookmarkStart w:id="6" w:name="_GoBack"/>
      <w:bookmarkEnd w:id="6"/>
    </w:p>
    <w:p w:rsidR="000D432F" w:rsidRPr="009353B0" w:rsidRDefault="000D432F" w:rsidP="009353B0">
      <w:pPr>
        <w:jc w:val="center"/>
      </w:pPr>
      <w:r>
        <w:t>______________</w:t>
      </w:r>
    </w:p>
    <w:sectPr w:rsidR="000D432F" w:rsidRPr="009353B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C688B">
      <w:rPr>
        <w:noProof/>
        <w:lang w:val="en-US"/>
      </w:rPr>
      <w:t>P:\TRAD\F\LING\Manouvrier\CMR-15\387805.docx</w:t>
    </w:r>
    <w:r>
      <w:fldChar w:fldCharType="end"/>
    </w:r>
    <w:r>
      <w:rPr>
        <w:lang w:val="en-US"/>
      </w:rPr>
      <w:tab/>
    </w:r>
    <w:r>
      <w:fldChar w:fldCharType="begin"/>
    </w:r>
    <w:r>
      <w:instrText xml:space="preserve"> SAVEDATE \@ DD.MM.YY </w:instrText>
    </w:r>
    <w:r>
      <w:fldChar w:fldCharType="separate"/>
    </w:r>
    <w:r w:rsidR="00CF5DA1">
      <w:rPr>
        <w:noProof/>
      </w:rPr>
      <w:t>27.10.15</w:t>
    </w:r>
    <w:r>
      <w:fldChar w:fldCharType="end"/>
    </w:r>
    <w:r>
      <w:rPr>
        <w:lang w:val="en-US"/>
      </w:rPr>
      <w:tab/>
    </w:r>
    <w:r>
      <w:fldChar w:fldCharType="begin"/>
    </w:r>
    <w:r>
      <w:instrText xml:space="preserve"> PRINTDATE \@ DD.MM.YY </w:instrText>
    </w:r>
    <w:r>
      <w:fldChar w:fldCharType="separate"/>
    </w:r>
    <w:r w:rsidR="003C688B">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C2E69" w:rsidRDefault="00936D25">
    <w:pPr>
      <w:pStyle w:val="Footer"/>
      <w:rPr>
        <w:lang w:val="es-ES_tradnl"/>
      </w:rPr>
    </w:pPr>
    <w:r>
      <w:fldChar w:fldCharType="begin"/>
    </w:r>
    <w:r w:rsidRPr="009C2E69">
      <w:rPr>
        <w:lang w:val="es-ES_tradnl"/>
      </w:rPr>
      <w:instrText xml:space="preserve"> FILENAME \p  \* MERGEFORMAT </w:instrText>
    </w:r>
    <w:r>
      <w:fldChar w:fldCharType="separate"/>
    </w:r>
    <w:r w:rsidR="009C2E69" w:rsidRPr="009C2E69">
      <w:rPr>
        <w:lang w:val="es-ES_tradnl"/>
      </w:rPr>
      <w:t>P:\FRA\ITU-R\CONF-R\CMR15\000\044F.docx</w:t>
    </w:r>
    <w:r>
      <w:fldChar w:fldCharType="end"/>
    </w:r>
    <w:r w:rsidR="00290BB4" w:rsidRPr="009C2E69">
      <w:rPr>
        <w:lang w:val="es-ES_tradnl"/>
      </w:rPr>
      <w:t xml:space="preserve"> (387805)</w:t>
    </w:r>
    <w:r w:rsidRPr="009C2E69">
      <w:rPr>
        <w:lang w:val="es-ES_tradnl"/>
      </w:rPr>
      <w:tab/>
    </w:r>
    <w:r>
      <w:fldChar w:fldCharType="begin"/>
    </w:r>
    <w:r>
      <w:instrText xml:space="preserve"> SAVEDATE \@ DD.MM.YY </w:instrText>
    </w:r>
    <w:r>
      <w:fldChar w:fldCharType="separate"/>
    </w:r>
    <w:r w:rsidR="00CF5DA1">
      <w:t>27.10.15</w:t>
    </w:r>
    <w:r>
      <w:fldChar w:fldCharType="end"/>
    </w:r>
    <w:r w:rsidRPr="009C2E69">
      <w:rPr>
        <w:lang w:val="es-ES_tradnl"/>
      </w:rPr>
      <w:tab/>
    </w:r>
    <w:r>
      <w:fldChar w:fldCharType="begin"/>
    </w:r>
    <w:r>
      <w:instrText xml:space="preserve"> PRINTDATE \@ DD.MM.YY </w:instrText>
    </w:r>
    <w:r>
      <w:fldChar w:fldCharType="separate"/>
    </w:r>
    <w:r w:rsidR="009C2E69">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C2E69" w:rsidRDefault="00936D25">
    <w:pPr>
      <w:pStyle w:val="Footer"/>
      <w:rPr>
        <w:lang w:val="es-ES_tradnl"/>
      </w:rPr>
    </w:pPr>
    <w:r>
      <w:fldChar w:fldCharType="begin"/>
    </w:r>
    <w:r w:rsidRPr="009C2E69">
      <w:rPr>
        <w:lang w:val="es-ES_tradnl"/>
      </w:rPr>
      <w:instrText xml:space="preserve"> FILENAME \p  \* MERGEFORMAT </w:instrText>
    </w:r>
    <w:r>
      <w:fldChar w:fldCharType="separate"/>
    </w:r>
    <w:r w:rsidR="009C2E69" w:rsidRPr="009C2E69">
      <w:rPr>
        <w:lang w:val="es-ES_tradnl"/>
      </w:rPr>
      <w:t>P:\FRA\ITU-R\CONF-R\CMR15\000\044F.docx</w:t>
    </w:r>
    <w:r>
      <w:fldChar w:fldCharType="end"/>
    </w:r>
    <w:r w:rsidR="00290BB4" w:rsidRPr="009C2E69">
      <w:rPr>
        <w:lang w:val="es-ES_tradnl"/>
      </w:rPr>
      <w:t xml:space="preserve"> (387805)</w:t>
    </w:r>
    <w:r w:rsidRPr="009C2E69">
      <w:rPr>
        <w:lang w:val="es-ES_tradnl"/>
      </w:rPr>
      <w:tab/>
    </w:r>
    <w:r>
      <w:fldChar w:fldCharType="begin"/>
    </w:r>
    <w:r>
      <w:instrText xml:space="preserve"> SAVEDATE \@ DD.MM.YY </w:instrText>
    </w:r>
    <w:r>
      <w:fldChar w:fldCharType="separate"/>
    </w:r>
    <w:r w:rsidR="00CF5DA1">
      <w:t>27.10.15</w:t>
    </w:r>
    <w:r>
      <w:fldChar w:fldCharType="end"/>
    </w:r>
    <w:r w:rsidRPr="009C2E69">
      <w:rPr>
        <w:lang w:val="es-ES_tradnl"/>
      </w:rPr>
      <w:tab/>
    </w:r>
    <w:r>
      <w:fldChar w:fldCharType="begin"/>
    </w:r>
    <w:r>
      <w:instrText xml:space="preserve"> PRINTDATE \@ DD.MM.YY </w:instrText>
    </w:r>
    <w:r>
      <w:fldChar w:fldCharType="separate"/>
    </w:r>
    <w:r w:rsidR="009C2E69">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F5DA1">
      <w:rPr>
        <w:noProof/>
      </w:rPr>
      <w:t>3</w:t>
    </w:r>
    <w:r>
      <w:fldChar w:fldCharType="end"/>
    </w:r>
  </w:p>
  <w:p w:rsidR="004F1F8E" w:rsidRDefault="004F1F8E" w:rsidP="002C28A4">
    <w:pPr>
      <w:pStyle w:val="Header"/>
    </w:pPr>
    <w:r>
      <w:t>CMR1</w:t>
    </w:r>
    <w:r w:rsidR="002C28A4">
      <w:t>5</w:t>
    </w:r>
    <w:r>
      <w:t>/</w:t>
    </w:r>
    <w:r w:rsidR="006A4B45">
      <w:t>44-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1106"/>
    <w:rsid w:val="0003522F"/>
    <w:rsid w:val="00080E2C"/>
    <w:rsid w:val="000A4755"/>
    <w:rsid w:val="000B2E0C"/>
    <w:rsid w:val="000B3D0C"/>
    <w:rsid w:val="000D432F"/>
    <w:rsid w:val="001167B9"/>
    <w:rsid w:val="001267A0"/>
    <w:rsid w:val="0015203F"/>
    <w:rsid w:val="00160C64"/>
    <w:rsid w:val="0018169B"/>
    <w:rsid w:val="0019352B"/>
    <w:rsid w:val="001960D0"/>
    <w:rsid w:val="001C4600"/>
    <w:rsid w:val="001F17E8"/>
    <w:rsid w:val="00204306"/>
    <w:rsid w:val="00227460"/>
    <w:rsid w:val="00232FD2"/>
    <w:rsid w:val="0026554E"/>
    <w:rsid w:val="00290BB4"/>
    <w:rsid w:val="002964F1"/>
    <w:rsid w:val="002A4622"/>
    <w:rsid w:val="002A6F8F"/>
    <w:rsid w:val="002B17E5"/>
    <w:rsid w:val="002C0EBF"/>
    <w:rsid w:val="002C28A4"/>
    <w:rsid w:val="00315AFE"/>
    <w:rsid w:val="003606A6"/>
    <w:rsid w:val="0036650C"/>
    <w:rsid w:val="00391E82"/>
    <w:rsid w:val="00393ACD"/>
    <w:rsid w:val="003A583E"/>
    <w:rsid w:val="003C688B"/>
    <w:rsid w:val="003D5144"/>
    <w:rsid w:val="003E112B"/>
    <w:rsid w:val="003E1D1C"/>
    <w:rsid w:val="003E7B05"/>
    <w:rsid w:val="003F2CDB"/>
    <w:rsid w:val="00466211"/>
    <w:rsid w:val="004834A9"/>
    <w:rsid w:val="004C670A"/>
    <w:rsid w:val="004D01FC"/>
    <w:rsid w:val="004D5C5B"/>
    <w:rsid w:val="004E28C3"/>
    <w:rsid w:val="004E7023"/>
    <w:rsid w:val="004F1F8E"/>
    <w:rsid w:val="00512A32"/>
    <w:rsid w:val="00577770"/>
    <w:rsid w:val="00586CF2"/>
    <w:rsid w:val="005C3768"/>
    <w:rsid w:val="005C6C3F"/>
    <w:rsid w:val="006067F8"/>
    <w:rsid w:val="00612DC5"/>
    <w:rsid w:val="00613635"/>
    <w:rsid w:val="0062093D"/>
    <w:rsid w:val="00637ECF"/>
    <w:rsid w:val="00647B59"/>
    <w:rsid w:val="006719FF"/>
    <w:rsid w:val="006822FA"/>
    <w:rsid w:val="00690C7B"/>
    <w:rsid w:val="006A4B45"/>
    <w:rsid w:val="006D4724"/>
    <w:rsid w:val="00701BAE"/>
    <w:rsid w:val="00721F04"/>
    <w:rsid w:val="00730E95"/>
    <w:rsid w:val="007426B9"/>
    <w:rsid w:val="00764342"/>
    <w:rsid w:val="00774362"/>
    <w:rsid w:val="00786598"/>
    <w:rsid w:val="007A04E8"/>
    <w:rsid w:val="007F6F76"/>
    <w:rsid w:val="00851625"/>
    <w:rsid w:val="00863C0A"/>
    <w:rsid w:val="008A3120"/>
    <w:rsid w:val="008D41BE"/>
    <w:rsid w:val="008D58D3"/>
    <w:rsid w:val="008E0F79"/>
    <w:rsid w:val="008F4C83"/>
    <w:rsid w:val="00923064"/>
    <w:rsid w:val="00930FFD"/>
    <w:rsid w:val="009353B0"/>
    <w:rsid w:val="00936D25"/>
    <w:rsid w:val="00941EA5"/>
    <w:rsid w:val="0094220C"/>
    <w:rsid w:val="00964700"/>
    <w:rsid w:val="00966C16"/>
    <w:rsid w:val="0098732F"/>
    <w:rsid w:val="00993155"/>
    <w:rsid w:val="00994E9C"/>
    <w:rsid w:val="009A045F"/>
    <w:rsid w:val="009C2E69"/>
    <w:rsid w:val="009C7E7C"/>
    <w:rsid w:val="00A00473"/>
    <w:rsid w:val="00A03C9B"/>
    <w:rsid w:val="00A37105"/>
    <w:rsid w:val="00A606C3"/>
    <w:rsid w:val="00A83B09"/>
    <w:rsid w:val="00A84541"/>
    <w:rsid w:val="00AE36A0"/>
    <w:rsid w:val="00B00294"/>
    <w:rsid w:val="00B64FD0"/>
    <w:rsid w:val="00B94E0A"/>
    <w:rsid w:val="00BA5BD0"/>
    <w:rsid w:val="00BB1D82"/>
    <w:rsid w:val="00BF26E7"/>
    <w:rsid w:val="00C53FCA"/>
    <w:rsid w:val="00C76BAF"/>
    <w:rsid w:val="00C814B9"/>
    <w:rsid w:val="00CD516F"/>
    <w:rsid w:val="00CF5DA1"/>
    <w:rsid w:val="00D119A7"/>
    <w:rsid w:val="00D11B06"/>
    <w:rsid w:val="00D12E0B"/>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87C6C"/>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500E35F-AF95-4291-86E5-3F0380B9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R15-WRC15-C-0044!!MSW-F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972DD11-185A-4901-B30E-00F7D0E0DBB9}">
  <ds:schemaRefs>
    <ds:schemaRef ds:uri="http://schemas.microsoft.com/office/2006/metadata/properties"/>
    <ds:schemaRef ds:uri="http://purl.org/dc/elements/1.1/"/>
    <ds:schemaRef ds:uri="http://schemas.microsoft.com/office/2006/documentManagement/types"/>
    <ds:schemaRef ds:uri="http://purl.org/dc/terms/"/>
    <ds:schemaRef ds:uri="32a1a8c5-2265-4ebc-b7a0-2071e2c5c9bb"/>
    <ds:schemaRef ds:uri="996b2e75-67fd-4955-a3b0-5ab9934cb50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1168</Words>
  <Characters>6472</Characters>
  <Application>Microsoft Office Word</Application>
  <DocSecurity>0</DocSecurity>
  <Lines>154</Lines>
  <Paragraphs>72</Paragraphs>
  <ScaleCrop>false</ScaleCrop>
  <HeadingPairs>
    <vt:vector size="2" baseType="variant">
      <vt:variant>
        <vt:lpstr>Title</vt:lpstr>
      </vt:variant>
      <vt:variant>
        <vt:i4>1</vt:i4>
      </vt:variant>
    </vt:vector>
  </HeadingPairs>
  <TitlesOfParts>
    <vt:vector size="1" baseType="lpstr">
      <vt:lpstr>R15-WRC15-C-0044!!MSW-F</vt:lpstr>
    </vt:vector>
  </TitlesOfParts>
  <Manager>Secrétariat général - Pool</Manager>
  <Company>Union internationale des télécommunications (UIT)</Company>
  <LinksUpToDate>false</LinksUpToDate>
  <CharactersWithSpaces>7568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R15-WRC15-C-0044!!MSW-F</dc:title>
  <dc:subject>Conférence mondiale des radiocommunications - 2015</dc:subject>
  <dc:creator>Documents Proposals Manager (DPM)</dc:creator>
  <cp:keywords>DPM_v5.2015.10.230_prod</cp:keywords>
  <dc:description/>
  <cp:lastModifiedBy>Saxod, Nathalie</cp:lastModifiedBy>
  <cp:revision>6</cp:revision>
  <cp:lastPrinted>2015-10-27T12:05:00Z</cp:lastPrinted>
  <dcterms:created xsi:type="dcterms:W3CDTF">2015-10-27T12:33:00Z</dcterms:created>
  <dcterms:modified xsi:type="dcterms:W3CDTF">2015-10-27T13:03:00Z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