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4674FF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4674F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4674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4674F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4674F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4674F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674FF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4674F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Document 44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4674F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4674F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8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4674F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4674F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4674F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F910D8" w:rsidP="00762B75">
            <w:pPr>
              <w:pStyle w:val="Source"/>
            </w:pPr>
            <w:r>
              <w:t>United Arab Emirates</w:t>
            </w:r>
            <w:r w:rsidR="00423BE8">
              <w:t>/</w:t>
            </w:r>
            <w:r w:rsidR="0061193B">
              <w:t>Mauritania (Islamic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4674FF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4674FF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674FF">
            <w:pPr>
              <w:pStyle w:val="Agendaitem"/>
            </w:pPr>
            <w:r>
              <w:t>Agenda item 1.1</w:t>
            </w:r>
          </w:p>
        </w:tc>
      </w:tr>
    </w:tbl>
    <w:p w:rsidR="00E47BED" w:rsidRDefault="0061193B" w:rsidP="00A050A0">
      <w:bookmarkStart w:id="8" w:name="dbreak"/>
      <w:bookmarkEnd w:id="6"/>
      <w:bookmarkEnd w:id="7"/>
      <w:bookmarkEnd w:id="8"/>
      <w:r w:rsidRPr="009A2B70">
        <w:t>1.1</w:t>
      </w:r>
      <w:r w:rsidRPr="009A2B70">
        <w:tab/>
        <w:t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</w:t>
      </w:r>
      <w:r w:rsidR="00076927">
        <w:t>, in accordance with Resolution </w:t>
      </w:r>
      <w:r w:rsidR="00076927">
        <w:rPr>
          <w:b/>
          <w:bCs/>
        </w:rPr>
        <w:t>233 </w:t>
      </w:r>
      <w:r w:rsidRPr="009A2B70">
        <w:rPr>
          <w:b/>
          <w:bCs/>
        </w:rPr>
        <w:t>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E47BED" w:rsidRDefault="00F92506" w:rsidP="00987F88">
      <w:pPr>
        <w:pStyle w:val="Title3"/>
        <w:rPr>
          <w:lang w:val="en-US"/>
        </w:rPr>
      </w:pPr>
      <w:r>
        <w:rPr>
          <w:lang w:val="en-US"/>
        </w:rPr>
        <w:t xml:space="preserve">Frequency </w:t>
      </w:r>
      <w:r w:rsidR="00987F88">
        <w:rPr>
          <w:lang w:val="en-US"/>
        </w:rPr>
        <w:t>b</w:t>
      </w:r>
      <w:r>
        <w:rPr>
          <w:lang w:val="en-US"/>
        </w:rPr>
        <w:t xml:space="preserve">and </w:t>
      </w:r>
      <w:r w:rsidR="00E47BED">
        <w:rPr>
          <w:lang w:val="en-US"/>
        </w:rPr>
        <w:t>3 400-3 600 MHz</w:t>
      </w:r>
    </w:p>
    <w:p w:rsidR="00A050A0" w:rsidRDefault="00AF03E2" w:rsidP="00987F88">
      <w:pPr>
        <w:rPr>
          <w:lang w:val="en-US"/>
        </w:rPr>
      </w:pPr>
      <w:r>
        <w:rPr>
          <w:lang w:val="en-US"/>
        </w:rPr>
        <w:t xml:space="preserve">Resolution </w:t>
      </w:r>
      <w:r w:rsidRPr="00987F88">
        <w:rPr>
          <w:b/>
          <w:bCs/>
          <w:lang w:val="en-US"/>
        </w:rPr>
        <w:t>233 (WRC-12):</w:t>
      </w:r>
      <w:r>
        <w:rPr>
          <w:lang w:val="en-US"/>
        </w:rPr>
        <w:t xml:space="preserve"> Studies on frequency-related matters on International Mobile Telecommunications and other terrestrial mobile broadband applications.</w:t>
      </w:r>
    </w:p>
    <w:p w:rsidR="00987F88" w:rsidRDefault="00987F88" w:rsidP="00987F88">
      <w:pPr>
        <w:spacing w:before="0"/>
        <w:rPr>
          <w:lang w:val="en-US"/>
        </w:rPr>
      </w:pPr>
    </w:p>
    <w:p w:rsidR="005C221E" w:rsidRPr="00A050A0" w:rsidRDefault="00AF03E2" w:rsidP="00A050A0">
      <w:pPr>
        <w:pStyle w:val="Headingb"/>
        <w:rPr>
          <w:sz w:val="28"/>
          <w:lang w:val="en-US"/>
        </w:rPr>
      </w:pPr>
      <w:r w:rsidRPr="00987F88">
        <w:rPr>
          <w:lang w:val="en-US"/>
        </w:rPr>
        <w:t>Introduction</w:t>
      </w:r>
    </w:p>
    <w:p w:rsidR="005C221E" w:rsidRPr="00FE1C8C" w:rsidRDefault="005C221E" w:rsidP="00A050A0">
      <w:r w:rsidRPr="00FE1C8C">
        <w:t>Mobile communications including mobile broadband communications contribute positively to the economic and social developments of both developed and developing countries</w:t>
      </w:r>
      <w:r w:rsidR="00F92506">
        <w:t>.</w:t>
      </w:r>
    </w:p>
    <w:p w:rsidR="00A050A0" w:rsidRDefault="00076927" w:rsidP="00076927">
      <w:pPr>
        <w:rPr>
          <w:color w:val="000000"/>
        </w:rPr>
      </w:pPr>
      <w:r>
        <w:rPr>
          <w:szCs w:val="24"/>
          <w:lang w:val="en-US"/>
        </w:rPr>
        <w:t>Resolution </w:t>
      </w:r>
      <w:r w:rsidR="00AF03E2">
        <w:rPr>
          <w:szCs w:val="24"/>
          <w:lang w:val="en-US"/>
        </w:rPr>
        <w:t xml:space="preserve">233 (WRC-12) states that </w:t>
      </w:r>
      <w:r w:rsidR="00AF03E2" w:rsidRPr="00F33901">
        <w:t>adequate and timely availability of spectrum and supporting regulatory provisions</w:t>
      </w:r>
      <w:r w:rsidR="001A3F74">
        <w:t>, as well as improved technologies,</w:t>
      </w:r>
      <w:r w:rsidR="00AF03E2" w:rsidRPr="00F33901">
        <w:t xml:space="preserve"> is essential to support future growth of IMT and other mobile broadband systems</w:t>
      </w:r>
      <w:r w:rsidR="001A3F74">
        <w:t xml:space="preserve">. </w:t>
      </w:r>
      <w:r w:rsidR="001A3F74">
        <w:rPr>
          <w:color w:val="000000"/>
        </w:rPr>
        <w:t>Harmonized worldwide frequency bands and harmonized frequency arrangements for these systems are highly desirable in order to facilitate global roaming and the benefits of economies of scale.</w:t>
      </w:r>
    </w:p>
    <w:p w:rsidR="00C82FB0" w:rsidRDefault="001A3F74" w:rsidP="00987F88">
      <w:pPr>
        <w:rPr>
          <w:color w:val="000000"/>
        </w:rPr>
      </w:pPr>
      <w:r>
        <w:t xml:space="preserve">Studies </w:t>
      </w:r>
      <w:r>
        <w:rPr>
          <w:color w:val="000000"/>
        </w:rPr>
        <w:t xml:space="preserve">on future spectrum requirements and potential candidate frequency bands for IMT and other terrestrial mobile broadband applications were conducted and, pursuant to paragraph 2 of </w:t>
      </w:r>
      <w:r w:rsidRPr="00BF21A4">
        <w:rPr>
          <w:i/>
          <w:color w:val="000000"/>
        </w:rPr>
        <w:t xml:space="preserve">resolves to invite </w:t>
      </w:r>
      <w:r w:rsidR="007E0C0B">
        <w:rPr>
          <w:i/>
          <w:color w:val="000000"/>
        </w:rPr>
        <w:t>ITU-R</w:t>
      </w:r>
      <w:r>
        <w:rPr>
          <w:color w:val="000000"/>
        </w:rPr>
        <w:t xml:space="preserve"> of </w:t>
      </w:r>
      <w:r w:rsidR="00076927">
        <w:rPr>
          <w:szCs w:val="24"/>
          <w:lang w:val="en-US"/>
        </w:rPr>
        <w:t>Resolution </w:t>
      </w:r>
      <w:r>
        <w:rPr>
          <w:szCs w:val="24"/>
          <w:lang w:val="en-US"/>
        </w:rPr>
        <w:t xml:space="preserve">233 (WRC-12) </w:t>
      </w:r>
      <w:r w:rsidR="00987F88">
        <w:rPr>
          <w:color w:val="000000"/>
        </w:rPr>
        <w:t>a</w:t>
      </w:r>
      <w:r>
        <w:rPr>
          <w:color w:val="000000"/>
        </w:rPr>
        <w:t xml:space="preserve">dministrations proposed to study the following frequency bands: </w:t>
      </w:r>
      <w:r w:rsidR="00076927">
        <w:rPr>
          <w:color w:val="000000"/>
        </w:rPr>
        <w:t>470-694/698 MHZ, 1 300-1 525 </w:t>
      </w:r>
      <w:r w:rsidR="00C82FB0">
        <w:rPr>
          <w:color w:val="000000"/>
        </w:rPr>
        <w:t xml:space="preserve">MHZ, </w:t>
      </w:r>
      <w:r w:rsidR="00076927">
        <w:rPr>
          <w:color w:val="000000"/>
        </w:rPr>
        <w:t>1 695-1 710 MHz, 2 </w:t>
      </w:r>
      <w:r w:rsidR="00C82FB0">
        <w:rPr>
          <w:color w:val="000000"/>
        </w:rPr>
        <w:t>025-2</w:t>
      </w:r>
      <w:r w:rsidR="00076927">
        <w:rPr>
          <w:color w:val="000000"/>
        </w:rPr>
        <w:t> 110 MHz, 2 200-2 290 MHz, 2 700-2 </w:t>
      </w:r>
      <w:r w:rsidR="00C82FB0">
        <w:rPr>
          <w:color w:val="000000"/>
        </w:rPr>
        <w:t>9</w:t>
      </w:r>
      <w:r w:rsidR="00076927">
        <w:rPr>
          <w:color w:val="000000"/>
        </w:rPr>
        <w:t>00 </w:t>
      </w:r>
      <w:r w:rsidR="00C82FB0">
        <w:rPr>
          <w:color w:val="000000"/>
        </w:rPr>
        <w:t>MHz,</w:t>
      </w:r>
      <w:r w:rsidR="00076927">
        <w:rPr>
          <w:color w:val="000000"/>
        </w:rPr>
        <w:t xml:space="preserve"> 2 900-3 100 </w:t>
      </w:r>
      <w:r w:rsidR="00C82FB0">
        <w:rPr>
          <w:color w:val="000000"/>
        </w:rPr>
        <w:t xml:space="preserve">MHz, </w:t>
      </w:r>
      <w:r w:rsidR="00076927">
        <w:rPr>
          <w:color w:val="000000"/>
        </w:rPr>
        <w:t>3 300-3 400 </w:t>
      </w:r>
      <w:r w:rsidR="00C82FB0">
        <w:rPr>
          <w:color w:val="000000"/>
        </w:rPr>
        <w:t xml:space="preserve">MHZ, </w:t>
      </w:r>
      <w:r w:rsidR="00076927">
        <w:rPr>
          <w:color w:val="000000"/>
        </w:rPr>
        <w:t>3 400-3 600 </w:t>
      </w:r>
      <w:r w:rsidR="00C82FB0">
        <w:rPr>
          <w:color w:val="000000"/>
        </w:rPr>
        <w:t>MHz, 3</w:t>
      </w:r>
      <w:r w:rsidR="00076927">
        <w:rPr>
          <w:color w:val="000000"/>
        </w:rPr>
        <w:t> 600-4 200 MHz, 4 400-4 900 MHz, 4 800-5 000 MHz, 5 350-5 470 MHz, 5 725-5 850 MHz and 5 925-6 425 </w:t>
      </w:r>
      <w:r w:rsidR="00C82FB0">
        <w:rPr>
          <w:color w:val="000000"/>
        </w:rPr>
        <w:t>MHz.</w:t>
      </w:r>
    </w:p>
    <w:p w:rsidR="005C221E" w:rsidRDefault="00C82FB0" w:rsidP="00A050A0">
      <w:r>
        <w:t>Am</w:t>
      </w:r>
      <w:r w:rsidR="007E0C0B">
        <w:t>ong th</w:t>
      </w:r>
      <w:r>
        <w:t>e bands</w:t>
      </w:r>
      <w:r w:rsidR="007E0C0B">
        <w:t xml:space="preserve"> studie</w:t>
      </w:r>
      <w:r w:rsidR="00F77425">
        <w:t>d</w:t>
      </w:r>
      <w:r w:rsidR="00076927">
        <w:t xml:space="preserve"> was the 3 400-3 600 </w:t>
      </w:r>
      <w:r w:rsidR="007E0C0B">
        <w:t>MHz frequency range.  Sharing studies between fixed-satellite service and m</w:t>
      </w:r>
      <w:r w:rsidR="00076927">
        <w:t>obile service/IMT in the band 3 400-3 600 </w:t>
      </w:r>
      <w:r w:rsidR="007E0C0B">
        <w:t xml:space="preserve">MHz have shown that this frequency band has been used by the FSS for space-to-Earth links, together with the </w:t>
      </w:r>
      <w:r w:rsidR="007E0C0B">
        <w:rPr>
          <w:rStyle w:val="skypec2cprintcontainer"/>
          <w:color w:val="000000"/>
        </w:rPr>
        <w:t>5</w:t>
      </w:r>
      <w:r w:rsidR="00076927">
        <w:rPr>
          <w:rStyle w:val="skypec2cprintcontainer"/>
          <w:color w:val="000000"/>
        </w:rPr>
        <w:t> 850-</w:t>
      </w:r>
      <w:r w:rsidR="00076927">
        <w:rPr>
          <w:rStyle w:val="skypec2cprintcontainer"/>
          <w:color w:val="000000"/>
        </w:rPr>
        <w:lastRenderedPageBreak/>
        <w:t>6 </w:t>
      </w:r>
      <w:r w:rsidR="007E0C0B">
        <w:rPr>
          <w:rStyle w:val="skypec2cprintcontainer"/>
          <w:color w:val="000000"/>
        </w:rPr>
        <w:t>725</w:t>
      </w:r>
      <w:r w:rsidR="00076927">
        <w:rPr>
          <w:rStyle w:val="skypec2cprintcontainer"/>
          <w:color w:val="000000"/>
        </w:rPr>
        <w:t> </w:t>
      </w:r>
      <w:r w:rsidR="007E0C0B">
        <w:t>MHz frequency band for Earth-to-space links, since the 1970s. The</w:t>
      </w:r>
      <w:r w:rsidR="00F77425">
        <w:t xml:space="preserve"> related</w:t>
      </w:r>
      <w:r w:rsidR="007E0C0B">
        <w:t xml:space="preserve"> technology is mature and equipment is available at low cost.</w:t>
      </w:r>
    </w:p>
    <w:p w:rsidR="007E0C0B" w:rsidRDefault="007E0C0B" w:rsidP="00A050A0">
      <w:r>
        <w:t>Furthermore, the wide coverage of satellites in these frequency bands enables services to be provided to developing countries, to sparsely populated areas</w:t>
      </w:r>
      <w:r w:rsidR="00A050A0">
        <w:t xml:space="preserve"> and over large distances (e.g.</w:t>
      </w:r>
      <w:r w:rsidR="00076927">
        <w:t> </w:t>
      </w:r>
      <w:r>
        <w:t>providing program</w:t>
      </w:r>
      <w:r w:rsidR="00951E4A">
        <w:t>me</w:t>
      </w:r>
      <w:r>
        <w:t xml:space="preserve"> content and data distribution between continents).</w:t>
      </w:r>
    </w:p>
    <w:p w:rsidR="00A050A0" w:rsidRDefault="007E0C0B" w:rsidP="00A050A0">
      <w:pPr>
        <w:rPr>
          <w:lang w:val="en-US"/>
        </w:rPr>
      </w:pPr>
      <w:r>
        <w:t xml:space="preserve">Sharing studies have been carried out in ITU-R that show high incompatibility between the IMT and satellite services. </w:t>
      </w:r>
      <w:r w:rsidRPr="00A050A0">
        <w:rPr>
          <w:lang w:val="en-US"/>
        </w:rPr>
        <w:t>The separation distances between the FSS and IMT stations</w:t>
      </w:r>
      <w:r w:rsidR="00C759F8" w:rsidRPr="00A050A0">
        <w:rPr>
          <w:lang w:val="en-US"/>
        </w:rPr>
        <w:t xml:space="preserve"> need</w:t>
      </w:r>
      <w:r w:rsidRPr="00A050A0">
        <w:rPr>
          <w:lang w:val="en-US"/>
        </w:rPr>
        <w:t xml:space="preserve"> to be of the order of hundreds of </w:t>
      </w:r>
      <w:r w:rsidR="00A050A0" w:rsidRPr="00A050A0">
        <w:rPr>
          <w:lang w:val="en-US"/>
        </w:rPr>
        <w:t>kilometers</w:t>
      </w:r>
    </w:p>
    <w:p w:rsidR="005C221E" w:rsidRPr="00076927" w:rsidRDefault="005C221E" w:rsidP="00A050A0">
      <w:pPr>
        <w:pStyle w:val="Headingb"/>
        <w:rPr>
          <w:lang w:val="en-US"/>
        </w:rPr>
      </w:pPr>
      <w:r w:rsidRPr="00076927">
        <w:rPr>
          <w:lang w:val="en-US"/>
        </w:rPr>
        <w:t>Proposal</w:t>
      </w:r>
    </w:p>
    <w:p w:rsidR="00C759F8" w:rsidRDefault="00F77425" w:rsidP="00A050A0">
      <w:r>
        <w:t>Based on</w:t>
      </w:r>
      <w:r w:rsidR="00C759F8">
        <w:t xml:space="preserve"> the results of the studies</w:t>
      </w:r>
      <w:r>
        <w:t xml:space="preserve"> and the analysis thereof concerning</w:t>
      </w:r>
      <w:r w:rsidR="00C759F8">
        <w:t xml:space="preserve"> this point, the signatory parties propose no modification of the Radio Regulations </w:t>
      </w:r>
      <w:r w:rsidR="00076927">
        <w:t>for the band 3 400-3 600 </w:t>
      </w:r>
      <w:r w:rsidR="00C759F8">
        <w:t>MHz.</w:t>
      </w:r>
    </w:p>
    <w:p w:rsidR="005C221E" w:rsidRPr="00BB1610" w:rsidRDefault="00C759F8" w:rsidP="00F77425">
      <w:r>
        <w:t>There follow the procedural and regulatory considerations resulting from the proposal:</w:t>
      </w:r>
    </w:p>
    <w:p w:rsidR="009B463A" w:rsidRDefault="0061193B" w:rsidP="00BF21A4">
      <w:pPr>
        <w:pStyle w:val="ArtNo"/>
        <w:rPr>
          <w:lang w:val="en-AU"/>
        </w:rPr>
      </w:pPr>
      <w:bookmarkStart w:id="9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61193B" w:rsidP="00BF21A4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61193B" w:rsidP="00BF21A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</w:p>
    <w:p w:rsidR="001D0918" w:rsidRDefault="0061193B" w:rsidP="00BF21A4">
      <w:pPr>
        <w:pStyle w:val="Proposal"/>
      </w:pPr>
      <w:r>
        <w:rPr>
          <w:u w:val="single"/>
        </w:rPr>
        <w:t>NOC</w:t>
      </w:r>
      <w:r>
        <w:tab/>
        <w:t>UAE/MTN/44/1</w:t>
      </w:r>
    </w:p>
    <w:p w:rsidR="009B463A" w:rsidRDefault="0061193B" w:rsidP="00BF21A4">
      <w:pPr>
        <w:pStyle w:val="Tabletitle"/>
      </w:pPr>
      <w:r w:rsidRPr="003C288B">
        <w:t>2 700-4 </w:t>
      </w:r>
      <w:r w:rsidR="00076927">
        <w:t>800 </w:t>
      </w:r>
      <w:r w:rsidRPr="003C288B"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1193B" w:rsidP="00BF21A4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1193B" w:rsidP="00BF21A4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1193B" w:rsidP="00BF21A4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61193B" w:rsidP="00BF21A4">
            <w:pPr>
              <w:pStyle w:val="Tablehead"/>
            </w:pPr>
            <w:r>
              <w:t>Region 3</w:t>
            </w:r>
          </w:p>
        </w:tc>
      </w:tr>
      <w:tr w:rsidR="009B463A" w:rsidRPr="00423BE8" w:rsidTr="00477577">
        <w:trPr>
          <w:cantSplit/>
          <w:trHeight w:val="1944"/>
          <w:jc w:val="center"/>
        </w:trPr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61193B" w:rsidP="00BF21A4">
            <w:pPr>
              <w:pStyle w:val="TableTextS5"/>
              <w:spacing w:before="20" w:after="20"/>
              <w:ind w:left="170" w:hanging="170"/>
              <w:rPr>
                <w:rStyle w:val="Tablefreq"/>
                <w:rFonts w:ascii="Times New Roman Bold" w:hAnsi="Times New Roman Bold" w:cs="Times New Roman Bold"/>
                <w:b w:val="0"/>
              </w:rPr>
            </w:pPr>
            <w:r w:rsidRPr="0090657E">
              <w:rPr>
                <w:rStyle w:val="Tablefreq"/>
              </w:rPr>
              <w:t>3 400-3 600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FIXED-SATELLITE</w:t>
            </w:r>
            <w:r>
              <w:rPr>
                <w:color w:val="000000"/>
              </w:rPr>
              <w:br/>
              <w:t>(space-to-Earth)</w:t>
            </w:r>
          </w:p>
          <w:p w:rsidR="009B463A" w:rsidRDefault="0061193B" w:rsidP="00BF21A4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 5.430A</w:t>
            </w:r>
          </w:p>
          <w:p w:rsidR="009B463A" w:rsidRDefault="0061193B" w:rsidP="00BF21A4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A05782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</w:p>
          <w:p w:rsidR="009B463A" w:rsidRDefault="00A05782" w:rsidP="00BF21A4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</w:rPr>
            </w:pPr>
          </w:p>
          <w:p w:rsidR="009B463A" w:rsidRDefault="00A05782" w:rsidP="00BF21A4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</w:rPr>
            </w:pPr>
          </w:p>
          <w:p w:rsidR="009B463A" w:rsidRDefault="00A05782" w:rsidP="00BF21A4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</w:rPr>
            </w:pPr>
          </w:p>
          <w:p w:rsidR="009B463A" w:rsidRDefault="00A05782" w:rsidP="00BF21A4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</w:rPr>
            </w:pPr>
          </w:p>
          <w:p w:rsidR="009B463A" w:rsidRDefault="00A05782" w:rsidP="00BF21A4">
            <w:pPr>
              <w:pStyle w:val="TableTextS5"/>
              <w:spacing w:before="20" w:after="20"/>
              <w:ind w:left="170" w:hanging="170"/>
            </w:pPr>
          </w:p>
          <w:p w:rsidR="009B463A" w:rsidRDefault="00A05782" w:rsidP="00BF21A4">
            <w:pPr>
              <w:pStyle w:val="TableTextS5"/>
              <w:rPr>
                <w:color w:val="000000"/>
              </w:rPr>
            </w:pPr>
          </w:p>
          <w:p w:rsidR="009B463A" w:rsidRDefault="00A05782" w:rsidP="00BF21A4">
            <w:pPr>
              <w:pStyle w:val="TableTextS5"/>
              <w:rPr>
                <w:color w:val="000000"/>
              </w:rPr>
            </w:pPr>
          </w:p>
          <w:p w:rsidR="009B463A" w:rsidRDefault="0061193B" w:rsidP="00BF21A4">
            <w:pPr>
              <w:pStyle w:val="TableTextS5"/>
              <w:rPr>
                <w:rStyle w:val="Artref"/>
                <w:color w:val="000000"/>
              </w:rPr>
            </w:pPr>
            <w:r>
              <w:rPr>
                <w:rStyle w:val="Artref"/>
                <w:color w:val="000000"/>
              </w:rPr>
              <w:t>5.431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90657E" w:rsidRDefault="0061193B" w:rsidP="00BF21A4">
            <w:pPr>
              <w:pStyle w:val="TableTextS5"/>
              <w:spacing w:before="20" w:after="20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3 400-3 500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FIXED-SATELLITE (space-to-Earth)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Mobile  5.431A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 xml:space="preserve">Radiolocation  </w:t>
            </w:r>
            <w:r>
              <w:rPr>
                <w:rStyle w:val="Artref"/>
                <w:color w:val="000000"/>
              </w:rPr>
              <w:t>5.433</w:t>
            </w:r>
          </w:p>
          <w:p w:rsidR="009B463A" w:rsidRDefault="0061193B" w:rsidP="00BF21A4">
            <w:pPr>
              <w:pStyle w:val="TableTextS5"/>
              <w:rPr>
                <w:rStyle w:val="Artref"/>
                <w:color w:val="000000"/>
              </w:rPr>
            </w:pPr>
            <w:r>
              <w:rPr>
                <w:rStyle w:val="Artref"/>
                <w:color w:val="000000"/>
              </w:rPr>
              <w:t>5.282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90657E" w:rsidRDefault="0061193B" w:rsidP="00BF21A4">
            <w:pPr>
              <w:pStyle w:val="TableTextS5"/>
              <w:spacing w:before="20" w:after="20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3 400-3 500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FIXED-SATELLITE (space-to-Earth)</w:t>
            </w:r>
          </w:p>
          <w:p w:rsidR="009B463A" w:rsidRPr="00B07A4D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B07A4D">
              <w:rPr>
                <w:color w:val="000000"/>
                <w:lang w:val="fr-CH"/>
              </w:rPr>
              <w:t>Amateur</w:t>
            </w:r>
          </w:p>
          <w:p w:rsidR="009B463A" w:rsidRPr="00B07A4D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B07A4D">
              <w:rPr>
                <w:color w:val="000000"/>
                <w:lang w:val="fr-CH"/>
              </w:rPr>
              <w:t>Mobile  5.432B</w:t>
            </w:r>
          </w:p>
          <w:p w:rsidR="009B463A" w:rsidRPr="00B07A4D" w:rsidRDefault="0061193B" w:rsidP="00BF21A4">
            <w:pPr>
              <w:pStyle w:val="TableTextS5"/>
              <w:spacing w:before="20" w:after="20"/>
              <w:ind w:left="170" w:hanging="170"/>
              <w:rPr>
                <w:lang w:val="fr-CH"/>
              </w:rPr>
            </w:pPr>
            <w:r w:rsidRPr="00B07A4D">
              <w:rPr>
                <w:color w:val="000000"/>
                <w:lang w:val="fr-CH"/>
              </w:rPr>
              <w:t xml:space="preserve">Radiolocation  </w:t>
            </w:r>
            <w:r w:rsidRPr="00B07A4D">
              <w:rPr>
                <w:lang w:val="fr-CH"/>
              </w:rPr>
              <w:t>5.433</w:t>
            </w:r>
          </w:p>
          <w:p w:rsidR="009B463A" w:rsidRPr="00B07A4D" w:rsidRDefault="0061193B" w:rsidP="00BF21A4">
            <w:pPr>
              <w:pStyle w:val="TableTextS5"/>
              <w:spacing w:before="20" w:after="20"/>
              <w:ind w:left="170" w:hanging="170"/>
              <w:rPr>
                <w:rStyle w:val="Artref"/>
                <w:color w:val="000000"/>
                <w:lang w:val="fr-CH"/>
              </w:rPr>
            </w:pPr>
            <w:r w:rsidRPr="00B07A4D">
              <w:rPr>
                <w:lang w:val="fr-CH"/>
              </w:rPr>
              <w:t>5.282</w:t>
            </w:r>
            <w:r w:rsidRPr="00B07A4D">
              <w:rPr>
                <w:color w:val="000000"/>
                <w:lang w:val="fr-CH"/>
              </w:rPr>
              <w:t xml:space="preserve">  5</w:t>
            </w:r>
            <w:r w:rsidRPr="00B07A4D">
              <w:rPr>
                <w:lang w:val="fr-CH"/>
              </w:rPr>
              <w:t xml:space="preserve">.432 </w:t>
            </w:r>
            <w:r w:rsidRPr="00B07A4D">
              <w:rPr>
                <w:color w:val="000000"/>
                <w:lang w:val="fr-CH"/>
              </w:rPr>
              <w:t xml:space="preserve"> 5.432A</w:t>
            </w:r>
          </w:p>
        </w:tc>
      </w:tr>
      <w:tr w:rsidR="009B463A" w:rsidRPr="00423BE8" w:rsidTr="00477577">
        <w:trPr>
          <w:cantSplit/>
          <w:trHeight w:val="1500"/>
          <w:jc w:val="center"/>
        </w:trPr>
        <w:tc>
          <w:tcPr>
            <w:tcW w:w="3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B07A4D" w:rsidRDefault="00A05782" w:rsidP="00BF21A4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  <w:lang w:val="fr-CH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61193B" w:rsidP="00BF21A4">
            <w:pPr>
              <w:pStyle w:val="TableTextS5"/>
              <w:spacing w:before="20" w:after="20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3 500-3 700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FIXED-SATELLITE (space-to-Earth)</w:t>
            </w:r>
          </w:p>
          <w:p w:rsidR="009B463A" w:rsidRPr="006B776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6B776A">
              <w:rPr>
                <w:color w:val="000000"/>
                <w:lang w:val="fr-CH"/>
              </w:rPr>
              <w:t>MOBILE except aeronautical mobile</w:t>
            </w:r>
          </w:p>
          <w:p w:rsidR="009B463A" w:rsidRPr="00B07A4D" w:rsidRDefault="0061193B" w:rsidP="00BF21A4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  <w:lang w:val="fr-CH"/>
              </w:rPr>
            </w:pPr>
            <w:r w:rsidRPr="006B776A">
              <w:rPr>
                <w:color w:val="000000"/>
                <w:lang w:val="fr-CH"/>
              </w:rPr>
              <w:t xml:space="preserve">Radiolocation  </w:t>
            </w:r>
            <w:r w:rsidRPr="006B776A">
              <w:rPr>
                <w:lang w:val="fr-CH"/>
              </w:rPr>
              <w:t>5.433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90657E" w:rsidRDefault="0061193B" w:rsidP="00BF21A4">
            <w:pPr>
              <w:pStyle w:val="TableTextS5"/>
              <w:spacing w:before="20" w:after="20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3 500-3 600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FIXED-SATELLITE (space-to-Earth)</w:t>
            </w:r>
          </w:p>
          <w:p w:rsidR="009B463A" w:rsidRPr="008A2589" w:rsidRDefault="0061193B" w:rsidP="00BF21A4">
            <w:pPr>
              <w:pStyle w:val="TableTextS5"/>
              <w:spacing w:before="20" w:after="20"/>
              <w:ind w:left="170" w:hanging="17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 except aeronautical mobile  5.433A</w:t>
            </w:r>
          </w:p>
          <w:p w:rsidR="009B463A" w:rsidRPr="00B07A4D" w:rsidRDefault="0061193B" w:rsidP="00BF21A4">
            <w:pPr>
              <w:pStyle w:val="TableTextS5"/>
              <w:rPr>
                <w:rStyle w:val="Artref"/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 xml:space="preserve">Radiolocation  </w:t>
            </w:r>
            <w:r w:rsidRPr="008A2589">
              <w:rPr>
                <w:rStyle w:val="Artref"/>
                <w:color w:val="000000"/>
                <w:lang w:val="fr-CH"/>
              </w:rPr>
              <w:t>5.433</w:t>
            </w:r>
          </w:p>
        </w:tc>
      </w:tr>
    </w:tbl>
    <w:p w:rsidR="005C221E" w:rsidRPr="00BF21A4" w:rsidRDefault="00D40FCF" w:rsidP="00D40FCF">
      <w:pPr>
        <w:pStyle w:val="Reasons"/>
      </w:pPr>
      <w:r w:rsidRPr="00D40FCF">
        <w:rPr>
          <w:b/>
          <w:bCs/>
        </w:rPr>
        <w:t>Reasons:</w:t>
      </w:r>
      <w:r w:rsidRPr="00D40FCF">
        <w:rPr>
          <w:b/>
          <w:bCs/>
        </w:rPr>
        <w:tab/>
      </w:r>
      <w:r w:rsidR="00A050A0">
        <w:t>N</w:t>
      </w:r>
      <w:r w:rsidR="00C759F8" w:rsidRPr="00BF21A4">
        <w:t xml:space="preserve">o change in relation to the </w:t>
      </w:r>
      <w:r w:rsidR="00B6074F" w:rsidRPr="002F75AC">
        <w:t xml:space="preserve">frequency band </w:t>
      </w:r>
      <w:r w:rsidR="00076927">
        <w:t>3 400-3 600 </w:t>
      </w:r>
      <w:r w:rsidR="00C759F8" w:rsidRPr="00BF21A4">
        <w:t xml:space="preserve">MHz </w:t>
      </w:r>
      <w:r w:rsidR="00C759F8">
        <w:t>because:</w:t>
      </w:r>
    </w:p>
    <w:p w:rsidR="005C221E" w:rsidRPr="00BF21A4" w:rsidRDefault="00951E4A" w:rsidP="009A66F8">
      <w:pPr>
        <w:pStyle w:val="Reasons"/>
        <w:ind w:left="1134" w:hanging="1134"/>
      </w:pPr>
      <w:r>
        <w:t>–</w:t>
      </w:r>
      <w:r>
        <w:tab/>
      </w:r>
      <w:r w:rsidR="00B6074F">
        <w:t>T</w:t>
      </w:r>
      <w:r w:rsidR="00076927">
        <w:rPr>
          <w:color w:val="000000"/>
        </w:rPr>
        <w:t>he frequency band 3 400-3 600 </w:t>
      </w:r>
      <w:r w:rsidR="00B6074F">
        <w:rPr>
          <w:color w:val="000000"/>
        </w:rPr>
        <w:t>MHz was dealt with under agenda item 1.4 of WRC-07. After lengthy and extensive discussion</w:t>
      </w:r>
      <w:r w:rsidR="00076927">
        <w:rPr>
          <w:color w:val="000000"/>
        </w:rPr>
        <w:t>, consensus emerged for Regions </w:t>
      </w:r>
      <w:r w:rsidR="00B6074F">
        <w:rPr>
          <w:color w:val="000000"/>
        </w:rPr>
        <w:t>1 and 3 to allocate the frequency band to the MS and/or identify</w:t>
      </w:r>
      <w:r w:rsidR="0013634F">
        <w:rPr>
          <w:color w:val="000000"/>
        </w:rPr>
        <w:t xml:space="preserve"> it</w:t>
      </w:r>
      <w:r w:rsidR="00B6074F">
        <w:rPr>
          <w:color w:val="000000"/>
        </w:rPr>
        <w:t xml:space="preserve"> for IMT in footnotes (RR Nos.</w:t>
      </w:r>
      <w:r w:rsidR="009A66F8">
        <w:rPr>
          <w:color w:val="000000"/>
        </w:rPr>
        <w:t> </w:t>
      </w:r>
      <w:r w:rsidR="00B6074F">
        <w:rPr>
          <w:color w:val="000000"/>
        </w:rPr>
        <w:t>5.430A, 5.432A, 5.432B, 5.433A), as the case may be. The principles based on which consensus was reached at WRC-07 need to be maintained.</w:t>
      </w:r>
    </w:p>
    <w:p w:rsidR="005C221E" w:rsidRPr="00BF21A4" w:rsidRDefault="00951E4A" w:rsidP="00BA689C">
      <w:pPr>
        <w:pStyle w:val="Reasons"/>
        <w:ind w:left="1134" w:hanging="1134"/>
      </w:pPr>
      <w:r>
        <w:t>–</w:t>
      </w:r>
      <w:r>
        <w:tab/>
      </w:r>
      <w:r w:rsidR="00B6074F">
        <w:t xml:space="preserve">Certain conclusions of the studies </w:t>
      </w:r>
      <w:r w:rsidR="00B6074F">
        <w:rPr>
          <w:color w:val="000000"/>
        </w:rPr>
        <w:t>indicate high incompatibility between the IMT and satellite services, where FSS is a</w:t>
      </w:r>
      <w:r w:rsidR="007031B7">
        <w:rPr>
          <w:color w:val="000000"/>
        </w:rPr>
        <w:t>nd will be extensively deployed</w:t>
      </w:r>
      <w:r w:rsidR="00B6074F">
        <w:rPr>
          <w:color w:val="000000"/>
        </w:rPr>
        <w:t>.</w:t>
      </w:r>
    </w:p>
    <w:p w:rsidR="005C221E" w:rsidRPr="00BF21A4" w:rsidRDefault="00951E4A" w:rsidP="00BA689C">
      <w:pPr>
        <w:pStyle w:val="Reasons"/>
        <w:ind w:left="1134" w:hanging="1134"/>
      </w:pPr>
      <w:r>
        <w:t>–</w:t>
      </w:r>
      <w:r>
        <w:tab/>
      </w:r>
      <w:r w:rsidR="0023078A">
        <w:rPr>
          <w:color w:val="000000"/>
        </w:rPr>
        <w:t xml:space="preserve">The earth stations in this band are already </w:t>
      </w:r>
      <w:r w:rsidR="0013634F">
        <w:rPr>
          <w:color w:val="000000"/>
        </w:rPr>
        <w:t>deployed worldwide</w:t>
      </w:r>
      <w:r w:rsidR="0023078A">
        <w:rPr>
          <w:color w:val="000000"/>
        </w:rPr>
        <w:t xml:space="preserve"> in all countries providing critical services (including safety).</w:t>
      </w:r>
    </w:p>
    <w:p w:rsidR="0005487B" w:rsidRDefault="00951E4A" w:rsidP="00BA689C">
      <w:pPr>
        <w:pStyle w:val="Reasons"/>
        <w:ind w:left="1134" w:hanging="1134"/>
      </w:pPr>
      <w:r>
        <w:t>–</w:t>
      </w:r>
      <w:r>
        <w:tab/>
      </w:r>
      <w:r w:rsidR="0005487B">
        <w:t xml:space="preserve">The band enjoys a high degree of resistance to signal fading </w:t>
      </w:r>
      <w:r w:rsidR="00BB2926">
        <w:t>as a result of</w:t>
      </w:r>
      <w:r w:rsidR="0005487B">
        <w:t xml:space="preserve"> rain, thus increasing reliance on this band in regions </w:t>
      </w:r>
      <w:r w:rsidR="0013634F">
        <w:t xml:space="preserve">of heavy </w:t>
      </w:r>
      <w:r w:rsidR="0005487B">
        <w:t xml:space="preserve">rain or in vital services requiring a high availability ratio, such as </w:t>
      </w:r>
      <w:r w:rsidR="009E111A">
        <w:t xml:space="preserve">telemetry, tracking </w:t>
      </w:r>
      <w:r w:rsidR="0005487B">
        <w:t xml:space="preserve">and </w:t>
      </w:r>
      <w:r w:rsidR="009E111A">
        <w:t>command</w:t>
      </w:r>
      <w:r w:rsidR="0005487B">
        <w:t xml:space="preserve"> systems for satellite services</w:t>
      </w:r>
      <w:r w:rsidR="007031B7">
        <w:t xml:space="preserve"> and banking systems. </w:t>
      </w:r>
      <w:r w:rsidR="0005487B">
        <w:t xml:space="preserve">It is also used </w:t>
      </w:r>
      <w:r w:rsidR="00BB2926">
        <w:t>for</w:t>
      </w:r>
      <w:r w:rsidR="0005487B">
        <w:t xml:space="preserve"> feeder links for the mobile satellite service.</w:t>
      </w:r>
    </w:p>
    <w:p w:rsidR="005C221E" w:rsidRPr="00987F88" w:rsidRDefault="00951E4A" w:rsidP="00BA689C">
      <w:pPr>
        <w:pStyle w:val="Reasons"/>
        <w:ind w:left="1134" w:hanging="1134"/>
        <w:rPr>
          <w:lang w:val="en-US"/>
        </w:rPr>
      </w:pPr>
      <w:r>
        <w:t>–</w:t>
      </w:r>
      <w:r>
        <w:tab/>
      </w:r>
      <w:r w:rsidR="00A9350B">
        <w:t>Numerous applications and diverse services are offered by t</w:t>
      </w:r>
      <w:r w:rsidR="007031B7">
        <w:t>he various satellite operators.</w:t>
      </w:r>
      <w:r w:rsidR="00A9350B">
        <w:t xml:space="preserve"> These applications and </w:t>
      </w:r>
      <w:r w:rsidR="007031B7">
        <w:t>services include the following:</w:t>
      </w:r>
    </w:p>
    <w:p w:rsidR="005C221E" w:rsidRPr="00BF21A4" w:rsidRDefault="00951E4A" w:rsidP="00951E4A">
      <w:pPr>
        <w:pStyle w:val="Reasons"/>
        <w:ind w:left="1588" w:hanging="426"/>
      </w:pPr>
      <w:r>
        <w:t>•</w:t>
      </w:r>
      <w:r>
        <w:tab/>
      </w:r>
      <w:r w:rsidR="00A9350B" w:rsidRPr="00BF21A4">
        <w:t xml:space="preserve">Financial and banking services use this band to serve </w:t>
      </w:r>
      <w:r w:rsidR="00A9350B">
        <w:t xml:space="preserve">vast and remote regions and improve the connectivity of rural areas </w:t>
      </w:r>
      <w:r w:rsidR="00BB2926">
        <w:t>in all parts of the country;</w:t>
      </w:r>
    </w:p>
    <w:p w:rsidR="005C221E" w:rsidRPr="00BF21A4" w:rsidRDefault="00951E4A" w:rsidP="00951E4A">
      <w:pPr>
        <w:pStyle w:val="Reasons"/>
        <w:ind w:left="1588" w:hanging="426"/>
      </w:pPr>
      <w:r>
        <w:t>•</w:t>
      </w:r>
      <w:r>
        <w:tab/>
      </w:r>
      <w:r w:rsidR="00E673F7" w:rsidRPr="00BF21A4">
        <w:t xml:space="preserve">Very small aperture terminal </w:t>
      </w:r>
      <w:r w:rsidR="00E673F7">
        <w:t>(</w:t>
      </w:r>
      <w:r w:rsidR="00A9350B" w:rsidRPr="00BF21A4">
        <w:t>VSAT</w:t>
      </w:r>
      <w:r w:rsidR="00E673F7">
        <w:t>)</w:t>
      </w:r>
      <w:r w:rsidR="00A9350B" w:rsidRPr="00BF21A4">
        <w:t xml:space="preserve"> networks</w:t>
      </w:r>
      <w:r w:rsidR="00BB2926" w:rsidRPr="00BF21A4">
        <w:t>;</w:t>
      </w:r>
    </w:p>
    <w:p w:rsidR="005C221E" w:rsidRPr="0013634F" w:rsidRDefault="00951E4A" w:rsidP="00951E4A">
      <w:pPr>
        <w:pStyle w:val="Reasons"/>
        <w:ind w:left="1588" w:hanging="426"/>
        <w:rPr>
          <w:lang w:val="en-US"/>
        </w:rPr>
      </w:pPr>
      <w:r>
        <w:t>•</w:t>
      </w:r>
      <w:r>
        <w:tab/>
      </w:r>
      <w:r w:rsidR="00BB2926" w:rsidRPr="0013634F">
        <w:rPr>
          <w:lang w:val="en-US"/>
        </w:rPr>
        <w:t xml:space="preserve">Internet services, point to point </w:t>
      </w:r>
      <w:r w:rsidR="0013634F" w:rsidRPr="0013634F">
        <w:rPr>
          <w:lang w:val="en-US"/>
        </w:rPr>
        <w:t>links</w:t>
      </w:r>
      <w:r w:rsidR="00BB2926" w:rsidRPr="0013634F">
        <w:rPr>
          <w:lang w:val="en-US"/>
        </w:rPr>
        <w:t>;</w:t>
      </w:r>
    </w:p>
    <w:p w:rsidR="005C221E" w:rsidRPr="00BF21A4" w:rsidRDefault="00951E4A" w:rsidP="00951E4A">
      <w:pPr>
        <w:pStyle w:val="Reasons"/>
        <w:ind w:left="1588" w:hanging="426"/>
      </w:pPr>
      <w:r>
        <w:t>•</w:t>
      </w:r>
      <w:r>
        <w:tab/>
      </w:r>
      <w:r w:rsidR="0013634F">
        <w:t>Satellite n</w:t>
      </w:r>
      <w:r w:rsidR="00BB2926" w:rsidRPr="00BF21A4">
        <w:t>ews gathering, television</w:t>
      </w:r>
      <w:r w:rsidR="0013634F">
        <w:t xml:space="preserve"> and data</w:t>
      </w:r>
      <w:r w:rsidR="00BB2926" w:rsidRPr="00BF21A4">
        <w:t xml:space="preserve"> broadcasting </w:t>
      </w:r>
      <w:r w:rsidR="00BB2926">
        <w:t>to satellite;</w:t>
      </w:r>
    </w:p>
    <w:p w:rsidR="00BB2926" w:rsidRPr="00BF21A4" w:rsidRDefault="00951E4A" w:rsidP="00951E4A">
      <w:pPr>
        <w:pStyle w:val="Reasons"/>
        <w:ind w:left="1588" w:hanging="426"/>
      </w:pPr>
      <w:r>
        <w:t>•</w:t>
      </w:r>
      <w:r>
        <w:tab/>
      </w:r>
      <w:r w:rsidR="0013634F">
        <w:t>Satellite d</w:t>
      </w:r>
      <w:r w:rsidR="00BB2926" w:rsidRPr="00BF21A4">
        <w:t xml:space="preserve">irect-to-home </w:t>
      </w:r>
      <w:r w:rsidR="00E673F7">
        <w:t xml:space="preserve">(DTH) </w:t>
      </w:r>
      <w:r w:rsidR="0013634F">
        <w:t>receivers</w:t>
      </w:r>
      <w:r w:rsidR="00BB2926" w:rsidRPr="00BF21A4">
        <w:t>;</w:t>
      </w:r>
    </w:p>
    <w:p w:rsidR="00BB2926" w:rsidRDefault="00951E4A" w:rsidP="001407BC">
      <w:pPr>
        <w:pStyle w:val="Reasons"/>
        <w:ind w:left="1588" w:hanging="426"/>
      </w:pPr>
      <w:r>
        <w:t>•</w:t>
      </w:r>
      <w:r>
        <w:tab/>
      </w:r>
      <w:r w:rsidR="00BB2926">
        <w:t>Feeder links for the mobile</w:t>
      </w:r>
      <w:r w:rsidR="001407BC">
        <w:t>-</w:t>
      </w:r>
      <w:r w:rsidR="00BB2926">
        <w:t>satellite service;</w:t>
      </w:r>
    </w:p>
    <w:p w:rsidR="005C221E" w:rsidRPr="00BF21A4" w:rsidRDefault="00951E4A" w:rsidP="00951E4A">
      <w:pPr>
        <w:pStyle w:val="Reasons"/>
        <w:ind w:left="1588" w:hanging="426"/>
      </w:pPr>
      <w:r>
        <w:t>•</w:t>
      </w:r>
      <w:r>
        <w:tab/>
      </w:r>
      <w:r w:rsidR="00BB2926">
        <w:t xml:space="preserve">Satellites operating in this band are used extensively </w:t>
      </w:r>
      <w:r w:rsidR="0013634F">
        <w:t>for</w:t>
      </w:r>
      <w:r w:rsidR="00BB2926">
        <w:t xml:space="preserve"> safety and disaster relief</w:t>
      </w:r>
      <w:r w:rsidR="0013634F">
        <w:t xml:space="preserve"> operations</w:t>
      </w:r>
      <w:r w:rsidR="009E111A">
        <w:t>;</w:t>
      </w:r>
    </w:p>
    <w:p w:rsidR="005C221E" w:rsidRPr="00BF21A4" w:rsidRDefault="009A66F8" w:rsidP="00BA689C">
      <w:pPr>
        <w:pStyle w:val="Reasons"/>
        <w:ind w:left="1588" w:hanging="426"/>
      </w:pPr>
      <w:r>
        <w:t>•</w:t>
      </w:r>
      <w:r>
        <w:tab/>
      </w:r>
      <w:r w:rsidR="009E111A" w:rsidRPr="00BF21A4">
        <w:t xml:space="preserve">This band is also used for </w:t>
      </w:r>
      <w:r w:rsidR="009E111A">
        <w:t xml:space="preserve">telemetry, tracking and command </w:t>
      </w:r>
      <w:r w:rsidR="00E673F7">
        <w:t xml:space="preserve">(TT&amp;C) </w:t>
      </w:r>
      <w:r w:rsidR="0013634F">
        <w:t>under the</w:t>
      </w:r>
      <w:r w:rsidR="009E111A">
        <w:t xml:space="preserve"> FSS allocation.</w:t>
      </w:r>
    </w:p>
    <w:p w:rsidR="005C221E" w:rsidRDefault="00951E4A" w:rsidP="00CC72F8">
      <w:pPr>
        <w:pStyle w:val="Reasons"/>
        <w:ind w:left="1134" w:hanging="1134"/>
      </w:pPr>
      <w:r>
        <w:t>–</w:t>
      </w:r>
      <w:r>
        <w:tab/>
      </w:r>
      <w:r w:rsidR="009E111A" w:rsidRPr="00BF21A4">
        <w:t>It is not possible to provide satellite services operating in this band</w:t>
      </w:r>
      <w:r w:rsidR="009E111A">
        <w:t xml:space="preserve">, in other satellite bands or by terrestrial means </w:t>
      </w:r>
      <w:r w:rsidR="00E673F7">
        <w:t>in view of the fact that</w:t>
      </w:r>
      <w:r w:rsidR="009E111A">
        <w:t xml:space="preserve"> the technology is mature and equipment is available at prices 20% to 100% l</w:t>
      </w:r>
      <w:r w:rsidR="007031B7">
        <w:t xml:space="preserve">ess than comparable equipment. </w:t>
      </w:r>
      <w:r w:rsidR="009E111A">
        <w:t xml:space="preserve">Accordingly, it is </w:t>
      </w:r>
      <w:r w:rsidR="0013634F">
        <w:t>easier</w:t>
      </w:r>
      <w:r w:rsidR="009E111A">
        <w:t xml:space="preserve"> and </w:t>
      </w:r>
      <w:r w:rsidR="0013634F">
        <w:t xml:space="preserve">more </w:t>
      </w:r>
      <w:r w:rsidR="009E111A">
        <w:t>feasible to deploy it in developing countries where</w:t>
      </w:r>
      <w:r w:rsidR="007031B7">
        <w:t xml:space="preserve"> price is an important factor. </w:t>
      </w:r>
      <w:r w:rsidR="00E673F7">
        <w:t>The enormous number of satellites represents approxi</w:t>
      </w:r>
      <w:r w:rsidR="00076927">
        <w:t>mately USD 42-51 </w:t>
      </w:r>
      <w:r w:rsidR="00E673F7">
        <w:t>billion worth of investment i</w:t>
      </w:r>
      <w:r w:rsidR="009E111A">
        <w:t xml:space="preserve">n </w:t>
      </w:r>
      <w:r w:rsidR="00E673F7">
        <w:t xml:space="preserve">equipment used in orbit, in </w:t>
      </w:r>
      <w:r w:rsidR="009E111A">
        <w:t xml:space="preserve">addition to investment in </w:t>
      </w:r>
      <w:r w:rsidR="0013634F">
        <w:t>ground</w:t>
      </w:r>
      <w:r w:rsidR="009E111A">
        <w:t xml:space="preserve"> infrastructure</w:t>
      </w:r>
      <w:r w:rsidR="00E673F7">
        <w:t>.</w:t>
      </w:r>
    </w:p>
    <w:p w:rsidR="00CC72F8" w:rsidRDefault="00CC72F8" w:rsidP="00CC72F8">
      <w:pPr>
        <w:pStyle w:val="Reasons"/>
        <w:ind w:left="1134" w:hanging="1134"/>
      </w:pPr>
    </w:p>
    <w:p w:rsidR="005C221E" w:rsidRPr="0013634F" w:rsidRDefault="005C221E" w:rsidP="0013634F">
      <w:pPr>
        <w:jc w:val="center"/>
      </w:pPr>
      <w:r>
        <w:t>______________</w:t>
      </w:r>
    </w:p>
    <w:sectPr w:rsidR="005C221E" w:rsidRPr="001363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4F" w:rsidRDefault="00FC6A4F">
      <w:r>
        <w:separator/>
      </w:r>
    </w:p>
  </w:endnote>
  <w:endnote w:type="continuationSeparator" w:id="0">
    <w:p w:rsidR="00FC6A4F" w:rsidRDefault="00FC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BF21A4" w:rsidRDefault="00E45D05">
    <w:pPr>
      <w:ind w:right="360"/>
      <w:rPr>
        <w:lang w:val="es-ES"/>
      </w:rPr>
    </w:pPr>
    <w:r>
      <w:fldChar w:fldCharType="begin"/>
    </w:r>
    <w:r w:rsidRPr="00BF21A4">
      <w:rPr>
        <w:lang w:val="es-ES"/>
      </w:rPr>
      <w:instrText xml:space="preserve"> FILENAME \p  \* MERGEFORMAT </w:instrText>
    </w:r>
    <w:r>
      <w:fldChar w:fldCharType="separate"/>
    </w:r>
    <w:r w:rsidR="002059EE">
      <w:rPr>
        <w:noProof/>
        <w:lang w:val="es-ES"/>
      </w:rPr>
      <w:t>Y:\APP\BR\POOL\WRC-15\DOC (Contributions)\1-100\044E.docx</w:t>
    </w:r>
    <w:r>
      <w:fldChar w:fldCharType="end"/>
    </w:r>
    <w:r w:rsidRPr="00BF21A4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788">
      <w:rPr>
        <w:noProof/>
      </w:rPr>
      <w:t>26.10.15</w:t>
    </w:r>
    <w:r>
      <w:fldChar w:fldCharType="end"/>
    </w:r>
    <w:r w:rsidRPr="00BF21A4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59EE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4" w:name="_GoBack"/>
  <w:p w:rsidR="00987F88" w:rsidRDefault="002059EE" w:rsidP="00987F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05782">
      <w:t>P:\ENG\ITU-R\CONF-R\CMR15\000\044V2E.docx</w:t>
    </w:r>
    <w:r>
      <w:fldChar w:fldCharType="end"/>
    </w:r>
    <w:bookmarkEnd w:id="14"/>
    <w:r w:rsidR="00987F88">
      <w:t xml:space="preserve"> (387805)</w:t>
    </w:r>
    <w:r w:rsidR="00987F88">
      <w:tab/>
    </w:r>
    <w:r w:rsidR="00987F88">
      <w:fldChar w:fldCharType="begin"/>
    </w:r>
    <w:r w:rsidR="00987F88">
      <w:instrText xml:space="preserve"> SAVEDATE \@ DD.MM.YY </w:instrText>
    </w:r>
    <w:r w:rsidR="00987F88">
      <w:fldChar w:fldCharType="separate"/>
    </w:r>
    <w:r w:rsidR="006D5788">
      <w:t>26.10.15</w:t>
    </w:r>
    <w:r w:rsidR="00987F88">
      <w:fldChar w:fldCharType="end"/>
    </w:r>
    <w:r w:rsidR="00987F88">
      <w:tab/>
    </w:r>
    <w:r w:rsidR="00987F88">
      <w:fldChar w:fldCharType="begin"/>
    </w:r>
    <w:r w:rsidR="00987F88">
      <w:instrText xml:space="preserve"> PRINTDATE \@ DD.MM.YY </w:instrText>
    </w:r>
    <w:r w:rsidR="00987F88">
      <w:fldChar w:fldCharType="separate"/>
    </w:r>
    <w:r>
      <w:t>26.10.15</w:t>
    </w:r>
    <w:r w:rsidR="00987F8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88" w:rsidRDefault="00A05782">
    <w:pPr>
      <w:pStyle w:val="Footer"/>
    </w:pPr>
    <w:r>
      <w:fldChar w:fldCharType="begin"/>
    </w:r>
    <w:r>
      <w:instrText xml:space="preserve"> FILENAME \p  \* </w:instrText>
    </w:r>
    <w:r>
      <w:instrText xml:space="preserve">MERGEFORMAT </w:instrText>
    </w:r>
    <w:r>
      <w:fldChar w:fldCharType="separate"/>
    </w:r>
    <w:r>
      <w:t>P:\ENG\ITU-R\CONF-R\CMR15\000\044V2E.docx</w:t>
    </w:r>
    <w:r>
      <w:fldChar w:fldCharType="end"/>
    </w:r>
    <w:r w:rsidR="00987F88">
      <w:t xml:space="preserve"> (387805)</w:t>
    </w:r>
    <w:r w:rsidR="00987F88">
      <w:tab/>
    </w:r>
    <w:r w:rsidR="00987F88">
      <w:fldChar w:fldCharType="begin"/>
    </w:r>
    <w:r w:rsidR="00987F88">
      <w:instrText xml:space="preserve"> SAVEDATE \@ DD.MM.YY </w:instrText>
    </w:r>
    <w:r w:rsidR="00987F88">
      <w:fldChar w:fldCharType="separate"/>
    </w:r>
    <w:r w:rsidR="006D5788">
      <w:t>26.10.15</w:t>
    </w:r>
    <w:r w:rsidR="00987F88">
      <w:fldChar w:fldCharType="end"/>
    </w:r>
    <w:r w:rsidR="00987F88">
      <w:tab/>
    </w:r>
    <w:r w:rsidR="00987F88">
      <w:fldChar w:fldCharType="begin"/>
    </w:r>
    <w:r w:rsidR="00987F88">
      <w:instrText xml:space="preserve"> PRINTDATE \@ DD.MM.YY </w:instrText>
    </w:r>
    <w:r w:rsidR="00987F88">
      <w:fldChar w:fldCharType="separate"/>
    </w:r>
    <w:r w:rsidR="002059EE">
      <w:t>26.10.15</w:t>
    </w:r>
    <w:r w:rsidR="00987F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4F" w:rsidRDefault="00FC6A4F">
      <w:r>
        <w:rPr>
          <w:b/>
        </w:rPr>
        <w:t>_______________</w:t>
      </w:r>
    </w:p>
  </w:footnote>
  <w:footnote w:type="continuationSeparator" w:id="0">
    <w:p w:rsidR="00FC6A4F" w:rsidRDefault="00FC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82" w:rsidRDefault="00A05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578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1" w:name="OLE_LINK1"/>
    <w:bookmarkStart w:id="12" w:name="OLE_LINK2"/>
    <w:bookmarkStart w:id="13" w:name="OLE_LINK3"/>
    <w:r w:rsidR="00EB55C6">
      <w:t>44</w:t>
    </w:r>
    <w:bookmarkEnd w:id="11"/>
    <w:bookmarkEnd w:id="12"/>
    <w:bookmarkEnd w:id="13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82" w:rsidRDefault="00A05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BB91B4C"/>
    <w:multiLevelType w:val="hybridMultilevel"/>
    <w:tmpl w:val="AABC97EA"/>
    <w:lvl w:ilvl="0" w:tplc="3078E4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5853"/>
    <w:multiLevelType w:val="hybridMultilevel"/>
    <w:tmpl w:val="EEACD792"/>
    <w:lvl w:ilvl="0" w:tplc="4EAA2208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487B"/>
    <w:rsid w:val="000705F2"/>
    <w:rsid w:val="00076927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3634F"/>
    <w:rsid w:val="001407BC"/>
    <w:rsid w:val="00146F6F"/>
    <w:rsid w:val="00187BD9"/>
    <w:rsid w:val="00190B55"/>
    <w:rsid w:val="001A3F74"/>
    <w:rsid w:val="001C3B5F"/>
    <w:rsid w:val="001D058F"/>
    <w:rsid w:val="001D0918"/>
    <w:rsid w:val="002009EA"/>
    <w:rsid w:val="00202CA0"/>
    <w:rsid w:val="002059EE"/>
    <w:rsid w:val="00216B6D"/>
    <w:rsid w:val="0023078A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3BE8"/>
    <w:rsid w:val="0044790B"/>
    <w:rsid w:val="004674FF"/>
    <w:rsid w:val="00492075"/>
    <w:rsid w:val="004969AD"/>
    <w:rsid w:val="004A26C4"/>
    <w:rsid w:val="004B13CB"/>
    <w:rsid w:val="004D26EA"/>
    <w:rsid w:val="004D2BFB"/>
    <w:rsid w:val="004D5D5C"/>
    <w:rsid w:val="004F605D"/>
    <w:rsid w:val="0050139F"/>
    <w:rsid w:val="0055140B"/>
    <w:rsid w:val="005964AB"/>
    <w:rsid w:val="005C099A"/>
    <w:rsid w:val="005C221E"/>
    <w:rsid w:val="005C31A5"/>
    <w:rsid w:val="005E10C9"/>
    <w:rsid w:val="005E290B"/>
    <w:rsid w:val="005E61DD"/>
    <w:rsid w:val="006023DF"/>
    <w:rsid w:val="0061193B"/>
    <w:rsid w:val="00616219"/>
    <w:rsid w:val="00657DE0"/>
    <w:rsid w:val="00685313"/>
    <w:rsid w:val="00692833"/>
    <w:rsid w:val="006A6E9B"/>
    <w:rsid w:val="006B7C2A"/>
    <w:rsid w:val="006C23DA"/>
    <w:rsid w:val="006D5788"/>
    <w:rsid w:val="006E3D45"/>
    <w:rsid w:val="007031B7"/>
    <w:rsid w:val="007149F9"/>
    <w:rsid w:val="00733A30"/>
    <w:rsid w:val="00745AEE"/>
    <w:rsid w:val="00750F10"/>
    <w:rsid w:val="00762B75"/>
    <w:rsid w:val="007742CA"/>
    <w:rsid w:val="00790D70"/>
    <w:rsid w:val="007A6F1F"/>
    <w:rsid w:val="007D5320"/>
    <w:rsid w:val="007E0C0B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1E4A"/>
    <w:rsid w:val="00952A66"/>
    <w:rsid w:val="00987F88"/>
    <w:rsid w:val="009A66F8"/>
    <w:rsid w:val="009B7C9A"/>
    <w:rsid w:val="009C56E5"/>
    <w:rsid w:val="009E111A"/>
    <w:rsid w:val="009E5FC8"/>
    <w:rsid w:val="009E687A"/>
    <w:rsid w:val="00A050A0"/>
    <w:rsid w:val="00A0578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50B"/>
    <w:rsid w:val="00A93B85"/>
    <w:rsid w:val="00AA0B18"/>
    <w:rsid w:val="00AA3C65"/>
    <w:rsid w:val="00AA666F"/>
    <w:rsid w:val="00AF03E2"/>
    <w:rsid w:val="00B6074F"/>
    <w:rsid w:val="00B639E9"/>
    <w:rsid w:val="00B817CD"/>
    <w:rsid w:val="00B81A7D"/>
    <w:rsid w:val="00B94AD0"/>
    <w:rsid w:val="00BA689C"/>
    <w:rsid w:val="00BB1610"/>
    <w:rsid w:val="00BB2926"/>
    <w:rsid w:val="00BB3A95"/>
    <w:rsid w:val="00BD6CCE"/>
    <w:rsid w:val="00BF21A4"/>
    <w:rsid w:val="00C0018F"/>
    <w:rsid w:val="00C16A5A"/>
    <w:rsid w:val="00C20466"/>
    <w:rsid w:val="00C214ED"/>
    <w:rsid w:val="00C234E6"/>
    <w:rsid w:val="00C324A8"/>
    <w:rsid w:val="00C54517"/>
    <w:rsid w:val="00C64CD8"/>
    <w:rsid w:val="00C759F8"/>
    <w:rsid w:val="00C82FB0"/>
    <w:rsid w:val="00C97C68"/>
    <w:rsid w:val="00CA1A47"/>
    <w:rsid w:val="00CB44E5"/>
    <w:rsid w:val="00CC247A"/>
    <w:rsid w:val="00CC72F8"/>
    <w:rsid w:val="00CE388F"/>
    <w:rsid w:val="00CE5E47"/>
    <w:rsid w:val="00CF020F"/>
    <w:rsid w:val="00CF2B5B"/>
    <w:rsid w:val="00D14CE0"/>
    <w:rsid w:val="00D268B3"/>
    <w:rsid w:val="00D40FCF"/>
    <w:rsid w:val="00D54009"/>
    <w:rsid w:val="00D5651D"/>
    <w:rsid w:val="00D57A34"/>
    <w:rsid w:val="00D71F7B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47BED"/>
    <w:rsid w:val="00E55816"/>
    <w:rsid w:val="00E55AEF"/>
    <w:rsid w:val="00E569FD"/>
    <w:rsid w:val="00E673F7"/>
    <w:rsid w:val="00E976C1"/>
    <w:rsid w:val="00EA008A"/>
    <w:rsid w:val="00EA12E5"/>
    <w:rsid w:val="00EB55C6"/>
    <w:rsid w:val="00EE4AF3"/>
    <w:rsid w:val="00EF1932"/>
    <w:rsid w:val="00F02766"/>
    <w:rsid w:val="00F05BD4"/>
    <w:rsid w:val="00F6155B"/>
    <w:rsid w:val="00F65C19"/>
    <w:rsid w:val="00F77425"/>
    <w:rsid w:val="00F910D8"/>
    <w:rsid w:val="00F92506"/>
    <w:rsid w:val="00FC6A4F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7AB66E2-96CA-40AE-80AE-CCC13401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Heading1Char">
    <w:name w:val="Heading 1 Char"/>
    <w:basedOn w:val="DefaultParagraphFont"/>
    <w:link w:val="Heading1"/>
    <w:locked/>
    <w:rsid w:val="005C221E"/>
    <w:rPr>
      <w:rFonts w:ascii="Times New Roman" w:hAnsi="Times New Roman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F03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3E2"/>
    <w:rPr>
      <w:rFonts w:ascii="Segoe UI" w:hAnsi="Segoe UI" w:cs="Segoe UI"/>
      <w:sz w:val="18"/>
      <w:szCs w:val="18"/>
      <w:lang w:val="en-GB" w:eastAsia="en-US"/>
    </w:rPr>
  </w:style>
  <w:style w:type="character" w:customStyle="1" w:styleId="skypec2cprintcontainer">
    <w:name w:val="skype_c2c_print_container"/>
    <w:basedOn w:val="DefaultParagraphFont"/>
    <w:rsid w:val="007E0C0B"/>
  </w:style>
  <w:style w:type="character" w:customStyle="1" w:styleId="skypec2ctextspan">
    <w:name w:val="skype_c2c_text_span"/>
    <w:basedOn w:val="DefaultParagraphFont"/>
    <w:rsid w:val="007E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R15-WRC15-C-0044!!MSW-E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2C29A0-074F-4C86-9B48-AB2123451471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659797-AAA5-4A39-B0DB-A0DB3B6F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3</Pages>
  <Words>935</Words>
  <Characters>5399</Characters>
  <Application>Microsoft Office Word</Application>
  <DocSecurity>0</DocSecurity>
  <Lines>174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R15-WRC15-C-0044!!MSW-E</vt:lpstr>
    </vt:vector>
  </TitlesOfParts>
  <Manager>General Secretariat - Pool</Manager>
  <Company>International Telecommunication Union (ITU)</Company>
  <LinksUpToDate>false</LinksUpToDate>
  <CharactersWithSpaces>6239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R15-WRC15-C-0044!!MSW-E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4</cp:revision>
  <cp:lastPrinted>2015-10-26T19:15:00Z</cp:lastPrinted>
  <dcterms:created xsi:type="dcterms:W3CDTF">2015-10-26T21:23:00Z</dcterms:created>
  <dcterms:modified xsi:type="dcterms:W3CDTF">2015-10-26T21:24:00Z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