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94F2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94F2B">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94F2B" w:rsidRDefault="003E1608" w:rsidP="00EE75BA">
            <w:pPr>
              <w:pStyle w:val="Adress"/>
              <w:framePr w:hSpace="0" w:wrap="auto" w:xAlign="left" w:yAlign="inline"/>
              <w:rPr>
                <w:rtl/>
              </w:rPr>
            </w:pPr>
            <w:r w:rsidRPr="00494F2B">
              <w:rPr>
                <w:rtl/>
              </w:rPr>
              <w:t xml:space="preserve">الوثيقة </w:t>
            </w:r>
            <w:r w:rsidR="00494F2B" w:rsidRPr="00494F2B">
              <w:t>44-A</w:t>
            </w:r>
            <w:bookmarkStart w:id="1" w:name="_GoBack"/>
            <w:bookmarkEnd w:id="1"/>
          </w:p>
        </w:tc>
      </w:tr>
      <w:tr w:rsidR="00764079" w:rsidTr="003E1608">
        <w:trPr>
          <w:cantSplit/>
        </w:trPr>
        <w:tc>
          <w:tcPr>
            <w:tcW w:w="6619" w:type="dxa"/>
            <w:shd w:val="clear" w:color="auto" w:fill="auto"/>
          </w:tcPr>
          <w:p w:rsidR="00764079" w:rsidRPr="00494F2B" w:rsidRDefault="00764079" w:rsidP="00D44350">
            <w:pPr>
              <w:pStyle w:val="Adress"/>
              <w:framePr w:hSpace="0" w:wrap="auto" w:xAlign="left" w:yAlign="inline"/>
              <w:rPr>
                <w:rtl/>
              </w:rPr>
            </w:pPr>
          </w:p>
        </w:tc>
        <w:tc>
          <w:tcPr>
            <w:tcW w:w="3053" w:type="dxa"/>
            <w:shd w:val="clear" w:color="auto" w:fill="auto"/>
            <w:vAlign w:val="center"/>
          </w:tcPr>
          <w:p w:rsidR="00764079" w:rsidRPr="00494F2B" w:rsidRDefault="00764079" w:rsidP="00D44350">
            <w:pPr>
              <w:pStyle w:val="Adress"/>
              <w:framePr w:hSpace="0" w:wrap="auto" w:xAlign="left" w:yAlign="inline"/>
              <w:rPr>
                <w:rtl/>
              </w:rPr>
            </w:pPr>
            <w:r w:rsidRPr="00494F2B">
              <w:rPr>
                <w:rFonts w:eastAsia="SimSun"/>
              </w:rPr>
              <w:t>8</w:t>
            </w:r>
            <w:r w:rsidRPr="00494F2B">
              <w:rPr>
                <w:rFonts w:eastAsia="SimSun"/>
                <w:rtl/>
              </w:rPr>
              <w:t xml:space="preserve"> أكتوبر </w:t>
            </w:r>
            <w:r w:rsidRPr="00494F2B">
              <w:rPr>
                <w:rFonts w:eastAsia="SimSun"/>
              </w:rPr>
              <w:t>2015</w:t>
            </w:r>
          </w:p>
        </w:tc>
      </w:tr>
      <w:tr w:rsidR="00764079" w:rsidTr="003E1608">
        <w:trPr>
          <w:cantSplit/>
        </w:trPr>
        <w:tc>
          <w:tcPr>
            <w:tcW w:w="6619" w:type="dxa"/>
          </w:tcPr>
          <w:p w:rsidR="00764079" w:rsidRPr="00494F2B" w:rsidRDefault="00764079" w:rsidP="00D44350">
            <w:pPr>
              <w:pStyle w:val="Adress"/>
              <w:framePr w:hSpace="0" w:wrap="auto" w:xAlign="left" w:yAlign="inline"/>
              <w:rPr>
                <w:rFonts w:eastAsia="SimSun" w:hint="eastAsia"/>
                <w:rtl/>
              </w:rPr>
            </w:pPr>
          </w:p>
        </w:tc>
        <w:tc>
          <w:tcPr>
            <w:tcW w:w="3053" w:type="dxa"/>
            <w:vAlign w:val="center"/>
          </w:tcPr>
          <w:p w:rsidR="00764079" w:rsidRPr="00494F2B" w:rsidRDefault="00764079" w:rsidP="00D44350">
            <w:pPr>
              <w:pStyle w:val="Adress"/>
              <w:framePr w:hSpace="0" w:wrap="auto" w:xAlign="left" w:yAlign="inline"/>
              <w:rPr>
                <w:rFonts w:eastAsia="SimSun" w:hint="eastAsia"/>
              </w:rPr>
            </w:pPr>
            <w:r w:rsidRPr="00494F2B">
              <w:rPr>
                <w:rFonts w:eastAsia="SimSun"/>
                <w:rtl/>
              </w:rPr>
              <w:t>الأصل: بالعربية</w:t>
            </w:r>
          </w:p>
        </w:tc>
      </w:tr>
      <w:tr w:rsidR="00764079" w:rsidTr="003E1608">
        <w:trPr>
          <w:cantSplit/>
        </w:trPr>
        <w:tc>
          <w:tcPr>
            <w:tcW w:w="9672" w:type="dxa"/>
            <w:gridSpan w:val="2"/>
          </w:tcPr>
          <w:p w:rsidR="00764079" w:rsidRPr="00494F2B"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الإمارات العربية المتحدة/جمهورية موريتانيا الإسلامية</w:t>
            </w:r>
          </w:p>
        </w:tc>
      </w:tr>
      <w:tr w:rsidR="00764079" w:rsidTr="003E1608">
        <w:trPr>
          <w:cantSplit/>
        </w:trPr>
        <w:tc>
          <w:tcPr>
            <w:tcW w:w="9672" w:type="dxa"/>
            <w:gridSpan w:val="2"/>
          </w:tcPr>
          <w:p w:rsidR="00764079" w:rsidRPr="00BD6EF3" w:rsidRDefault="00494F2B" w:rsidP="00494F2B">
            <w:pPr>
              <w:pStyle w:val="Title1"/>
              <w:rPr>
                <w:rtl/>
              </w:rPr>
            </w:pPr>
            <w:r>
              <w:rPr>
                <w:rFonts w:hint="cs"/>
                <w:rtl/>
              </w:rPr>
              <w:t>مقترحات بشأن أعمال ال</w:t>
            </w:r>
            <w:r w:rsidR="00187731">
              <w:rPr>
                <w:rFonts w:hint="cs"/>
                <w:rtl/>
              </w:rPr>
              <w:t>‍</w:t>
            </w:r>
            <w:r>
              <w:rPr>
                <w:rFonts w:hint="cs"/>
                <w:rtl/>
              </w:rPr>
              <w:t>مؤت</w:t>
            </w:r>
            <w:r w:rsidR="00187731">
              <w:rPr>
                <w:rFonts w:hint="cs"/>
                <w:rtl/>
              </w:rPr>
              <w:t>‍</w:t>
            </w:r>
            <w:r>
              <w:rPr>
                <w:rFonts w:hint="cs"/>
                <w:rtl/>
              </w:rPr>
              <w:t>مر</w:t>
            </w:r>
          </w:p>
        </w:tc>
      </w:tr>
      <w:tr w:rsidR="00764079" w:rsidTr="003E1608">
        <w:trPr>
          <w:cantSplit/>
        </w:trPr>
        <w:tc>
          <w:tcPr>
            <w:tcW w:w="9672" w:type="dxa"/>
            <w:gridSpan w:val="2"/>
          </w:tcPr>
          <w:p w:rsidR="00764079" w:rsidRPr="002919E1" w:rsidRDefault="00764079" w:rsidP="00494F2B">
            <w:pPr>
              <w:pStyle w:val="Agendaitem"/>
              <w:spacing w:before="240" w:line="192" w:lineRule="auto"/>
            </w:pPr>
            <w:r w:rsidRPr="008204AC">
              <w:rPr>
                <w:rtl/>
              </w:rPr>
              <w:t xml:space="preserve">البنـد </w:t>
            </w:r>
            <w:r w:rsidR="00494F2B">
              <w:t>1.1</w:t>
            </w:r>
            <w:r w:rsidR="00494F2B">
              <w:rPr>
                <w:rFonts w:hint="cs"/>
                <w:rtl/>
              </w:rPr>
              <w:t xml:space="preserve"> </w:t>
            </w:r>
            <w:r w:rsidRPr="008204AC">
              <w:rPr>
                <w:rtl/>
              </w:rPr>
              <w:t>من جدول الأعمال</w:t>
            </w:r>
          </w:p>
        </w:tc>
      </w:tr>
    </w:tbl>
    <w:p w:rsidR="001D597A" w:rsidRDefault="00C73633" w:rsidP="00494F2B">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156418" w:rsidRDefault="00156418" w:rsidP="003B1E85">
      <w:pPr>
        <w:pStyle w:val="Title3"/>
        <w:rPr>
          <w:rFonts w:eastAsia="SimSun"/>
          <w:rtl/>
        </w:rPr>
      </w:pPr>
      <w:r w:rsidRPr="0063435D">
        <w:rPr>
          <w:rFonts w:eastAsia="SimSun" w:hint="cs"/>
          <w:rtl/>
        </w:rPr>
        <w:t xml:space="preserve">نطاق التردد </w:t>
      </w:r>
      <w:r w:rsidRPr="0063435D">
        <w:rPr>
          <w:rFonts w:eastAsia="SimSun"/>
        </w:rPr>
        <w:t>MHz 3 600</w:t>
      </w:r>
      <w:r w:rsidRPr="0063435D">
        <w:rPr>
          <w:rFonts w:eastAsia="SimSun"/>
        </w:rPr>
        <w:noBreakHyphen/>
        <w:t>3 400</w:t>
      </w:r>
    </w:p>
    <w:p w:rsidR="00756AAE" w:rsidRDefault="00756AAE" w:rsidP="00756AAE">
      <w:pPr>
        <w:rPr>
          <w:rtl/>
        </w:rPr>
      </w:pPr>
      <w:bookmarkStart w:id="2" w:name="_Toc327956637"/>
      <w:r w:rsidRPr="00B53ECD">
        <w:rPr>
          <w:rFonts w:hint="cs"/>
          <w:rtl/>
        </w:rPr>
        <w:t>القـرار</w:t>
      </w:r>
      <w:r w:rsidRPr="00B53ECD">
        <w:rPr>
          <w:rFonts w:hint="cs"/>
          <w:b/>
          <w:bCs/>
          <w:rtl/>
        </w:rPr>
        <w:t xml:space="preserve"> </w:t>
      </w:r>
      <w:r w:rsidRPr="00B53ECD">
        <w:rPr>
          <w:rStyle w:val="href"/>
          <w:b/>
          <w:bCs/>
        </w:rPr>
        <w:t>233</w:t>
      </w:r>
      <w:r w:rsidRPr="00B53ECD">
        <w:rPr>
          <w:b/>
          <w:bCs/>
          <w:lang w:val="en-GB"/>
        </w:rPr>
        <w:t xml:space="preserve"> (WRC</w:t>
      </w:r>
      <w:r w:rsidRPr="00B53ECD">
        <w:rPr>
          <w:b/>
          <w:bCs/>
          <w:lang w:val="en-GB"/>
        </w:rPr>
        <w:noBreakHyphen/>
        <w:t>12)</w:t>
      </w:r>
      <w:bookmarkStart w:id="3" w:name="_Toc327956638"/>
      <w:bookmarkEnd w:id="2"/>
      <w:r w:rsidRPr="00B53ECD">
        <w:rPr>
          <w:rFonts w:hint="cs"/>
          <w:b/>
          <w:bCs/>
          <w:rtl/>
          <w:lang w:val="en-GB"/>
        </w:rPr>
        <w:t>:</w:t>
      </w:r>
      <w:r>
        <w:rPr>
          <w:rFonts w:hint="cs"/>
          <w:rtl/>
          <w:lang w:val="en-GB"/>
        </w:rPr>
        <w:t xml:space="preserve"> </w:t>
      </w:r>
      <w:r>
        <w:rPr>
          <w:rFonts w:hint="cs"/>
          <w:rtl/>
        </w:rPr>
        <w:t>دراسات بشأن الأمور المتعلقة بالترددات الخاصة بالاتصالات المتنقلة الدولية وغيرها من التطبيقات المتنقلة عريضة النطاق للأرض</w:t>
      </w:r>
      <w:bookmarkEnd w:id="3"/>
      <w:r w:rsidR="00DE79DD">
        <w:rPr>
          <w:rFonts w:hint="cs"/>
          <w:rtl/>
        </w:rPr>
        <w:t>.</w:t>
      </w:r>
    </w:p>
    <w:p w:rsidR="00756AAE" w:rsidRPr="00756AAE" w:rsidRDefault="00756AAE" w:rsidP="00756AAE">
      <w:pPr>
        <w:rPr>
          <w:rFonts w:eastAsia="SimSun"/>
        </w:rPr>
      </w:pPr>
    </w:p>
    <w:p w:rsidR="00494F2B" w:rsidRPr="00494F2B" w:rsidRDefault="00494F2B" w:rsidP="00494F2B">
      <w:pPr>
        <w:pStyle w:val="Headingb"/>
        <w:rPr>
          <w:rtl/>
        </w:rPr>
      </w:pPr>
      <w:r w:rsidRPr="00494F2B">
        <w:rPr>
          <w:rtl/>
        </w:rPr>
        <w:t>مقدمة</w:t>
      </w:r>
    </w:p>
    <w:p w:rsidR="00494F2B" w:rsidRPr="00306570" w:rsidRDefault="00494F2B" w:rsidP="009701CE">
      <w:pPr>
        <w:rPr>
          <w:rtl/>
        </w:rPr>
      </w:pPr>
      <w:r w:rsidRPr="00306570">
        <w:rPr>
          <w:rtl/>
        </w:rPr>
        <w:t>تساهم الاتصالات المتنقلة بصورة إيجابية في التنمية الاقتصادية والاجتماعية للبلدان المتقدّمة والنامية، بما في ذلك الاتصالات المتنقلة العريضة النطاق.</w:t>
      </w:r>
    </w:p>
    <w:p w:rsidR="00494F2B" w:rsidRPr="00306570" w:rsidRDefault="00494F2B" w:rsidP="009701CE">
      <w:pPr>
        <w:rPr>
          <w:rtl/>
        </w:rPr>
      </w:pPr>
      <w:r w:rsidRPr="00306570">
        <w:rPr>
          <w:rtl/>
        </w:rPr>
        <w:t xml:space="preserve">وجاء في القرار </w:t>
      </w:r>
      <w:r w:rsidRPr="00306570">
        <w:rPr>
          <w:b/>
          <w:bCs/>
        </w:rPr>
        <w:t>233 (WRC</w:t>
      </w:r>
      <w:r w:rsidRPr="00306570">
        <w:rPr>
          <w:b/>
          <w:bCs/>
        </w:rPr>
        <w:noBreakHyphen/>
        <w:t>12)</w:t>
      </w:r>
      <w:r w:rsidRPr="00306570">
        <w:rPr>
          <w:rtl/>
        </w:rPr>
        <w:t xml:space="preserve"> أن تيسّر الطيف الكافي في الوقت المناسب مع الأحكام التنظيمية المناسبة، فضلاً عن التكنولوجيات المحسنة، أمر ضروري لدعم النمو المستقبلي للاتصالات المتنقلة الدولية وغيرها من أنظمة النطاق العريض المتنقل. كما يُستحسن كثيراً وجود نطاقات وترتيبات تردد منسقة عالمياً من أجل هذه الأنظمة لتسهيل التجوال العالمي والتمتع بفوائد وفورات الحجم الكبير.</w:t>
      </w:r>
    </w:p>
    <w:p w:rsidR="00494F2B" w:rsidRPr="00306570" w:rsidRDefault="00494F2B" w:rsidP="009701CE">
      <w:pPr>
        <w:rPr>
          <w:rFonts w:asciiTheme="majorBidi" w:hAnsiTheme="majorBidi"/>
          <w:rtl/>
        </w:rPr>
      </w:pPr>
      <w:r w:rsidRPr="00306570">
        <w:rPr>
          <w:rtl/>
        </w:rPr>
        <w:t xml:space="preserve">و أُجريت الدراسات بشأن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 </w:t>
      </w:r>
      <w:r w:rsidRPr="00306570">
        <w:t>2</w:t>
      </w:r>
      <w:r w:rsidRPr="00306570">
        <w:rPr>
          <w:rtl/>
        </w:rPr>
        <w:t xml:space="preserve"> من يقرر أن يدعو قطاع الاتصالات الراديوية من القرار </w:t>
      </w:r>
      <w:r w:rsidRPr="00306570">
        <w:rPr>
          <w:b/>
          <w:bCs/>
        </w:rPr>
        <w:t>233 (WRC</w:t>
      </w:r>
      <w:r w:rsidRPr="00306570">
        <w:rPr>
          <w:b/>
          <w:bCs/>
        </w:rPr>
        <w:noBreakHyphen/>
        <w:t>12)</w:t>
      </w:r>
      <w:r w:rsidRPr="00306570">
        <w:rPr>
          <w:rtl/>
        </w:rPr>
        <w:t xml:space="preserve">، دراسة نطاقات التردد التالية: </w:t>
      </w:r>
      <w:r w:rsidRPr="00306570">
        <w:rPr>
          <w:rFonts w:asciiTheme="majorBidi" w:hAnsiTheme="majorBidi"/>
        </w:rPr>
        <w:t>MHz 698/694</w:t>
      </w:r>
      <w:r w:rsidRPr="00306570">
        <w:rPr>
          <w:rFonts w:asciiTheme="majorBidi" w:hAnsiTheme="majorBidi"/>
        </w:rPr>
        <w:noBreakHyphen/>
        <w:t>470</w:t>
      </w:r>
      <w:r w:rsidRPr="00306570">
        <w:rPr>
          <w:rFonts w:asciiTheme="majorBidi" w:hAnsiTheme="majorBidi"/>
          <w:rtl/>
        </w:rPr>
        <w:t xml:space="preserve"> و</w:t>
      </w:r>
      <w:r w:rsidRPr="00306570">
        <w:rPr>
          <w:rFonts w:asciiTheme="majorBidi" w:hAnsiTheme="majorBidi"/>
        </w:rPr>
        <w:t>MHz 1 525</w:t>
      </w:r>
      <w:r w:rsidRPr="00306570">
        <w:rPr>
          <w:rFonts w:asciiTheme="majorBidi" w:hAnsiTheme="majorBidi"/>
        </w:rPr>
        <w:noBreakHyphen/>
        <w:t>1 300</w:t>
      </w:r>
      <w:r w:rsidRPr="00306570">
        <w:rPr>
          <w:rFonts w:asciiTheme="majorBidi" w:hAnsiTheme="majorBidi"/>
          <w:rtl/>
        </w:rPr>
        <w:t xml:space="preserve"> و</w:t>
      </w:r>
      <w:r w:rsidRPr="00306570">
        <w:rPr>
          <w:rFonts w:asciiTheme="majorBidi" w:hAnsiTheme="majorBidi"/>
        </w:rPr>
        <w:t>MHz 1 710</w:t>
      </w:r>
      <w:r w:rsidRPr="00306570">
        <w:rPr>
          <w:rFonts w:asciiTheme="majorBidi" w:hAnsiTheme="majorBidi"/>
        </w:rPr>
        <w:noBreakHyphen/>
        <w:t>1 695</w:t>
      </w:r>
      <w:r w:rsidRPr="00306570">
        <w:rPr>
          <w:rFonts w:asciiTheme="majorBidi" w:hAnsiTheme="majorBidi"/>
          <w:rtl/>
        </w:rPr>
        <w:t xml:space="preserve"> و</w:t>
      </w:r>
      <w:r w:rsidRPr="00306570">
        <w:rPr>
          <w:rFonts w:asciiTheme="majorBidi" w:hAnsiTheme="majorBidi"/>
        </w:rPr>
        <w:t>MHz 2 110</w:t>
      </w:r>
      <w:r w:rsidRPr="00306570">
        <w:rPr>
          <w:rFonts w:asciiTheme="majorBidi" w:hAnsiTheme="majorBidi"/>
        </w:rPr>
        <w:noBreakHyphen/>
        <w:t>2 025</w:t>
      </w:r>
      <w:r w:rsidRPr="00306570">
        <w:rPr>
          <w:rFonts w:asciiTheme="majorBidi" w:hAnsiTheme="majorBidi"/>
          <w:rtl/>
        </w:rPr>
        <w:t xml:space="preserve"> و</w:t>
      </w:r>
      <w:r w:rsidRPr="00306570">
        <w:rPr>
          <w:rFonts w:asciiTheme="majorBidi" w:hAnsiTheme="majorBidi"/>
        </w:rPr>
        <w:t>MHz 2 290</w:t>
      </w:r>
      <w:r w:rsidRPr="00306570">
        <w:rPr>
          <w:rFonts w:asciiTheme="majorBidi" w:hAnsiTheme="majorBidi"/>
        </w:rPr>
        <w:noBreakHyphen/>
        <w:t>2 200</w:t>
      </w:r>
      <w:r w:rsidRPr="00306570">
        <w:rPr>
          <w:rFonts w:asciiTheme="majorBidi" w:hAnsiTheme="majorBidi"/>
          <w:rtl/>
        </w:rPr>
        <w:t xml:space="preserve"> و</w:t>
      </w:r>
      <w:r w:rsidRPr="00306570">
        <w:rPr>
          <w:rFonts w:asciiTheme="majorBidi" w:hAnsiTheme="majorBidi"/>
        </w:rPr>
        <w:t>MHz 2 900</w:t>
      </w:r>
      <w:r w:rsidRPr="00306570">
        <w:rPr>
          <w:rFonts w:asciiTheme="majorBidi" w:hAnsiTheme="majorBidi"/>
        </w:rPr>
        <w:noBreakHyphen/>
        <w:t>2 700</w:t>
      </w:r>
      <w:r w:rsidRPr="00306570">
        <w:rPr>
          <w:rFonts w:asciiTheme="majorBidi" w:hAnsiTheme="majorBidi"/>
          <w:rtl/>
        </w:rPr>
        <w:t xml:space="preserve"> </w:t>
      </w:r>
      <w:r w:rsidRPr="00306570">
        <w:rPr>
          <w:rFonts w:asciiTheme="majorBidi" w:hAnsiTheme="majorBidi"/>
          <w:rtl/>
        </w:rPr>
        <w:lastRenderedPageBreak/>
        <w:t>و</w:t>
      </w:r>
      <w:r w:rsidRPr="00306570">
        <w:rPr>
          <w:rFonts w:asciiTheme="majorBidi" w:hAnsiTheme="majorBidi"/>
        </w:rPr>
        <w:t>MHz 3 100</w:t>
      </w:r>
      <w:r w:rsidRPr="00306570">
        <w:rPr>
          <w:rFonts w:asciiTheme="majorBidi" w:hAnsiTheme="majorBidi"/>
        </w:rPr>
        <w:noBreakHyphen/>
        <w:t>2 900</w:t>
      </w:r>
      <w:r w:rsidRPr="00306570">
        <w:rPr>
          <w:rFonts w:asciiTheme="majorBidi" w:hAnsiTheme="majorBidi"/>
          <w:rtl/>
        </w:rPr>
        <w:t xml:space="preserve"> و</w:t>
      </w:r>
      <w:r w:rsidRPr="00306570">
        <w:rPr>
          <w:rFonts w:asciiTheme="majorBidi" w:hAnsiTheme="majorBidi"/>
        </w:rPr>
        <w:t>MHz 3 400</w:t>
      </w:r>
      <w:r w:rsidRPr="00306570">
        <w:rPr>
          <w:rFonts w:asciiTheme="majorBidi" w:hAnsiTheme="majorBidi"/>
        </w:rPr>
        <w:noBreakHyphen/>
        <w:t>3 300</w:t>
      </w:r>
      <w:r w:rsidRPr="00306570">
        <w:rPr>
          <w:rFonts w:asciiTheme="majorBidi" w:hAnsiTheme="majorBidi"/>
          <w:rtl/>
        </w:rPr>
        <w:t xml:space="preserve"> و</w:t>
      </w:r>
      <w:r w:rsidRPr="00306570">
        <w:rPr>
          <w:rFonts w:asciiTheme="majorBidi" w:hAnsiTheme="majorBidi"/>
        </w:rPr>
        <w:t>MHz 3 600</w:t>
      </w:r>
      <w:r w:rsidRPr="00306570">
        <w:rPr>
          <w:rFonts w:asciiTheme="majorBidi" w:hAnsiTheme="majorBidi"/>
        </w:rPr>
        <w:noBreakHyphen/>
        <w:t>3 400</w:t>
      </w:r>
      <w:r w:rsidRPr="00306570">
        <w:rPr>
          <w:rFonts w:asciiTheme="majorBidi" w:hAnsiTheme="majorBidi"/>
          <w:rtl/>
        </w:rPr>
        <w:t xml:space="preserve"> و</w:t>
      </w:r>
      <w:r w:rsidRPr="00306570">
        <w:rPr>
          <w:rFonts w:asciiTheme="majorBidi" w:hAnsiTheme="majorBidi"/>
        </w:rPr>
        <w:t>MHz 4 200</w:t>
      </w:r>
      <w:r w:rsidRPr="00306570">
        <w:rPr>
          <w:rFonts w:asciiTheme="majorBidi" w:hAnsiTheme="majorBidi"/>
        </w:rPr>
        <w:noBreakHyphen/>
        <w:t>3 600</w:t>
      </w:r>
      <w:r w:rsidRPr="00306570">
        <w:rPr>
          <w:rFonts w:asciiTheme="majorBidi" w:hAnsiTheme="majorBidi"/>
          <w:rtl/>
        </w:rPr>
        <w:t xml:space="preserve"> و</w:t>
      </w:r>
      <w:r w:rsidRPr="00306570">
        <w:rPr>
          <w:rFonts w:asciiTheme="majorBidi" w:hAnsiTheme="majorBidi"/>
        </w:rPr>
        <w:t>MHz 4 900</w:t>
      </w:r>
      <w:r w:rsidRPr="00306570">
        <w:rPr>
          <w:rFonts w:asciiTheme="majorBidi" w:hAnsiTheme="majorBidi"/>
        </w:rPr>
        <w:noBreakHyphen/>
        <w:t>4 400</w:t>
      </w:r>
      <w:r w:rsidRPr="00306570">
        <w:rPr>
          <w:rFonts w:asciiTheme="majorBidi" w:hAnsiTheme="majorBidi"/>
          <w:rtl/>
        </w:rPr>
        <w:t xml:space="preserve"> و</w:t>
      </w:r>
      <w:r w:rsidRPr="00306570">
        <w:rPr>
          <w:rFonts w:asciiTheme="majorBidi" w:hAnsiTheme="majorBidi"/>
        </w:rPr>
        <w:t>MHz 5 000</w:t>
      </w:r>
      <w:r w:rsidRPr="00306570">
        <w:rPr>
          <w:rFonts w:asciiTheme="majorBidi" w:hAnsiTheme="majorBidi"/>
        </w:rPr>
        <w:noBreakHyphen/>
        <w:t>4 800</w:t>
      </w:r>
      <w:r w:rsidRPr="00306570">
        <w:rPr>
          <w:rFonts w:asciiTheme="majorBidi" w:hAnsiTheme="majorBidi"/>
          <w:rtl/>
        </w:rPr>
        <w:t xml:space="preserve"> و</w:t>
      </w:r>
      <w:r w:rsidRPr="00306570">
        <w:rPr>
          <w:rFonts w:asciiTheme="majorBidi" w:hAnsiTheme="majorBidi"/>
        </w:rPr>
        <w:t>MHz 5 470</w:t>
      </w:r>
      <w:r w:rsidRPr="00306570">
        <w:rPr>
          <w:rFonts w:asciiTheme="majorBidi" w:hAnsiTheme="majorBidi"/>
        </w:rPr>
        <w:noBreakHyphen/>
        <w:t>5 350</w:t>
      </w:r>
      <w:r w:rsidRPr="00306570">
        <w:rPr>
          <w:rFonts w:asciiTheme="majorBidi" w:hAnsiTheme="majorBidi"/>
          <w:rtl/>
        </w:rPr>
        <w:t xml:space="preserve"> و</w:t>
      </w:r>
      <w:r w:rsidRPr="00306570">
        <w:rPr>
          <w:rFonts w:asciiTheme="majorBidi" w:hAnsiTheme="majorBidi"/>
        </w:rPr>
        <w:t>MHz 5 850</w:t>
      </w:r>
      <w:r w:rsidRPr="00306570">
        <w:rPr>
          <w:rFonts w:asciiTheme="majorBidi" w:hAnsiTheme="majorBidi"/>
        </w:rPr>
        <w:noBreakHyphen/>
        <w:t>5 725</w:t>
      </w:r>
      <w:r w:rsidRPr="00306570">
        <w:rPr>
          <w:rFonts w:asciiTheme="majorBidi" w:hAnsiTheme="majorBidi"/>
          <w:rtl/>
        </w:rPr>
        <w:t xml:space="preserve"> و</w:t>
      </w:r>
      <w:r w:rsidRPr="00306570">
        <w:rPr>
          <w:rFonts w:asciiTheme="majorBidi" w:hAnsiTheme="majorBidi"/>
        </w:rPr>
        <w:t>MHz 6 425</w:t>
      </w:r>
      <w:r w:rsidRPr="00306570">
        <w:rPr>
          <w:rFonts w:asciiTheme="majorBidi" w:hAnsiTheme="majorBidi"/>
        </w:rPr>
        <w:noBreakHyphen/>
        <w:t>5 925</w:t>
      </w:r>
      <w:r w:rsidRPr="00306570">
        <w:rPr>
          <w:rFonts w:asciiTheme="majorBidi" w:hAnsiTheme="majorBidi"/>
          <w:rtl/>
        </w:rPr>
        <w:t>.</w:t>
      </w:r>
    </w:p>
    <w:p w:rsidR="00494F2B" w:rsidRPr="00306570" w:rsidRDefault="00494F2B" w:rsidP="00C73633">
      <w:pPr>
        <w:rPr>
          <w:rtl/>
        </w:rPr>
      </w:pPr>
      <w:r w:rsidRPr="00306570">
        <w:rPr>
          <w:rtl/>
        </w:rPr>
        <w:t xml:space="preserve">ومن ضمن هذه النطاقات التي تم دراستها مدى التردد الممتد من </w:t>
      </w:r>
      <w:r w:rsidRPr="00306570">
        <w:t>3400</w:t>
      </w:r>
      <w:r w:rsidRPr="00306570">
        <w:rPr>
          <w:rtl/>
        </w:rPr>
        <w:t xml:space="preserve"> </w:t>
      </w:r>
      <w:r w:rsidRPr="00306570">
        <w:t>MHz</w:t>
      </w:r>
      <w:r w:rsidRPr="00306570">
        <w:rPr>
          <w:rtl/>
        </w:rPr>
        <w:t xml:space="preserve"> إلى </w:t>
      </w:r>
      <w:r w:rsidRPr="00306570">
        <w:t>MHz 3600</w:t>
      </w:r>
      <w:r w:rsidRPr="00306570">
        <w:rPr>
          <w:rtl/>
        </w:rPr>
        <w:t>، وقد أظهرت دراسات ال</w:t>
      </w:r>
      <w:r w:rsidR="007046E8">
        <w:rPr>
          <w:rtl/>
        </w:rPr>
        <w:t>تقاسم</w:t>
      </w:r>
      <w:r w:rsidRPr="00306570">
        <w:rPr>
          <w:rtl/>
        </w:rPr>
        <w:t xml:space="preserve"> بين الخدمة الثابتة الساتلية والخدمة المتنقلة/خدمة الاتصالات المتنقلة الدولية في النطاق </w:t>
      </w:r>
      <w:r w:rsidRPr="00306570">
        <w:t>MHz 3 600</w:t>
      </w:r>
      <w:r w:rsidRPr="00306570">
        <w:noBreakHyphen/>
        <w:t>3 400</w:t>
      </w:r>
      <w:r w:rsidRPr="00306570">
        <w:rPr>
          <w:rtl/>
        </w:rPr>
        <w:t xml:space="preserve"> أن هذا النطاق الترددي قد استخدمته الخدمة الثابتة الساتلية لوصلات فضاء-أرض، إلى جانب النطاق الترددي </w:t>
      </w:r>
      <w:r w:rsidRPr="00306570">
        <w:t>MHz 6 725</w:t>
      </w:r>
      <w:r w:rsidR="00C73633">
        <w:noBreakHyphen/>
      </w:r>
      <w:r w:rsidRPr="00306570">
        <w:t>5 850</w:t>
      </w:r>
      <w:r w:rsidRPr="00306570">
        <w:rPr>
          <w:rtl/>
        </w:rPr>
        <w:t xml:space="preserve"> لوصلات أرض-فضاء، منذ سبعينات القرن الماضي. والتكنولوجيا في هذا الصدد ناضجة ومعداتها متاحة بتكلفة منخفضة.</w:t>
      </w:r>
    </w:p>
    <w:p w:rsidR="00494F2B" w:rsidRPr="00306570" w:rsidRDefault="00494F2B" w:rsidP="00494F2B">
      <w:pPr>
        <w:rPr>
          <w:rtl/>
          <w:lang w:bidi="ar"/>
        </w:rPr>
      </w:pPr>
      <w:r w:rsidRPr="00306570">
        <w:rPr>
          <w:rtl/>
          <w:lang w:bidi="ar"/>
        </w:rPr>
        <w:t xml:space="preserve">وعلاوة على ذلك، تمكِّن رحابة تغطية السواتل في هذه </w:t>
      </w:r>
      <w:r w:rsidR="00471443">
        <w:rPr>
          <w:rFonts w:hint="cs"/>
          <w:rtl/>
          <w:lang w:bidi="ar"/>
        </w:rPr>
        <w:t>ال</w:t>
      </w:r>
      <w:r w:rsidRPr="00306570">
        <w:rPr>
          <w:rtl/>
          <w:lang w:bidi="ar"/>
        </w:rPr>
        <w:t>نطاقات الترددية من تقديم خدمات إلى البلدان النامية، وإلى مناطق ذات كثافة سكانية منخفضة وعلى امتداد مسافات كبيرة (كتقديم محتوى البرامج وتوزيع البيانات بين القارات).</w:t>
      </w:r>
    </w:p>
    <w:p w:rsidR="00494F2B" w:rsidRPr="00E86B70" w:rsidRDefault="00494F2B" w:rsidP="006A0E79">
      <w:pPr>
        <w:rPr>
          <w:rtl/>
          <w:lang w:bidi="ar"/>
        </w:rPr>
      </w:pPr>
      <w:r w:rsidRPr="00306570">
        <w:rPr>
          <w:rtl/>
          <w:lang w:bidi="ar"/>
        </w:rPr>
        <w:t>وتظهر دراسات ال</w:t>
      </w:r>
      <w:r w:rsidR="007046E8">
        <w:rPr>
          <w:rtl/>
          <w:lang w:bidi="ar"/>
        </w:rPr>
        <w:t>تقاسم</w:t>
      </w:r>
      <w:r w:rsidRPr="00306570">
        <w:rPr>
          <w:rtl/>
          <w:lang w:bidi="ar"/>
        </w:rPr>
        <w:t xml:space="preserve"> التي أجريت في قطاع الاتصالات الراديوية درجة مرتفعة من عدم التوافق بين الاتصالات المتنقلة الدولية</w:t>
      </w:r>
      <w:r w:rsidR="006A0E79">
        <w:rPr>
          <w:rFonts w:hint="cs"/>
          <w:rtl/>
          <w:lang w:bidi="ar"/>
        </w:rPr>
        <w:t> </w:t>
      </w:r>
      <w:r w:rsidRPr="00306570">
        <w:rPr>
          <w:lang w:bidi="ar"/>
        </w:rPr>
        <w:t>(IMT)</w:t>
      </w:r>
      <w:r w:rsidRPr="00306570">
        <w:rPr>
          <w:rtl/>
          <w:lang w:bidi="ar"/>
        </w:rPr>
        <w:t xml:space="preserve"> والخدمات الساتلية. وتدعو الحاجة لأن تمتد المسافات الفاصلة بين محطات الخدمة الثابتة الساتلية ومحطات الاتصالات المتنقلة الدولية لمئات الكيلومترات.</w:t>
      </w:r>
    </w:p>
    <w:p w:rsidR="00494F2B" w:rsidRPr="009701CE" w:rsidRDefault="006A0E79" w:rsidP="009701CE">
      <w:pPr>
        <w:pStyle w:val="Headingb"/>
        <w:rPr>
          <w:rFonts w:hint="cs"/>
          <w:rtl/>
        </w:rPr>
      </w:pPr>
      <w:r>
        <w:rPr>
          <w:rtl/>
        </w:rPr>
        <w:t>المقترح</w:t>
      </w:r>
    </w:p>
    <w:p w:rsidR="00494F2B" w:rsidRPr="00DB46A3" w:rsidRDefault="00494F2B" w:rsidP="006F7953">
      <w:pPr>
        <w:rPr>
          <w:spacing w:val="-4"/>
          <w:rtl/>
          <w:lang w:bidi="ar"/>
        </w:rPr>
      </w:pPr>
      <w:r w:rsidRPr="00DB46A3">
        <w:rPr>
          <w:spacing w:val="-4"/>
          <w:rtl/>
          <w:lang w:bidi="ar"/>
        </w:rPr>
        <w:t>بناءً على نتائج الدراسات وتحليلها حول هذا البند، تقترح ال</w:t>
      </w:r>
      <w:r w:rsidRPr="00DB46A3">
        <w:rPr>
          <w:rFonts w:hint="cs"/>
          <w:spacing w:val="-4"/>
          <w:rtl/>
          <w:lang w:bidi="ar"/>
        </w:rPr>
        <w:t>أطراف الموقعة عدم تعديل لوائح</w:t>
      </w:r>
      <w:r w:rsidRPr="00DB46A3">
        <w:rPr>
          <w:spacing w:val="-4"/>
          <w:rtl/>
          <w:lang w:bidi="ar"/>
        </w:rPr>
        <w:t xml:space="preserve"> </w:t>
      </w:r>
      <w:r w:rsidRPr="00DB46A3">
        <w:rPr>
          <w:rFonts w:hint="cs"/>
          <w:spacing w:val="-4"/>
          <w:rtl/>
          <w:lang w:bidi="ar"/>
        </w:rPr>
        <w:t>الراديو في</w:t>
      </w:r>
      <w:r w:rsidR="00306570" w:rsidRPr="00DB46A3">
        <w:rPr>
          <w:rFonts w:hint="eastAsia"/>
          <w:spacing w:val="-4"/>
          <w:rtl/>
          <w:lang w:bidi="ar"/>
        </w:rPr>
        <w:t> </w:t>
      </w:r>
      <w:r w:rsidRPr="00DB46A3">
        <w:rPr>
          <w:rFonts w:hint="cs"/>
          <w:spacing w:val="-4"/>
          <w:rtl/>
          <w:lang w:bidi="ar"/>
        </w:rPr>
        <w:t>النطاق</w:t>
      </w:r>
      <w:r w:rsidR="006F7953" w:rsidRPr="00DB46A3">
        <w:rPr>
          <w:rFonts w:hint="eastAsia"/>
          <w:spacing w:val="-4"/>
          <w:rtl/>
          <w:lang w:bidi="ar"/>
        </w:rPr>
        <w:t> </w:t>
      </w:r>
      <w:r w:rsidR="00156418" w:rsidRPr="00DB46A3">
        <w:rPr>
          <w:spacing w:val="-4"/>
          <w:lang w:bidi="ar"/>
        </w:rPr>
        <w:t> </w:t>
      </w:r>
      <w:r w:rsidRPr="00DB46A3">
        <w:rPr>
          <w:spacing w:val="-4"/>
          <w:lang w:bidi="ar"/>
        </w:rPr>
        <w:t>MHz</w:t>
      </w:r>
      <w:r w:rsidR="00510359" w:rsidRPr="00DB46A3">
        <w:rPr>
          <w:spacing w:val="-4"/>
          <w:lang w:bidi="ar"/>
        </w:rPr>
        <w:t> </w:t>
      </w:r>
      <w:r w:rsidRPr="00DB46A3">
        <w:rPr>
          <w:spacing w:val="-4"/>
          <w:lang w:bidi="ar"/>
        </w:rPr>
        <w:t>3</w:t>
      </w:r>
      <w:r w:rsidR="00510359" w:rsidRPr="00DB46A3">
        <w:rPr>
          <w:spacing w:val="-4"/>
          <w:lang w:bidi="ar"/>
        </w:rPr>
        <w:t> </w:t>
      </w:r>
      <w:r w:rsidRPr="00DB46A3">
        <w:rPr>
          <w:spacing w:val="-4"/>
          <w:lang w:bidi="ar"/>
        </w:rPr>
        <w:t>600</w:t>
      </w:r>
      <w:r w:rsidR="00510359" w:rsidRPr="00DB46A3">
        <w:rPr>
          <w:spacing w:val="-4"/>
          <w:lang w:bidi="ar"/>
        </w:rPr>
        <w:noBreakHyphen/>
      </w:r>
      <w:r w:rsidRPr="00DB46A3">
        <w:rPr>
          <w:spacing w:val="-4"/>
          <w:lang w:bidi="ar"/>
        </w:rPr>
        <w:t>3</w:t>
      </w:r>
      <w:r w:rsidR="00510359" w:rsidRPr="00DB46A3">
        <w:rPr>
          <w:spacing w:val="-4"/>
          <w:lang w:bidi="ar"/>
        </w:rPr>
        <w:t> </w:t>
      </w:r>
      <w:r w:rsidRPr="00DB46A3">
        <w:rPr>
          <w:spacing w:val="-4"/>
          <w:lang w:bidi="ar"/>
        </w:rPr>
        <w:t>400</w:t>
      </w:r>
      <w:r w:rsidRPr="00DB46A3">
        <w:rPr>
          <w:spacing w:val="-4"/>
          <w:rtl/>
          <w:lang w:bidi="ar"/>
        </w:rPr>
        <w:t>.</w:t>
      </w:r>
    </w:p>
    <w:p w:rsidR="00494F2B" w:rsidRPr="00E86B70" w:rsidRDefault="00494F2B" w:rsidP="00306570">
      <w:pPr>
        <w:rPr>
          <w:rtl/>
          <w:lang w:bidi="ar"/>
        </w:rPr>
      </w:pPr>
      <w:r w:rsidRPr="00E86B70">
        <w:rPr>
          <w:rtl/>
          <w:lang w:bidi="ar"/>
        </w:rPr>
        <w:t>فيما يلي، الاعتبارات الإجرائية والتنظيمية المترتبة</w:t>
      </w:r>
      <w:r>
        <w:rPr>
          <w:rFonts w:hint="cs"/>
          <w:rtl/>
          <w:lang w:bidi="ar"/>
        </w:rPr>
        <w:t xml:space="preserve"> على</w:t>
      </w:r>
      <w:r w:rsidRPr="00E86B70">
        <w:rPr>
          <w:rtl/>
          <w:lang w:bidi="ar"/>
        </w:rPr>
        <w:t xml:space="preserve"> </w:t>
      </w:r>
      <w:r>
        <w:rPr>
          <w:rFonts w:hint="cs"/>
          <w:rtl/>
          <w:lang w:bidi="ar"/>
        </w:rPr>
        <w:t>المقترح</w:t>
      </w:r>
      <w:r w:rsidRPr="00E86B70">
        <w:rPr>
          <w:rtl/>
          <w:lang w:bidi="ar"/>
        </w:rPr>
        <w:t>:</w:t>
      </w:r>
    </w:p>
    <w:p w:rsidR="009F37C9" w:rsidRDefault="00C73633" w:rsidP="008A6056">
      <w:pPr>
        <w:pStyle w:val="ArtNo"/>
        <w:rPr>
          <w:rtl/>
        </w:rPr>
      </w:pPr>
      <w:r>
        <w:rPr>
          <w:rtl/>
        </w:rPr>
        <w:t xml:space="preserve">المـادة </w:t>
      </w:r>
      <w:r w:rsidRPr="008462AD">
        <w:rPr>
          <w:rStyle w:val="href"/>
        </w:rPr>
        <w:t>5</w:t>
      </w:r>
    </w:p>
    <w:p w:rsidR="009F37C9" w:rsidRPr="007031A9" w:rsidRDefault="00C73633" w:rsidP="009F37C9">
      <w:pPr>
        <w:pStyle w:val="Arttitle"/>
        <w:rPr>
          <w:b w:val="0"/>
          <w:rtl/>
        </w:rPr>
      </w:pPr>
      <w:bookmarkStart w:id="4" w:name="_Toc331055733"/>
      <w:r w:rsidRPr="007031A9">
        <w:rPr>
          <w:b w:val="0"/>
          <w:rtl/>
        </w:rPr>
        <w:t>توزيع نطاقات التردد</w:t>
      </w:r>
      <w:bookmarkEnd w:id="4"/>
    </w:p>
    <w:p w:rsidR="009F37C9" w:rsidRDefault="00C7363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D0089" w:rsidRDefault="00C73633">
      <w:pPr>
        <w:pStyle w:val="Proposal"/>
      </w:pPr>
      <w:r>
        <w:rPr>
          <w:u w:val="single"/>
        </w:rPr>
        <w:t>NOC</w:t>
      </w:r>
      <w:r>
        <w:tab/>
        <w:t>UAE/MTN/44/1</w:t>
      </w:r>
    </w:p>
    <w:p w:rsidR="009F37C9" w:rsidRPr="002F7F63" w:rsidRDefault="00C73633">
      <w:pPr>
        <w:pStyle w:val="Tabletitle"/>
        <w:rPr>
          <w:rtl/>
        </w:rPr>
        <w:pPrChange w:id="5"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0"/>
        <w:gridCol w:w="3030"/>
        <w:gridCol w:w="17"/>
        <w:gridCol w:w="3270"/>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C73633" w:rsidP="006339CB">
            <w:pPr>
              <w:pStyle w:val="Tablehead"/>
              <w:ind w:left="227" w:right="57" w:hanging="170"/>
            </w:pPr>
            <w:r w:rsidRPr="006253DB">
              <w:rPr>
                <w:rtl/>
              </w:rPr>
              <w:t>التوزيع على الخدمات</w:t>
            </w:r>
          </w:p>
        </w:tc>
      </w:tr>
      <w:tr w:rsidR="006339CB" w:rsidRPr="006253DB" w:rsidTr="00450B65">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C73633"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C73633"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C73633" w:rsidP="006339CB">
            <w:pPr>
              <w:pStyle w:val="Tablehead"/>
              <w:ind w:left="227" w:right="57" w:hanging="170"/>
            </w:pPr>
            <w:r w:rsidRPr="006253DB">
              <w:rPr>
                <w:rtl/>
              </w:rPr>
              <w:t xml:space="preserve">الإقليم </w:t>
            </w:r>
            <w:r w:rsidRPr="006253DB">
              <w:t>3</w:t>
            </w:r>
          </w:p>
        </w:tc>
      </w:tr>
      <w:tr w:rsidR="006339CB" w:rsidRPr="006253DB" w:rsidTr="00450B65">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6339CB" w:rsidRPr="00FA3B95" w:rsidRDefault="00C73633" w:rsidP="006339CB">
            <w:pPr>
              <w:pStyle w:val="TabletextS5"/>
              <w:spacing w:line="240" w:lineRule="exact"/>
              <w:ind w:left="227" w:right="57"/>
              <w:rPr>
                <w:rStyle w:val="Tablefreq"/>
              </w:rPr>
            </w:pPr>
            <w:r w:rsidRPr="00FA3B95">
              <w:rPr>
                <w:rStyle w:val="Tablefreq"/>
              </w:rPr>
              <w:t>3 600-3 400</w:t>
            </w:r>
          </w:p>
          <w:p w:rsidR="006339CB" w:rsidRPr="00930CEF" w:rsidRDefault="00C73633" w:rsidP="006339CB">
            <w:pPr>
              <w:pStyle w:val="TabletextS5"/>
              <w:spacing w:line="240" w:lineRule="exact"/>
              <w:ind w:left="227" w:right="57"/>
              <w:rPr>
                <w:b/>
                <w:bCs/>
                <w:rtl/>
              </w:rPr>
            </w:pPr>
            <w:r w:rsidRPr="00930CEF">
              <w:rPr>
                <w:b/>
                <w:bCs/>
                <w:rtl/>
              </w:rPr>
              <w:t>ثابتة</w:t>
            </w:r>
          </w:p>
          <w:p w:rsidR="006339CB" w:rsidRPr="006253DB" w:rsidRDefault="00C73633"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C73633" w:rsidP="006339CB">
            <w:pPr>
              <w:pStyle w:val="TabletextS5"/>
              <w:spacing w:line="240" w:lineRule="exact"/>
              <w:ind w:left="227" w:right="57"/>
            </w:pPr>
            <w:r w:rsidRPr="006253DB">
              <w:rPr>
                <w:rtl/>
              </w:rPr>
              <w:t xml:space="preserve">متنقلة </w:t>
            </w:r>
            <w:r w:rsidRPr="00156418">
              <w:rPr>
                <w:rStyle w:val="Artref"/>
                <w:b w:val="0"/>
                <w:bCs w:val="0"/>
              </w:rPr>
              <w:t>430A.5</w:t>
            </w:r>
            <w:r w:rsidRPr="00156418">
              <w:rPr>
                <w:b/>
                <w:bCs/>
              </w:rPr>
              <w:t xml:space="preserve"> </w:t>
            </w:r>
          </w:p>
          <w:p w:rsidR="006339CB" w:rsidRPr="006253DB" w:rsidRDefault="00C73633" w:rsidP="006339CB">
            <w:pPr>
              <w:pStyle w:val="TabletextS5"/>
              <w:spacing w:line="240" w:lineRule="exact"/>
              <w:ind w:left="227" w:right="57"/>
            </w:pPr>
            <w:r w:rsidRPr="006253DB">
              <w:rPr>
                <w:rtl/>
              </w:rPr>
              <w:t>تحديد راديوي للموقع</w:t>
            </w:r>
          </w:p>
          <w:p w:rsidR="006339CB" w:rsidRPr="006253DB" w:rsidRDefault="00EE75BA" w:rsidP="006339CB">
            <w:pPr>
              <w:pStyle w:val="TabletextS5"/>
              <w:spacing w:line="240" w:lineRule="exact"/>
              <w:ind w:left="227" w:right="57"/>
              <w:rPr>
                <w:rtl/>
              </w:rPr>
            </w:pPr>
          </w:p>
          <w:p w:rsidR="006339CB" w:rsidRPr="006253DB" w:rsidRDefault="00EE75BA" w:rsidP="006339CB">
            <w:pPr>
              <w:pStyle w:val="TabletextS5"/>
              <w:spacing w:line="240" w:lineRule="exact"/>
              <w:ind w:left="227" w:right="57"/>
              <w:rPr>
                <w:rtl/>
              </w:rPr>
            </w:pPr>
          </w:p>
          <w:p w:rsidR="006339CB" w:rsidRPr="006253DB" w:rsidRDefault="00EE75BA" w:rsidP="006339CB">
            <w:pPr>
              <w:pStyle w:val="TabletextS5"/>
              <w:spacing w:line="240" w:lineRule="exact"/>
              <w:ind w:left="227" w:right="57"/>
              <w:rPr>
                <w:rtl/>
              </w:rPr>
            </w:pPr>
          </w:p>
          <w:p w:rsidR="006339CB" w:rsidRDefault="00EE75BA" w:rsidP="006339CB">
            <w:pPr>
              <w:pStyle w:val="TabletextS5"/>
              <w:spacing w:line="240" w:lineRule="exact"/>
              <w:ind w:left="227" w:right="57"/>
              <w:rPr>
                <w:rtl/>
              </w:rPr>
            </w:pPr>
          </w:p>
          <w:p w:rsidR="00156418" w:rsidRPr="006253DB" w:rsidRDefault="00156418" w:rsidP="006339CB">
            <w:pPr>
              <w:pStyle w:val="TabletextS5"/>
              <w:spacing w:line="240" w:lineRule="exact"/>
              <w:ind w:left="227" w:right="57"/>
              <w:rPr>
                <w:rtl/>
              </w:rPr>
            </w:pPr>
          </w:p>
          <w:p w:rsidR="006339CB" w:rsidRPr="006253DB" w:rsidRDefault="00C73633" w:rsidP="00187731">
            <w:pPr>
              <w:pStyle w:val="TabletextS5"/>
              <w:spacing w:line="240" w:lineRule="exact"/>
              <w:ind w:left="227" w:right="57"/>
              <w:rPr>
                <w:rtl/>
              </w:rPr>
            </w:pPr>
            <w:r w:rsidRPr="00156418">
              <w:rPr>
                <w:rStyle w:val="Artref"/>
                <w:b w:val="0"/>
                <w:bCs w:val="0"/>
              </w:rPr>
              <w:t>431.5</w:t>
            </w:r>
          </w:p>
        </w:tc>
        <w:tc>
          <w:tcPr>
            <w:tcW w:w="1630"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C73633" w:rsidP="006339CB">
            <w:pPr>
              <w:pStyle w:val="TabletextS5"/>
              <w:spacing w:line="240" w:lineRule="exact"/>
              <w:ind w:left="227" w:right="57"/>
              <w:rPr>
                <w:rStyle w:val="Tablefreq"/>
              </w:rPr>
            </w:pPr>
            <w:r w:rsidRPr="00FA3B95">
              <w:rPr>
                <w:rStyle w:val="Tablefreq"/>
              </w:rPr>
              <w:t>3 500-3 400</w:t>
            </w:r>
          </w:p>
          <w:p w:rsidR="006339CB" w:rsidRPr="00930CEF" w:rsidRDefault="00C73633" w:rsidP="006339CB">
            <w:pPr>
              <w:pStyle w:val="TabletextS5"/>
              <w:spacing w:line="240" w:lineRule="exact"/>
              <w:ind w:left="227" w:right="57"/>
              <w:rPr>
                <w:b/>
                <w:bCs/>
                <w:rtl/>
              </w:rPr>
            </w:pPr>
            <w:r w:rsidRPr="00930CEF">
              <w:rPr>
                <w:b/>
                <w:bCs/>
                <w:rtl/>
              </w:rPr>
              <w:t>ثابتة</w:t>
            </w:r>
          </w:p>
          <w:p w:rsidR="006339CB" w:rsidRPr="006253DB" w:rsidRDefault="00C7363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C73633" w:rsidP="006339CB">
            <w:pPr>
              <w:pStyle w:val="TabletextS5"/>
              <w:spacing w:line="240" w:lineRule="exact"/>
              <w:ind w:left="227" w:right="57"/>
            </w:pPr>
            <w:r w:rsidRPr="006253DB">
              <w:rPr>
                <w:rtl/>
              </w:rPr>
              <w:t>هواة</w:t>
            </w:r>
          </w:p>
          <w:p w:rsidR="006339CB" w:rsidRPr="006253DB" w:rsidRDefault="00C73633" w:rsidP="006339CB">
            <w:pPr>
              <w:pStyle w:val="TabletextS5"/>
              <w:spacing w:line="240" w:lineRule="exact"/>
              <w:ind w:left="227" w:right="57"/>
              <w:rPr>
                <w:rtl/>
              </w:rPr>
            </w:pPr>
            <w:r w:rsidRPr="006253DB">
              <w:rPr>
                <w:rtl/>
              </w:rPr>
              <w:t xml:space="preserve">متنقلة </w:t>
            </w:r>
            <w:r w:rsidRPr="00156418">
              <w:rPr>
                <w:rStyle w:val="Artref"/>
                <w:rFonts w:hint="cs"/>
                <w:b w:val="0"/>
                <w:bCs w:val="0"/>
              </w:rPr>
              <w:t>431A.5</w:t>
            </w:r>
            <w:r w:rsidRPr="006253DB">
              <w:t xml:space="preserve"> </w:t>
            </w:r>
            <w:r w:rsidRPr="006253DB">
              <w:rPr>
                <w:rtl/>
              </w:rPr>
              <w:br/>
              <w:t xml:space="preserve">تحديد راديوي للموقع </w:t>
            </w:r>
            <w:r w:rsidRPr="00156418">
              <w:rPr>
                <w:rStyle w:val="Artref"/>
                <w:b w:val="0"/>
                <w:bCs w:val="0"/>
              </w:rPr>
              <w:t>433.5</w:t>
            </w:r>
          </w:p>
          <w:p w:rsidR="006339CB" w:rsidRPr="00156418" w:rsidRDefault="00C73633" w:rsidP="006339CB">
            <w:pPr>
              <w:pStyle w:val="TabletextS5"/>
              <w:spacing w:line="240" w:lineRule="exact"/>
              <w:ind w:left="227" w:right="57"/>
              <w:rPr>
                <w:rStyle w:val="Artref"/>
                <w:b w:val="0"/>
                <w:bCs w:val="0"/>
              </w:rPr>
            </w:pPr>
            <w:r w:rsidRPr="00156418">
              <w:rPr>
                <w:rStyle w:val="Artref"/>
                <w:b w:val="0"/>
                <w:bCs w:val="0"/>
              </w:rPr>
              <w:t>282.5</w:t>
            </w:r>
          </w:p>
        </w:tc>
        <w:tc>
          <w:tcPr>
            <w:tcW w:w="1749" w:type="pct"/>
            <w:tcBorders>
              <w:left w:val="single" w:sz="6" w:space="0" w:color="auto"/>
              <w:bottom w:val="single" w:sz="6" w:space="0" w:color="auto"/>
              <w:right w:val="single" w:sz="6" w:space="0" w:color="auto"/>
            </w:tcBorders>
          </w:tcPr>
          <w:p w:rsidR="006339CB" w:rsidRPr="00FA3B95" w:rsidRDefault="00C73633" w:rsidP="006339CB">
            <w:pPr>
              <w:pStyle w:val="TabletextS5"/>
              <w:spacing w:line="240" w:lineRule="exact"/>
              <w:ind w:left="227" w:right="57"/>
              <w:rPr>
                <w:rStyle w:val="Tablefreq"/>
              </w:rPr>
            </w:pPr>
            <w:r w:rsidRPr="00FA3B95">
              <w:rPr>
                <w:rStyle w:val="Tablefreq"/>
              </w:rPr>
              <w:t>3 500-3 400</w:t>
            </w:r>
          </w:p>
          <w:p w:rsidR="006339CB" w:rsidRPr="00930CEF" w:rsidRDefault="00C73633" w:rsidP="006339CB">
            <w:pPr>
              <w:pStyle w:val="TabletextS5"/>
              <w:spacing w:line="240" w:lineRule="exact"/>
              <w:ind w:left="227" w:right="57"/>
              <w:rPr>
                <w:b/>
                <w:bCs/>
                <w:rtl/>
              </w:rPr>
            </w:pPr>
            <w:r w:rsidRPr="00930CEF">
              <w:rPr>
                <w:b/>
                <w:bCs/>
                <w:rtl/>
              </w:rPr>
              <w:t>ثابتة</w:t>
            </w:r>
          </w:p>
          <w:p w:rsidR="006339CB" w:rsidRPr="006253DB" w:rsidRDefault="00C7363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C73633" w:rsidP="006339CB">
            <w:pPr>
              <w:pStyle w:val="TabletextS5"/>
              <w:spacing w:line="240" w:lineRule="exact"/>
              <w:ind w:left="227" w:right="57"/>
            </w:pPr>
            <w:r w:rsidRPr="006253DB">
              <w:rPr>
                <w:rtl/>
              </w:rPr>
              <w:t>هواة</w:t>
            </w:r>
          </w:p>
          <w:p w:rsidR="006339CB" w:rsidRPr="006253DB" w:rsidRDefault="00C73633" w:rsidP="006339CB">
            <w:pPr>
              <w:pStyle w:val="TabletextS5"/>
              <w:spacing w:line="240" w:lineRule="exact"/>
              <w:ind w:left="227" w:right="57"/>
              <w:rPr>
                <w:rtl/>
              </w:rPr>
            </w:pPr>
            <w:r w:rsidRPr="006253DB">
              <w:rPr>
                <w:rtl/>
              </w:rPr>
              <w:t>متنقلة</w:t>
            </w:r>
            <w:r>
              <w:rPr>
                <w:rFonts w:hint="cs"/>
                <w:rtl/>
              </w:rPr>
              <w:t xml:space="preserve"> </w:t>
            </w:r>
            <w:r w:rsidRPr="006253DB">
              <w:rPr>
                <w:rtl/>
              </w:rPr>
              <w:t xml:space="preserve"> </w:t>
            </w:r>
            <w:r w:rsidRPr="00156418">
              <w:rPr>
                <w:rStyle w:val="Artref"/>
                <w:b w:val="0"/>
                <w:bCs w:val="0"/>
              </w:rPr>
              <w:t>432B.5</w:t>
            </w:r>
            <w:r w:rsidRPr="006253DB">
              <w:rPr>
                <w:rtl/>
              </w:rPr>
              <w:t> </w:t>
            </w:r>
            <w:r w:rsidRPr="006253DB">
              <w:t xml:space="preserve"> </w:t>
            </w:r>
          </w:p>
          <w:p w:rsidR="006339CB" w:rsidRPr="006253DB" w:rsidRDefault="00C73633" w:rsidP="006339CB">
            <w:pPr>
              <w:pStyle w:val="TabletextS5"/>
              <w:spacing w:line="240" w:lineRule="exact"/>
              <w:ind w:left="227" w:right="57"/>
            </w:pPr>
            <w:r w:rsidRPr="006253DB">
              <w:rPr>
                <w:rtl/>
              </w:rPr>
              <w:t>تحديد راديوي للموقع</w:t>
            </w:r>
            <w:r w:rsidRPr="00156418">
              <w:rPr>
                <w:rFonts w:hint="cs"/>
                <w:rtl/>
              </w:rPr>
              <w:t xml:space="preserve"> </w:t>
            </w:r>
            <w:r w:rsidRPr="00156418">
              <w:rPr>
                <w:rtl/>
              </w:rPr>
              <w:t xml:space="preserve"> </w:t>
            </w:r>
            <w:r w:rsidRPr="00156418">
              <w:rPr>
                <w:rStyle w:val="Artref"/>
                <w:b w:val="0"/>
                <w:bCs w:val="0"/>
              </w:rPr>
              <w:t>433.5</w:t>
            </w:r>
          </w:p>
          <w:p w:rsidR="006339CB" w:rsidRPr="00930CEF" w:rsidRDefault="00C73633" w:rsidP="006339CB">
            <w:pPr>
              <w:pStyle w:val="TabletextS5"/>
              <w:spacing w:line="240" w:lineRule="exact"/>
              <w:ind w:left="227" w:right="57"/>
              <w:rPr>
                <w:rStyle w:val="Artref"/>
              </w:rPr>
            </w:pPr>
            <w:r w:rsidRPr="00156418">
              <w:rPr>
                <w:rStyle w:val="Artref"/>
                <w:b w:val="0"/>
                <w:bCs w:val="0"/>
              </w:rPr>
              <w:t>432.5  282.5</w:t>
            </w:r>
            <w:r w:rsidRPr="00C73633">
              <w:rPr>
                <w:rStyle w:val="Artref"/>
                <w:b w:val="0"/>
                <w:bCs w:val="0"/>
                <w:rtl/>
              </w:rPr>
              <w:t xml:space="preserve">  </w:t>
            </w:r>
            <w:r w:rsidRPr="00156418">
              <w:rPr>
                <w:rStyle w:val="Artref"/>
                <w:b w:val="0"/>
                <w:bCs w:val="0"/>
              </w:rPr>
              <w:t>432A.5</w:t>
            </w:r>
          </w:p>
        </w:tc>
      </w:tr>
      <w:tr w:rsidR="006339CB" w:rsidRPr="006253DB" w:rsidTr="00450B65">
        <w:trPr>
          <w:cantSplit/>
          <w:trHeight w:val="1385"/>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EE75BA" w:rsidP="006339CB">
            <w:pPr>
              <w:ind w:left="227" w:right="57" w:hanging="170"/>
              <w:rPr>
                <w:rStyle w:val="Tablefreq"/>
              </w:rPr>
            </w:pPr>
          </w:p>
        </w:tc>
        <w:tc>
          <w:tcPr>
            <w:tcW w:w="1630" w:type="pct"/>
            <w:gridSpan w:val="2"/>
            <w:tcBorders>
              <w:top w:val="single" w:sz="4" w:space="0" w:color="auto"/>
              <w:left w:val="single" w:sz="6" w:space="0" w:color="auto"/>
              <w:bottom w:val="single" w:sz="6" w:space="0" w:color="auto"/>
              <w:right w:val="single" w:sz="6" w:space="0" w:color="auto"/>
            </w:tcBorders>
            <w:shd w:val="clear" w:color="auto" w:fill="auto"/>
          </w:tcPr>
          <w:p w:rsidR="006339CB" w:rsidRPr="00FA3B95" w:rsidRDefault="00C73633" w:rsidP="006339CB">
            <w:pPr>
              <w:pStyle w:val="TabletextS5"/>
              <w:spacing w:line="240" w:lineRule="exact"/>
              <w:ind w:left="227" w:right="57"/>
              <w:rPr>
                <w:rStyle w:val="Tablefreq"/>
                <w:rtl/>
              </w:rPr>
            </w:pPr>
            <w:r w:rsidRPr="00FA3B95">
              <w:rPr>
                <w:rStyle w:val="Tablefreq"/>
              </w:rPr>
              <w:t>3 700-3 500</w:t>
            </w:r>
          </w:p>
          <w:p w:rsidR="006339CB" w:rsidRPr="006253DB" w:rsidRDefault="00C73633" w:rsidP="006339CB">
            <w:pPr>
              <w:pStyle w:val="TabletextS5"/>
              <w:spacing w:line="240" w:lineRule="exact"/>
              <w:ind w:left="227" w:right="57"/>
            </w:pPr>
            <w:r w:rsidRPr="006253DB">
              <w:rPr>
                <w:b/>
                <w:bCs/>
                <w:rtl/>
              </w:rPr>
              <w:t>ثابتة</w:t>
            </w:r>
          </w:p>
          <w:p w:rsidR="006339CB" w:rsidRPr="006253DB" w:rsidRDefault="00C7363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C73633"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 </w:t>
            </w:r>
          </w:p>
          <w:p w:rsidR="006339CB" w:rsidRPr="00187731" w:rsidRDefault="00C73633" w:rsidP="00187731">
            <w:pPr>
              <w:pStyle w:val="TabletextS5"/>
              <w:spacing w:line="240" w:lineRule="exact"/>
              <w:ind w:left="227" w:right="57"/>
              <w:rPr>
                <w:rStyle w:val="Tablefreq"/>
                <w:rFonts w:ascii="Times New Roman" w:hAnsi="Times New Roman"/>
                <w:b w:val="0"/>
                <w:bCs w:val="0"/>
                <w:rtl/>
              </w:rPr>
            </w:pPr>
            <w:r w:rsidRPr="006253DB">
              <w:rPr>
                <w:rtl/>
              </w:rPr>
              <w:t xml:space="preserve">تحديد راديوي للموقع </w:t>
            </w:r>
            <w:r w:rsidRPr="006253DB">
              <w:t xml:space="preserve"> </w:t>
            </w:r>
            <w:r w:rsidRPr="00156418">
              <w:rPr>
                <w:rStyle w:val="Artref"/>
                <w:b w:val="0"/>
                <w:bCs w:val="0"/>
              </w:rPr>
              <w:t>433.5</w:t>
            </w:r>
          </w:p>
        </w:tc>
        <w:tc>
          <w:tcPr>
            <w:tcW w:w="1749" w:type="pct"/>
            <w:tcBorders>
              <w:top w:val="single" w:sz="6" w:space="0" w:color="auto"/>
              <w:left w:val="single" w:sz="6" w:space="0" w:color="auto"/>
              <w:bottom w:val="single" w:sz="6" w:space="0" w:color="auto"/>
              <w:right w:val="single" w:sz="6" w:space="0" w:color="auto"/>
            </w:tcBorders>
          </w:tcPr>
          <w:p w:rsidR="006339CB" w:rsidRPr="00FA3B95" w:rsidRDefault="00C73633" w:rsidP="006339CB">
            <w:pPr>
              <w:pStyle w:val="TabletextS5"/>
              <w:spacing w:line="240" w:lineRule="exact"/>
              <w:ind w:left="227" w:right="57"/>
              <w:rPr>
                <w:rStyle w:val="Tablefreq"/>
              </w:rPr>
            </w:pPr>
            <w:r w:rsidRPr="00FA3B95">
              <w:rPr>
                <w:rStyle w:val="Tablefreq"/>
              </w:rPr>
              <w:t>3 600-3 500</w:t>
            </w:r>
          </w:p>
          <w:p w:rsidR="006339CB" w:rsidRPr="006253DB" w:rsidRDefault="00C73633" w:rsidP="006339CB">
            <w:pPr>
              <w:pStyle w:val="TabletextS5"/>
              <w:spacing w:line="240" w:lineRule="exact"/>
              <w:ind w:left="227" w:right="57"/>
              <w:rPr>
                <w:rtl/>
              </w:rPr>
            </w:pPr>
            <w:r w:rsidRPr="006253DB">
              <w:rPr>
                <w:b/>
                <w:bCs/>
                <w:rtl/>
              </w:rPr>
              <w:t>ثابتة</w:t>
            </w:r>
          </w:p>
          <w:p w:rsidR="006339CB" w:rsidRPr="006253DB" w:rsidRDefault="00C73633"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C73633"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156418">
              <w:rPr>
                <w:rStyle w:val="Artref"/>
                <w:b w:val="0"/>
                <w:bCs w:val="0"/>
              </w:rPr>
              <w:t>433A.5</w:t>
            </w:r>
          </w:p>
          <w:p w:rsidR="006339CB" w:rsidRPr="006253DB" w:rsidRDefault="00C73633" w:rsidP="006339CB">
            <w:pPr>
              <w:pStyle w:val="TabletextS5"/>
              <w:spacing w:line="240" w:lineRule="exact"/>
              <w:ind w:left="227" w:right="57"/>
              <w:rPr>
                <w:rStyle w:val="Tablefreq"/>
                <w:b w:val="0"/>
              </w:rPr>
            </w:pPr>
            <w:r w:rsidRPr="006253DB">
              <w:rPr>
                <w:rtl/>
              </w:rPr>
              <w:t xml:space="preserve">تحديد راديوي للموقع </w:t>
            </w:r>
            <w:r w:rsidRPr="006253DB">
              <w:t xml:space="preserve"> </w:t>
            </w:r>
            <w:r w:rsidRPr="00156418">
              <w:rPr>
                <w:rStyle w:val="Artref"/>
                <w:b w:val="0"/>
                <w:bCs w:val="0"/>
              </w:rPr>
              <w:t>433.5</w:t>
            </w:r>
          </w:p>
        </w:tc>
      </w:tr>
    </w:tbl>
    <w:p w:rsidR="00156418" w:rsidRDefault="00156418" w:rsidP="00DB46A3">
      <w:pPr>
        <w:pStyle w:val="Reasons"/>
        <w:keepNext/>
        <w:keepLines/>
        <w:rPr>
          <w:rFonts w:ascii="Traditional Arabic" w:hAnsi="Traditional Arabic"/>
          <w:spacing w:val="-4"/>
          <w:sz w:val="28"/>
          <w:szCs w:val="28"/>
          <w:rtl/>
          <w:lang w:eastAsia="ja-JP"/>
        </w:rPr>
      </w:pPr>
      <w:r w:rsidRPr="00066A2C">
        <w:rPr>
          <w:rtl/>
        </w:rPr>
        <w:lastRenderedPageBreak/>
        <w:t>الأسباب:</w:t>
      </w:r>
      <w:r w:rsidRPr="00ED4603">
        <w:rPr>
          <w:rFonts w:hint="cs"/>
          <w:rtl/>
        </w:rPr>
        <w:t xml:space="preserve"> </w:t>
      </w:r>
      <w:r w:rsidRPr="00156418">
        <w:rPr>
          <w:rFonts w:hint="cs"/>
          <w:b w:val="0"/>
          <w:bCs w:val="0"/>
          <w:rtl/>
        </w:rPr>
        <w:t xml:space="preserve">لا تغيير بالنسبة للنطاق الترددي </w:t>
      </w:r>
      <w:r w:rsidRPr="00156418">
        <w:rPr>
          <w:b w:val="0"/>
          <w:bCs w:val="0"/>
        </w:rPr>
        <w:t>MHz 3600-3400</w:t>
      </w:r>
      <w:r w:rsidRPr="00156418">
        <w:rPr>
          <w:rFonts w:hint="cs"/>
          <w:b w:val="0"/>
          <w:bCs w:val="0"/>
          <w:rtl/>
        </w:rPr>
        <w:t xml:space="preserve">، </w:t>
      </w:r>
      <w:r w:rsidRPr="00156418">
        <w:rPr>
          <w:rFonts w:ascii="Traditional Arabic" w:hAnsi="Traditional Arabic" w:hint="cs"/>
          <w:b w:val="0"/>
          <w:bCs w:val="0"/>
          <w:spacing w:val="-4"/>
          <w:sz w:val="28"/>
          <w:szCs w:val="28"/>
          <w:rtl/>
          <w:lang w:eastAsia="ja-JP"/>
        </w:rPr>
        <w:t>لأن:</w:t>
      </w:r>
    </w:p>
    <w:p w:rsidR="0030542C" w:rsidRPr="000B4EEA" w:rsidRDefault="000B4EEA" w:rsidP="002C6B01">
      <w:pPr>
        <w:pStyle w:val="Reasons"/>
        <w:ind w:left="1134" w:hanging="1134"/>
        <w:rPr>
          <w:b w:val="0"/>
          <w:bCs w:val="0"/>
          <w:rtl/>
          <w:lang w:eastAsia="ja-JP"/>
        </w:rPr>
      </w:pPr>
      <w:r>
        <w:rPr>
          <w:rFonts w:hint="cs"/>
          <w:b w:val="0"/>
          <w:bCs w:val="0"/>
          <w:rtl/>
          <w:lang w:eastAsia="ja-JP" w:bidi="ar-EG"/>
        </w:rPr>
        <w:t>-</w:t>
      </w:r>
      <w:r>
        <w:rPr>
          <w:rFonts w:hint="cs"/>
          <w:b w:val="0"/>
          <w:bCs w:val="0"/>
          <w:rtl/>
          <w:lang w:eastAsia="ja-JP" w:bidi="ar-EG"/>
        </w:rPr>
        <w:tab/>
      </w:r>
      <w:r w:rsidR="0030542C" w:rsidRPr="000B4EEA">
        <w:rPr>
          <w:b w:val="0"/>
          <w:bCs w:val="0"/>
          <w:rtl/>
          <w:lang w:eastAsia="ja-JP"/>
        </w:rPr>
        <w:t xml:space="preserve">نطاق التردد </w:t>
      </w:r>
      <w:r w:rsidR="0030542C" w:rsidRPr="000B4EEA">
        <w:rPr>
          <w:b w:val="0"/>
          <w:bCs w:val="0"/>
          <w:lang w:eastAsia="ja-JP"/>
        </w:rPr>
        <w:t>3 600</w:t>
      </w:r>
      <w:r w:rsidR="006F7953">
        <w:rPr>
          <w:b w:val="0"/>
          <w:bCs w:val="0"/>
          <w:lang w:eastAsia="ja-JP"/>
        </w:rPr>
        <w:noBreakHyphen/>
      </w:r>
      <w:r w:rsidR="0030542C" w:rsidRPr="000B4EEA">
        <w:rPr>
          <w:b w:val="0"/>
          <w:bCs w:val="0"/>
          <w:lang w:eastAsia="ja-JP"/>
        </w:rPr>
        <w:t>3 400</w:t>
      </w:r>
      <w:r w:rsidR="0030542C" w:rsidRPr="000B4EEA">
        <w:rPr>
          <w:b w:val="0"/>
          <w:bCs w:val="0"/>
          <w:rtl/>
          <w:lang w:eastAsia="ja-JP"/>
        </w:rPr>
        <w:t xml:space="preserve"> </w:t>
      </w:r>
      <w:r w:rsidR="0030542C" w:rsidRPr="000B4EEA">
        <w:rPr>
          <w:b w:val="0"/>
          <w:bCs w:val="0"/>
          <w:lang w:eastAsia="ja-JP"/>
        </w:rPr>
        <w:t>MHz</w:t>
      </w:r>
      <w:r w:rsidR="0030542C" w:rsidRPr="000B4EEA">
        <w:rPr>
          <w:b w:val="0"/>
          <w:bCs w:val="0"/>
          <w:rtl/>
          <w:lang w:eastAsia="ja-JP"/>
        </w:rPr>
        <w:t xml:space="preserve"> تم تناوله في إطار البند </w:t>
      </w:r>
      <w:r w:rsidR="0030542C" w:rsidRPr="000B4EEA">
        <w:rPr>
          <w:b w:val="0"/>
          <w:bCs w:val="0"/>
          <w:lang w:eastAsia="ja-JP"/>
        </w:rPr>
        <w:t>1</w:t>
      </w:r>
      <w:r w:rsidR="0030542C" w:rsidRPr="000B4EEA">
        <w:rPr>
          <w:b w:val="0"/>
          <w:bCs w:val="0"/>
          <w:rtl/>
          <w:lang w:eastAsia="ja-JP"/>
        </w:rPr>
        <w:t>.</w:t>
      </w:r>
      <w:r w:rsidR="0030542C" w:rsidRPr="000B4EEA">
        <w:rPr>
          <w:b w:val="0"/>
          <w:bCs w:val="0"/>
          <w:lang w:eastAsia="ja-JP"/>
        </w:rPr>
        <w:t>4</w:t>
      </w:r>
      <w:r w:rsidR="0030542C" w:rsidRPr="000B4EEA">
        <w:rPr>
          <w:b w:val="0"/>
          <w:bCs w:val="0"/>
          <w:rtl/>
          <w:lang w:eastAsia="ja-JP"/>
        </w:rPr>
        <w:t xml:space="preserve"> من جدول أعمال المؤتمر </w:t>
      </w:r>
      <w:r w:rsidR="0030542C" w:rsidRPr="000B4EEA">
        <w:rPr>
          <w:b w:val="0"/>
          <w:bCs w:val="0"/>
          <w:lang w:eastAsia="ja-JP"/>
        </w:rPr>
        <w:t>WRC-07</w:t>
      </w:r>
      <w:r w:rsidR="0030542C" w:rsidRPr="000B4EEA">
        <w:rPr>
          <w:b w:val="0"/>
          <w:bCs w:val="0"/>
          <w:rtl/>
          <w:lang w:eastAsia="ja-JP"/>
        </w:rPr>
        <w:t xml:space="preserve">. وبعد نقاش مطول ومستفيض، تم </w:t>
      </w:r>
      <w:r w:rsidR="002C6B01">
        <w:rPr>
          <w:rFonts w:hint="cs"/>
          <w:b w:val="0"/>
          <w:bCs w:val="0"/>
          <w:rtl/>
          <w:lang w:eastAsia="ja-JP"/>
        </w:rPr>
        <w:t xml:space="preserve">التوصل </w:t>
      </w:r>
      <w:r w:rsidR="0030542C" w:rsidRPr="000B4EEA">
        <w:rPr>
          <w:b w:val="0"/>
          <w:bCs w:val="0"/>
          <w:rtl/>
          <w:lang w:eastAsia="ja-JP"/>
        </w:rPr>
        <w:t xml:space="preserve">إلى توافق في الآراء بشأن الإقليمين </w:t>
      </w:r>
      <w:r w:rsidR="0030542C" w:rsidRPr="000B4EEA">
        <w:rPr>
          <w:b w:val="0"/>
          <w:bCs w:val="0"/>
          <w:lang w:eastAsia="ja-JP"/>
        </w:rPr>
        <w:t>1</w:t>
      </w:r>
      <w:r w:rsidR="0030542C" w:rsidRPr="000B4EEA">
        <w:rPr>
          <w:b w:val="0"/>
          <w:bCs w:val="0"/>
          <w:rtl/>
          <w:lang w:eastAsia="ja-JP"/>
        </w:rPr>
        <w:t xml:space="preserve"> و</w:t>
      </w:r>
      <w:r w:rsidR="0030542C" w:rsidRPr="000B4EEA">
        <w:rPr>
          <w:b w:val="0"/>
          <w:bCs w:val="0"/>
          <w:lang w:eastAsia="ja-JP"/>
        </w:rPr>
        <w:t>3</w:t>
      </w:r>
      <w:r w:rsidR="0030542C" w:rsidRPr="000B4EEA">
        <w:rPr>
          <w:b w:val="0"/>
          <w:bCs w:val="0"/>
          <w:rtl/>
          <w:lang w:eastAsia="ja-JP"/>
        </w:rPr>
        <w:t xml:space="preserve"> لتوزيع نطاق التردد للخدمة المتنقلة و/أو تحديده للاتصالات المتنقلة الدولية في حواشي (الأرقام </w:t>
      </w:r>
      <w:r w:rsidR="0030542C" w:rsidRPr="000B4EEA">
        <w:rPr>
          <w:b w:val="0"/>
          <w:bCs w:val="0"/>
          <w:lang w:eastAsia="ja-JP"/>
        </w:rPr>
        <w:t>430A.5</w:t>
      </w:r>
      <w:r w:rsidR="0030542C" w:rsidRPr="000B4EEA">
        <w:rPr>
          <w:b w:val="0"/>
          <w:bCs w:val="0"/>
          <w:rtl/>
          <w:lang w:eastAsia="ja-JP"/>
        </w:rPr>
        <w:t xml:space="preserve"> و</w:t>
      </w:r>
      <w:r w:rsidR="0030542C" w:rsidRPr="000B4EEA">
        <w:rPr>
          <w:b w:val="0"/>
          <w:bCs w:val="0"/>
          <w:lang w:eastAsia="ja-JP"/>
        </w:rPr>
        <w:t>432A.5</w:t>
      </w:r>
      <w:r w:rsidR="0030542C" w:rsidRPr="000B4EEA">
        <w:rPr>
          <w:b w:val="0"/>
          <w:bCs w:val="0"/>
          <w:rtl/>
          <w:lang w:eastAsia="ja-JP"/>
        </w:rPr>
        <w:t xml:space="preserve"> و</w:t>
      </w:r>
      <w:r w:rsidR="0030542C" w:rsidRPr="000B4EEA">
        <w:rPr>
          <w:b w:val="0"/>
          <w:bCs w:val="0"/>
          <w:lang w:eastAsia="ja-JP"/>
        </w:rPr>
        <w:t>432B.5</w:t>
      </w:r>
      <w:r w:rsidR="0030542C" w:rsidRPr="000B4EEA">
        <w:rPr>
          <w:b w:val="0"/>
          <w:bCs w:val="0"/>
          <w:rtl/>
          <w:lang w:eastAsia="ja-JP"/>
        </w:rPr>
        <w:t xml:space="preserve"> و</w:t>
      </w:r>
      <w:r w:rsidR="0030542C" w:rsidRPr="000B4EEA">
        <w:rPr>
          <w:b w:val="0"/>
          <w:bCs w:val="0"/>
          <w:lang w:eastAsia="ja-JP"/>
        </w:rPr>
        <w:t>433A.5</w:t>
      </w:r>
      <w:r w:rsidR="0030542C" w:rsidRPr="000B4EEA">
        <w:rPr>
          <w:b w:val="0"/>
          <w:bCs w:val="0"/>
          <w:rtl/>
          <w:lang w:eastAsia="ja-JP"/>
        </w:rPr>
        <w:t xml:space="preserve"> من لوائح الراديو) حسب الاقتضاء. ويتعين الإبقاء على المبادئ التي تم الاستناد إليها للتوصل إلى توافق الآراء خلال المؤتمر</w:t>
      </w:r>
      <w:r w:rsidR="00880B28">
        <w:rPr>
          <w:b w:val="0"/>
          <w:bCs w:val="0"/>
          <w:lang w:eastAsia="ja-JP"/>
        </w:rPr>
        <w:t> </w:t>
      </w:r>
      <w:r w:rsidR="0030542C" w:rsidRPr="000B4EEA">
        <w:rPr>
          <w:b w:val="0"/>
          <w:bCs w:val="0"/>
          <w:lang w:eastAsia="ja-JP"/>
        </w:rPr>
        <w:t>WRC-07</w:t>
      </w:r>
      <w:r w:rsidR="0030542C" w:rsidRPr="000B4EEA">
        <w:rPr>
          <w:b w:val="0"/>
          <w:bCs w:val="0"/>
          <w:rtl/>
          <w:lang w:eastAsia="ja-JP"/>
        </w:rPr>
        <w:t xml:space="preserve">. </w:t>
      </w:r>
    </w:p>
    <w:p w:rsidR="0030542C" w:rsidRPr="000B4EEA" w:rsidRDefault="000B4EEA" w:rsidP="00E231D1">
      <w:pPr>
        <w:pStyle w:val="Reasons"/>
        <w:ind w:left="1134" w:hanging="1134"/>
        <w:rPr>
          <w:b w:val="0"/>
          <w:bCs w:val="0"/>
          <w:rtl/>
          <w:lang w:eastAsia="ja-JP"/>
        </w:rPr>
      </w:pPr>
      <w:r>
        <w:rPr>
          <w:rFonts w:hint="cs"/>
          <w:b w:val="0"/>
          <w:bCs w:val="0"/>
          <w:rtl/>
          <w:lang w:eastAsia="ja-JP"/>
        </w:rPr>
        <w:t>-</w:t>
      </w:r>
      <w:r>
        <w:rPr>
          <w:rFonts w:hint="cs"/>
          <w:b w:val="0"/>
          <w:bCs w:val="0"/>
          <w:rtl/>
          <w:lang w:eastAsia="ja-JP"/>
        </w:rPr>
        <w:tab/>
      </w:r>
      <w:r w:rsidR="0030542C" w:rsidRPr="000B4EEA">
        <w:rPr>
          <w:b w:val="0"/>
          <w:bCs w:val="0"/>
          <w:rtl/>
          <w:lang w:eastAsia="ja-JP"/>
        </w:rPr>
        <w:t>كما أن بعض الاستنتاجات ضمن الدراسات تبين عدم التوافق الكبير بين الاتصالات المتنقلة الدولية والخدمات الساتلية، حيث يجري نشر الخدمة الثابتة الساتلية بكثافة حالي</w:t>
      </w:r>
      <w:r w:rsidR="00E231D1">
        <w:rPr>
          <w:rFonts w:hint="cs"/>
          <w:b w:val="0"/>
          <w:bCs w:val="0"/>
          <w:rtl/>
          <w:lang w:eastAsia="ja-JP"/>
        </w:rPr>
        <w:t>اً</w:t>
      </w:r>
      <w:r w:rsidR="0030542C" w:rsidRPr="000B4EEA">
        <w:rPr>
          <w:b w:val="0"/>
          <w:bCs w:val="0"/>
          <w:rtl/>
          <w:lang w:eastAsia="ja-JP"/>
        </w:rPr>
        <w:t xml:space="preserve"> وكذلك في المستقبل.</w:t>
      </w:r>
    </w:p>
    <w:p w:rsidR="0030542C" w:rsidRPr="000B4EEA" w:rsidRDefault="000B4EEA" w:rsidP="00880B28">
      <w:pPr>
        <w:pStyle w:val="Reasons"/>
        <w:ind w:left="1134" w:hanging="1134"/>
        <w:rPr>
          <w:b w:val="0"/>
          <w:bCs w:val="0"/>
          <w:lang w:eastAsia="ja-JP"/>
        </w:rPr>
      </w:pPr>
      <w:r>
        <w:rPr>
          <w:rFonts w:hint="cs"/>
          <w:b w:val="0"/>
          <w:bCs w:val="0"/>
          <w:rtl/>
          <w:lang w:eastAsia="ja-JP"/>
        </w:rPr>
        <w:t>-</w:t>
      </w:r>
      <w:r>
        <w:rPr>
          <w:rFonts w:hint="cs"/>
          <w:b w:val="0"/>
          <w:bCs w:val="0"/>
          <w:rtl/>
          <w:lang w:eastAsia="ja-JP"/>
        </w:rPr>
        <w:tab/>
      </w:r>
      <w:r w:rsidR="0030542C" w:rsidRPr="000B4EEA">
        <w:rPr>
          <w:b w:val="0"/>
          <w:bCs w:val="0"/>
          <w:rtl/>
          <w:lang w:eastAsia="ja-JP"/>
        </w:rPr>
        <w:t xml:space="preserve">تنتشر المحطات الأرضية في هذا النطاق بالفعل في جميع أنحاء العالم وفي جميع البلدان، </w:t>
      </w:r>
      <w:r w:rsidR="0030542C" w:rsidRPr="000B4EEA">
        <w:rPr>
          <w:b w:val="0"/>
          <w:bCs w:val="0"/>
          <w:rtl/>
          <w:lang w:bidi="ar-EG"/>
        </w:rPr>
        <w:t>وهي توفر خدمات بالغة الأهمية (بما فيها السلامة)</w:t>
      </w:r>
      <w:r w:rsidR="0030542C" w:rsidRPr="000B4EEA">
        <w:rPr>
          <w:b w:val="0"/>
          <w:bCs w:val="0"/>
          <w:rtl/>
          <w:lang w:eastAsia="ja-JP"/>
        </w:rPr>
        <w:t>.</w:t>
      </w:r>
    </w:p>
    <w:p w:rsidR="0030542C" w:rsidRPr="000B4EEA" w:rsidRDefault="000B4EEA" w:rsidP="003E43A5">
      <w:pPr>
        <w:pStyle w:val="Reasons"/>
        <w:ind w:left="1134" w:hanging="1134"/>
        <w:rPr>
          <w:b w:val="0"/>
          <w:bCs w:val="0"/>
          <w:lang w:eastAsia="ja-JP"/>
        </w:rPr>
      </w:pPr>
      <w:r>
        <w:rPr>
          <w:rFonts w:hint="cs"/>
          <w:b w:val="0"/>
          <w:bCs w:val="0"/>
          <w:rtl/>
          <w:lang w:eastAsia="ja-JP"/>
        </w:rPr>
        <w:t>-</w:t>
      </w:r>
      <w:r>
        <w:rPr>
          <w:rFonts w:hint="cs"/>
          <w:b w:val="0"/>
          <w:bCs w:val="0"/>
          <w:rtl/>
          <w:lang w:eastAsia="ja-JP"/>
        </w:rPr>
        <w:tab/>
      </w:r>
      <w:r w:rsidR="0030542C" w:rsidRPr="000B4EEA">
        <w:rPr>
          <w:b w:val="0"/>
          <w:bCs w:val="0"/>
          <w:rtl/>
          <w:lang w:eastAsia="ja-JP"/>
        </w:rPr>
        <w:tab/>
        <w:t xml:space="preserve">يتمتع النطاق بقدرة عالية على مقاومة خبو الإشارة الناتج </w:t>
      </w:r>
      <w:r w:rsidR="007522C5">
        <w:rPr>
          <w:rFonts w:hint="cs"/>
          <w:b w:val="0"/>
          <w:bCs w:val="0"/>
          <w:rtl/>
          <w:lang w:eastAsia="ja-JP"/>
        </w:rPr>
        <w:t xml:space="preserve">عن </w:t>
      </w:r>
      <w:r w:rsidR="0030542C" w:rsidRPr="000B4EEA">
        <w:rPr>
          <w:b w:val="0"/>
          <w:bCs w:val="0"/>
          <w:rtl/>
          <w:lang w:eastAsia="ja-JP"/>
        </w:rPr>
        <w:t xml:space="preserve">الأمطار مما يزيد من الاعتماد على هذا النطاق في المناطق التي تكثر فيها الأمطار أو في الخدمات الحيوية التي تتطلب نسبة تيسر مرتفعة </w:t>
      </w:r>
      <w:r w:rsidR="008E12D3" w:rsidRPr="000B4EEA">
        <w:rPr>
          <w:b w:val="0"/>
          <w:bCs w:val="0"/>
          <w:lang w:eastAsia="ja-JP"/>
        </w:rPr>
        <w:t>(High</w:t>
      </w:r>
      <w:r w:rsidR="00880B28">
        <w:rPr>
          <w:b w:val="0"/>
          <w:bCs w:val="0"/>
          <w:lang w:eastAsia="ja-JP"/>
        </w:rPr>
        <w:t> </w:t>
      </w:r>
      <w:r w:rsidR="008E12D3" w:rsidRPr="000B4EEA">
        <w:rPr>
          <w:b w:val="0"/>
          <w:bCs w:val="0"/>
          <w:lang w:eastAsia="ja-JP"/>
        </w:rPr>
        <w:t>availability</w:t>
      </w:r>
      <w:r w:rsidR="00880B28">
        <w:rPr>
          <w:b w:val="0"/>
          <w:bCs w:val="0"/>
          <w:lang w:eastAsia="ja-JP"/>
        </w:rPr>
        <w:t> </w:t>
      </w:r>
      <w:r w:rsidR="008E12D3" w:rsidRPr="000B4EEA">
        <w:rPr>
          <w:b w:val="0"/>
          <w:bCs w:val="0"/>
          <w:lang w:eastAsia="ja-JP"/>
        </w:rPr>
        <w:t>ratio)</w:t>
      </w:r>
      <w:r w:rsidR="0030542C" w:rsidRPr="000B4EEA">
        <w:rPr>
          <w:b w:val="0"/>
          <w:bCs w:val="0"/>
          <w:rtl/>
          <w:lang w:eastAsia="ja-JP"/>
        </w:rPr>
        <w:t xml:space="preserve"> مثل أنظمة القياس عن ب</w:t>
      </w:r>
      <w:r w:rsidR="0040534F">
        <w:rPr>
          <w:rFonts w:hint="cs"/>
          <w:b w:val="0"/>
          <w:bCs w:val="0"/>
          <w:rtl/>
          <w:lang w:eastAsia="ja-JP"/>
        </w:rPr>
        <w:t>ُ</w:t>
      </w:r>
      <w:r w:rsidR="0030542C" w:rsidRPr="000B4EEA">
        <w:rPr>
          <w:b w:val="0"/>
          <w:bCs w:val="0"/>
          <w:rtl/>
          <w:lang w:eastAsia="ja-JP"/>
        </w:rPr>
        <w:t xml:space="preserve">عد والتتبع والتحكم الخاصة بالخدمات الساتلية أو الأنظمة العاملة في الخدمات </w:t>
      </w:r>
      <w:r w:rsidR="003E43A5">
        <w:rPr>
          <w:rFonts w:hint="cs"/>
          <w:b w:val="0"/>
          <w:bCs w:val="0"/>
          <w:rtl/>
          <w:lang w:eastAsia="ja-JP"/>
        </w:rPr>
        <w:t>المصرفية</w:t>
      </w:r>
      <w:r w:rsidR="0030542C" w:rsidRPr="000B4EEA">
        <w:rPr>
          <w:b w:val="0"/>
          <w:bCs w:val="0"/>
          <w:rtl/>
          <w:lang w:eastAsia="ja-JP"/>
        </w:rPr>
        <w:t xml:space="preserve"> وكذلك استخدامه كوصلات تغذية للخدمة المتنقلة الساتلية.</w:t>
      </w:r>
    </w:p>
    <w:p w:rsidR="0030542C" w:rsidRPr="006F7953" w:rsidRDefault="000B4EEA" w:rsidP="006F7953">
      <w:pPr>
        <w:pStyle w:val="Reasons"/>
        <w:ind w:left="1134" w:hanging="1134"/>
        <w:rPr>
          <w:b w:val="0"/>
          <w:bCs w:val="0"/>
          <w:rtl/>
        </w:rPr>
      </w:pPr>
      <w:r w:rsidRPr="006F7953">
        <w:rPr>
          <w:rFonts w:hint="cs"/>
          <w:b w:val="0"/>
          <w:bCs w:val="0"/>
          <w:rtl/>
        </w:rPr>
        <w:t>-</w:t>
      </w:r>
      <w:r w:rsidRPr="006F7953">
        <w:rPr>
          <w:rFonts w:hint="cs"/>
          <w:b w:val="0"/>
          <w:bCs w:val="0"/>
          <w:rtl/>
        </w:rPr>
        <w:tab/>
      </w:r>
      <w:r w:rsidR="0030542C" w:rsidRPr="006F7953">
        <w:rPr>
          <w:b w:val="0"/>
          <w:bCs w:val="0"/>
          <w:rtl/>
        </w:rPr>
        <w:t>تتعدد التطبيقات والخدمات المتنوعة التي يقدمها مشغلو السواتل المختلفون. وتشمل هذه الخدمات والتطبيقات ما يلي:</w:t>
      </w:r>
    </w:p>
    <w:p w:rsidR="0030542C" w:rsidRPr="006F7953" w:rsidRDefault="0030542C" w:rsidP="00F0502B">
      <w:pPr>
        <w:pStyle w:val="Reasons"/>
        <w:ind w:left="1702" w:hanging="568"/>
        <w:rPr>
          <w:b w:val="0"/>
          <w:bCs w:val="0"/>
          <w:rtl/>
          <w:lang w:bidi="ar-EG"/>
        </w:rPr>
      </w:pPr>
      <w:r w:rsidRPr="006F7953">
        <w:rPr>
          <w:b w:val="0"/>
          <w:bCs w:val="0"/>
          <w:rtl/>
        </w:rPr>
        <w:t>•</w:t>
      </w:r>
      <w:r w:rsidRPr="006F7953">
        <w:rPr>
          <w:b w:val="0"/>
          <w:bCs w:val="0"/>
        </w:rPr>
        <w:tab/>
      </w:r>
      <w:r w:rsidRPr="006F7953">
        <w:rPr>
          <w:b w:val="0"/>
          <w:bCs w:val="0"/>
          <w:rtl/>
        </w:rPr>
        <w:t>تستخدم الخدمات المالية والمصرفية اتصالات هذا النطاق لتخديم مناطق بعيدة مترامية الأطراف ولتحسين توصيلية المناطق الريفية في جميع أنحاء البلاد.</w:t>
      </w:r>
    </w:p>
    <w:p w:rsidR="0030542C" w:rsidRPr="00F0502B" w:rsidRDefault="0030542C" w:rsidP="0089057D">
      <w:pPr>
        <w:pStyle w:val="Reasons"/>
        <w:ind w:left="1702" w:hanging="568"/>
        <w:rPr>
          <w:b w:val="0"/>
          <w:bCs w:val="0"/>
          <w:rtl/>
        </w:rPr>
      </w:pPr>
      <w:r w:rsidRPr="000B4EEA">
        <w:rPr>
          <w:b w:val="0"/>
          <w:bCs w:val="0"/>
          <w:rtl/>
          <w:lang w:eastAsia="ja-JP" w:bidi="ar"/>
        </w:rPr>
        <w:t>•</w:t>
      </w:r>
      <w:r w:rsidR="00F0502B">
        <w:rPr>
          <w:b w:val="0"/>
          <w:bCs w:val="0"/>
          <w:rtl/>
          <w:lang w:eastAsia="ja-JP" w:bidi="ar"/>
        </w:rPr>
        <w:tab/>
      </w:r>
      <w:r w:rsidRPr="000B4EEA">
        <w:rPr>
          <w:b w:val="0"/>
          <w:bCs w:val="0"/>
          <w:rtl/>
          <w:lang w:eastAsia="ja-JP" w:bidi="ar"/>
        </w:rPr>
        <w:t>شبكات</w:t>
      </w:r>
      <w:r w:rsidRPr="000B4EEA">
        <w:rPr>
          <w:rFonts w:hint="cs"/>
          <w:b w:val="0"/>
          <w:bCs w:val="0"/>
          <w:rtl/>
          <w:lang w:eastAsia="ja-JP" w:bidi="ar"/>
        </w:rPr>
        <w:t xml:space="preserve"> </w:t>
      </w:r>
      <w:r w:rsidR="0089057D">
        <w:rPr>
          <w:rFonts w:hint="cs"/>
          <w:b w:val="0"/>
          <w:bCs w:val="0"/>
          <w:rtl/>
        </w:rPr>
        <w:t>المطاريف</w:t>
      </w:r>
      <w:r w:rsidRPr="000B4EEA">
        <w:rPr>
          <w:rFonts w:hint="cs"/>
          <w:b w:val="0"/>
          <w:bCs w:val="0"/>
          <w:rtl/>
        </w:rPr>
        <w:t xml:space="preserve"> ذات الفتحات </w:t>
      </w:r>
      <w:r w:rsidR="0089057D">
        <w:rPr>
          <w:rFonts w:hint="cs"/>
          <w:b w:val="0"/>
          <w:bCs w:val="0"/>
          <w:rtl/>
        </w:rPr>
        <w:t>الصغيرة جداً</w:t>
      </w:r>
      <w:r w:rsidRPr="000B4EEA">
        <w:rPr>
          <w:b w:val="0"/>
          <w:bCs w:val="0"/>
          <w:rtl/>
        </w:rPr>
        <w:t xml:space="preserve"> </w:t>
      </w:r>
      <w:r w:rsidRPr="000B4EEA">
        <w:rPr>
          <w:b w:val="0"/>
          <w:bCs w:val="0"/>
        </w:rPr>
        <w:t>(VSAT)</w:t>
      </w:r>
      <w:r w:rsidRPr="000B4EEA">
        <w:rPr>
          <w:b w:val="0"/>
          <w:bCs w:val="0"/>
          <w:rtl/>
        </w:rPr>
        <w:t>.</w:t>
      </w:r>
    </w:p>
    <w:p w:rsidR="0030542C" w:rsidRPr="000B4EEA" w:rsidRDefault="0030542C" w:rsidP="00F0502B">
      <w:pPr>
        <w:pStyle w:val="Reasons"/>
        <w:ind w:left="1702" w:hanging="568"/>
        <w:rPr>
          <w:b w:val="0"/>
          <w:bCs w:val="0"/>
          <w:rtl/>
        </w:rPr>
      </w:pPr>
      <w:r w:rsidRPr="000B4EEA">
        <w:rPr>
          <w:b w:val="0"/>
          <w:bCs w:val="0"/>
          <w:rtl/>
        </w:rPr>
        <w:t>•</w:t>
      </w:r>
      <w:r w:rsidRPr="000B4EEA">
        <w:rPr>
          <w:b w:val="0"/>
          <w:bCs w:val="0"/>
        </w:rPr>
        <w:tab/>
      </w:r>
      <w:r w:rsidRPr="000B4EEA">
        <w:rPr>
          <w:b w:val="0"/>
          <w:bCs w:val="0"/>
          <w:rtl/>
        </w:rPr>
        <w:t>خدمات الإنترنت، وصلات نقطة إلى نقطة.</w:t>
      </w:r>
    </w:p>
    <w:p w:rsidR="0030542C" w:rsidRPr="000B4EEA" w:rsidRDefault="0030542C" w:rsidP="00F0502B">
      <w:pPr>
        <w:pStyle w:val="Reasons"/>
        <w:ind w:left="1702" w:hanging="568"/>
        <w:rPr>
          <w:b w:val="0"/>
          <w:bCs w:val="0"/>
          <w:rtl/>
        </w:rPr>
      </w:pPr>
      <w:r w:rsidRPr="000B4EEA">
        <w:rPr>
          <w:b w:val="0"/>
          <w:bCs w:val="0"/>
          <w:rtl/>
        </w:rPr>
        <w:t>•</w:t>
      </w:r>
      <w:r w:rsidRPr="000B4EEA">
        <w:rPr>
          <w:b w:val="0"/>
          <w:bCs w:val="0"/>
        </w:rPr>
        <w:tab/>
      </w:r>
      <w:r w:rsidRPr="000B4EEA">
        <w:rPr>
          <w:b w:val="0"/>
          <w:bCs w:val="0"/>
          <w:rtl/>
        </w:rPr>
        <w:t>جمع الأخبار بواسطة الساتل، الإذاعة التلفزيونية وإذاعة البيانات إلى الساتل.</w:t>
      </w:r>
    </w:p>
    <w:p w:rsidR="0030542C" w:rsidRPr="000B4EEA" w:rsidRDefault="0030542C" w:rsidP="00F0502B">
      <w:pPr>
        <w:pStyle w:val="Reasons"/>
        <w:ind w:left="1702" w:hanging="568"/>
        <w:rPr>
          <w:b w:val="0"/>
          <w:bCs w:val="0"/>
          <w:rtl/>
        </w:rPr>
      </w:pPr>
      <w:r w:rsidRPr="000B4EEA">
        <w:rPr>
          <w:b w:val="0"/>
          <w:bCs w:val="0"/>
          <w:rtl/>
        </w:rPr>
        <w:t>•</w:t>
      </w:r>
      <w:r w:rsidRPr="000B4EEA">
        <w:rPr>
          <w:b w:val="0"/>
          <w:bCs w:val="0"/>
        </w:rPr>
        <w:tab/>
      </w:r>
      <w:r w:rsidRPr="000B4EEA">
        <w:rPr>
          <w:b w:val="0"/>
          <w:bCs w:val="0"/>
          <w:rtl/>
        </w:rPr>
        <w:t xml:space="preserve">أجهزة استقبال البث الساتلي المباشر إلى المنازل </w:t>
      </w:r>
      <w:r w:rsidRPr="00F0502B">
        <w:rPr>
          <w:b w:val="0"/>
          <w:bCs w:val="0"/>
        </w:rPr>
        <w:t>(DTH)</w:t>
      </w:r>
      <w:r w:rsidRPr="000B4EEA">
        <w:rPr>
          <w:b w:val="0"/>
          <w:bCs w:val="0"/>
          <w:rtl/>
        </w:rPr>
        <w:t>.</w:t>
      </w:r>
    </w:p>
    <w:p w:rsidR="0030542C" w:rsidRPr="000B4EEA" w:rsidRDefault="0030542C" w:rsidP="00F0502B">
      <w:pPr>
        <w:pStyle w:val="Reasons"/>
        <w:ind w:left="1702" w:hanging="568"/>
        <w:rPr>
          <w:b w:val="0"/>
          <w:bCs w:val="0"/>
          <w:rtl/>
        </w:rPr>
      </w:pPr>
      <w:r w:rsidRPr="000B4EEA">
        <w:rPr>
          <w:b w:val="0"/>
          <w:bCs w:val="0"/>
          <w:rtl/>
        </w:rPr>
        <w:t>•</w:t>
      </w:r>
      <w:r w:rsidRPr="000B4EEA">
        <w:rPr>
          <w:b w:val="0"/>
          <w:bCs w:val="0"/>
        </w:rPr>
        <w:tab/>
      </w:r>
      <w:r w:rsidRPr="000B4EEA">
        <w:rPr>
          <w:b w:val="0"/>
          <w:bCs w:val="0"/>
          <w:rtl/>
        </w:rPr>
        <w:t>وصلات التغذية للخدمة المتنقلة الساتلية</w:t>
      </w:r>
      <w:r w:rsidRPr="000B4EEA">
        <w:rPr>
          <w:rFonts w:hint="cs"/>
          <w:b w:val="0"/>
          <w:bCs w:val="0"/>
          <w:rtl/>
        </w:rPr>
        <w:t>.</w:t>
      </w:r>
    </w:p>
    <w:p w:rsidR="0030542C" w:rsidRPr="000B4EEA" w:rsidRDefault="0030542C" w:rsidP="00F0502B">
      <w:pPr>
        <w:pStyle w:val="Reasons"/>
        <w:ind w:left="1702" w:hanging="568"/>
        <w:rPr>
          <w:b w:val="0"/>
          <w:bCs w:val="0"/>
          <w:rtl/>
        </w:rPr>
      </w:pPr>
      <w:r w:rsidRPr="000B4EEA">
        <w:rPr>
          <w:b w:val="0"/>
          <w:bCs w:val="0"/>
          <w:rtl/>
        </w:rPr>
        <w:t>•</w:t>
      </w:r>
      <w:r w:rsidRPr="000B4EEA">
        <w:rPr>
          <w:b w:val="0"/>
          <w:bCs w:val="0"/>
        </w:rPr>
        <w:tab/>
      </w:r>
      <w:r w:rsidRPr="000B4EEA">
        <w:rPr>
          <w:b w:val="0"/>
          <w:bCs w:val="0"/>
          <w:rtl/>
        </w:rPr>
        <w:t>استُخدمت السواتل العاملة في هذا النطاق استخد</w:t>
      </w:r>
      <w:r w:rsidR="00DB46A3">
        <w:rPr>
          <w:b w:val="0"/>
          <w:bCs w:val="0"/>
          <w:rtl/>
        </w:rPr>
        <w:t>اماً واسعاً لعمليات السلامة وال</w:t>
      </w:r>
      <w:r w:rsidR="00DB46A3">
        <w:rPr>
          <w:rFonts w:hint="cs"/>
          <w:b w:val="0"/>
          <w:bCs w:val="0"/>
          <w:rtl/>
        </w:rPr>
        <w:t>إ</w:t>
      </w:r>
      <w:r w:rsidRPr="000B4EEA">
        <w:rPr>
          <w:b w:val="0"/>
          <w:bCs w:val="0"/>
          <w:rtl/>
        </w:rPr>
        <w:t>غاثة من الكوارث.</w:t>
      </w:r>
    </w:p>
    <w:p w:rsidR="0030542C" w:rsidRPr="000B4EEA" w:rsidRDefault="0030542C" w:rsidP="00DB46A3">
      <w:pPr>
        <w:pStyle w:val="Reasons"/>
        <w:ind w:left="1702" w:hanging="568"/>
        <w:rPr>
          <w:b w:val="0"/>
          <w:bCs w:val="0"/>
          <w:rtl/>
          <w:lang w:eastAsia="ja-JP" w:bidi="ar-EG"/>
        </w:rPr>
      </w:pPr>
      <w:r w:rsidRPr="000B4EEA">
        <w:rPr>
          <w:b w:val="0"/>
          <w:bCs w:val="0"/>
          <w:rtl/>
        </w:rPr>
        <w:t>•</w:t>
      </w:r>
      <w:r w:rsidRPr="000B4EEA">
        <w:rPr>
          <w:b w:val="0"/>
          <w:bCs w:val="0"/>
        </w:rPr>
        <w:tab/>
      </w:r>
      <w:r w:rsidRPr="000B4EEA">
        <w:rPr>
          <w:b w:val="0"/>
          <w:bCs w:val="0"/>
          <w:rtl/>
        </w:rPr>
        <w:t>يُستخدم هذا</w:t>
      </w:r>
      <w:r w:rsidRPr="000B4EEA">
        <w:rPr>
          <w:b w:val="0"/>
          <w:bCs w:val="0"/>
          <w:rtl/>
          <w:lang w:eastAsia="ja-JP" w:bidi="ar"/>
        </w:rPr>
        <w:t xml:space="preserve"> النطاق أيضاً لأغراض</w:t>
      </w:r>
      <w:r w:rsidRPr="000B4EEA">
        <w:rPr>
          <w:b w:val="0"/>
          <w:bCs w:val="0"/>
          <w:rtl/>
        </w:rPr>
        <w:t xml:space="preserve"> </w:t>
      </w:r>
      <w:r w:rsidR="00DB46A3">
        <w:rPr>
          <w:rFonts w:hint="cs"/>
          <w:b w:val="0"/>
          <w:bCs w:val="0"/>
          <w:rtl/>
        </w:rPr>
        <w:t>التتبع</w:t>
      </w:r>
      <w:r w:rsidRPr="000B4EEA">
        <w:rPr>
          <w:b w:val="0"/>
          <w:bCs w:val="0"/>
          <w:rtl/>
          <w:lang w:eastAsia="ja-JP" w:bidi="ar"/>
        </w:rPr>
        <w:t xml:space="preserve"> والقياس عن بُعد والتحكم </w:t>
      </w:r>
      <w:r w:rsidRPr="000B4EEA">
        <w:rPr>
          <w:b w:val="0"/>
          <w:bCs w:val="0"/>
          <w:lang w:val="en-GB" w:eastAsia="ja-JP" w:bidi="ar"/>
        </w:rPr>
        <w:t>(TT&amp;C)</w:t>
      </w:r>
      <w:r w:rsidRPr="000B4EEA">
        <w:rPr>
          <w:b w:val="0"/>
          <w:bCs w:val="0"/>
          <w:rtl/>
          <w:lang w:val="en-GB" w:eastAsia="ja-JP" w:bidi="ar"/>
        </w:rPr>
        <w:t xml:space="preserve"> </w:t>
      </w:r>
      <w:r w:rsidRPr="000B4EEA">
        <w:rPr>
          <w:b w:val="0"/>
          <w:bCs w:val="0"/>
          <w:rtl/>
          <w:lang w:eastAsia="ja-JP" w:bidi="ar"/>
        </w:rPr>
        <w:t>في إطار توزيع للخدمة الثابتة الساتلية.</w:t>
      </w:r>
    </w:p>
    <w:p w:rsidR="0030542C" w:rsidRPr="0053733A" w:rsidRDefault="003B1E85" w:rsidP="0070157E">
      <w:pPr>
        <w:pStyle w:val="Reasons"/>
        <w:ind w:left="1134" w:hanging="1134"/>
        <w:rPr>
          <w:b w:val="0"/>
          <w:bCs w:val="0"/>
          <w:rtl/>
        </w:rPr>
      </w:pPr>
      <w:r w:rsidRPr="0053733A">
        <w:rPr>
          <w:rFonts w:hint="cs"/>
          <w:b w:val="0"/>
          <w:bCs w:val="0"/>
          <w:rtl/>
        </w:rPr>
        <w:t>-</w:t>
      </w:r>
      <w:r w:rsidRPr="0053733A">
        <w:rPr>
          <w:rFonts w:hint="cs"/>
          <w:b w:val="0"/>
          <w:bCs w:val="0"/>
          <w:rtl/>
        </w:rPr>
        <w:tab/>
      </w:r>
      <w:r w:rsidR="0030542C" w:rsidRPr="0053733A">
        <w:rPr>
          <w:b w:val="0"/>
          <w:bCs w:val="0"/>
          <w:rtl/>
        </w:rPr>
        <w:t xml:space="preserve">ولا يمكن تقديم الخدمات الساتلية </w:t>
      </w:r>
      <w:r w:rsidR="0070157E">
        <w:rPr>
          <w:rFonts w:hint="cs"/>
          <w:b w:val="0"/>
          <w:bCs w:val="0"/>
          <w:rtl/>
        </w:rPr>
        <w:t>العاملة</w:t>
      </w:r>
      <w:r w:rsidR="0030542C" w:rsidRPr="0053733A">
        <w:rPr>
          <w:b w:val="0"/>
          <w:bCs w:val="0"/>
          <w:rtl/>
        </w:rPr>
        <w:t xml:space="preserve"> في هذا النطاق، في نطاقات ساتلية أخرى أو عبر وسائل أرضية نظراً لأن التكنولوجيا قد وصلت إلى مرحلة النضج وتوفِّر التجهيزات بأسعار تقل بمقدار </w:t>
      </w:r>
      <w:r w:rsidR="0030542C" w:rsidRPr="0053733A">
        <w:rPr>
          <w:b w:val="0"/>
          <w:bCs w:val="0"/>
        </w:rPr>
        <w:t>100</w:t>
      </w:r>
      <w:r w:rsidR="0030542C" w:rsidRPr="0053733A">
        <w:rPr>
          <w:b w:val="0"/>
          <w:bCs w:val="0"/>
        </w:rPr>
        <w:noBreakHyphen/>
        <w:t>20</w:t>
      </w:r>
      <w:r w:rsidR="0030542C" w:rsidRPr="0053733A">
        <w:rPr>
          <w:b w:val="0"/>
          <w:bCs w:val="0"/>
          <w:rtl/>
        </w:rPr>
        <w:t xml:space="preserve"> في المائة من أسعار </w:t>
      </w:r>
      <w:r w:rsidR="0030542C" w:rsidRPr="0053733A">
        <w:rPr>
          <w:rFonts w:hint="cs"/>
          <w:b w:val="0"/>
          <w:bCs w:val="0"/>
          <w:rtl/>
        </w:rPr>
        <w:t>ال</w:t>
      </w:r>
      <w:r w:rsidR="0030542C" w:rsidRPr="0053733A">
        <w:rPr>
          <w:b w:val="0"/>
          <w:bCs w:val="0"/>
          <w:rtl/>
        </w:rPr>
        <w:t xml:space="preserve">تجهيزات النظيرة لها. لذا، فمن الأسهل والأجدى نشرها في البلدان النامية حيث يشكل السعر عنصراً هاماً. ويمثل العدد الهائل من السواتل ما يقارب </w:t>
      </w:r>
      <w:r w:rsidR="0030542C" w:rsidRPr="0053733A">
        <w:rPr>
          <w:b w:val="0"/>
          <w:bCs w:val="0"/>
        </w:rPr>
        <w:t>51</w:t>
      </w:r>
      <w:r w:rsidR="008E12D3" w:rsidRPr="0053733A">
        <w:rPr>
          <w:b w:val="0"/>
          <w:bCs w:val="0"/>
        </w:rPr>
        <w:noBreakHyphen/>
      </w:r>
      <w:r w:rsidR="0030542C" w:rsidRPr="0053733A">
        <w:rPr>
          <w:b w:val="0"/>
          <w:bCs w:val="0"/>
        </w:rPr>
        <w:t>42</w:t>
      </w:r>
      <w:r w:rsidR="0030542C" w:rsidRPr="0053733A">
        <w:rPr>
          <w:b w:val="0"/>
          <w:bCs w:val="0"/>
          <w:rtl/>
        </w:rPr>
        <w:t xml:space="preserve"> مليار دولار من الاستثمار في التجهيزات المستخدمة في المدار، فضلاً عن الاستثمارات في البنية الأساسية الأرضية.</w:t>
      </w:r>
    </w:p>
    <w:p w:rsidR="003B1E85" w:rsidRPr="003B1E85" w:rsidRDefault="003B1E85" w:rsidP="003B1E85">
      <w:pPr>
        <w:spacing w:before="600"/>
        <w:jc w:val="center"/>
        <w:rPr>
          <w:lang w:eastAsia="ja-JP"/>
        </w:rPr>
      </w:pPr>
      <w:r>
        <w:rPr>
          <w:rtl/>
          <w:lang w:eastAsia="ja-JP"/>
        </w:rPr>
        <w:t>___________</w:t>
      </w:r>
    </w:p>
    <w:sectPr w:rsidR="003B1E85" w:rsidRPr="003B1E85">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94F2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701CE">
      <w:rPr>
        <w:noProof/>
        <w:lang w:val="es-ES"/>
      </w:rPr>
      <w:t>P:\ARA\ITU-R\CONF-R\CMR15\000\044A.docx</w:t>
    </w:r>
    <w:r w:rsidRPr="00CB4300">
      <w:fldChar w:fldCharType="end"/>
    </w:r>
    <w:r w:rsidRPr="00CB4300">
      <w:rPr>
        <w:lang w:val="es-ES"/>
      </w:rPr>
      <w:t xml:space="preserve">  (</w:t>
    </w:r>
    <w:r w:rsidR="00494F2B">
      <w:rPr>
        <w:lang w:val="es-ES"/>
      </w:rPr>
      <w:t>387805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B46A3">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94F2B">
    <w:pPr>
      <w:pStyle w:val="Footer"/>
      <w:rPr>
        <w:lang w:val="es-ES"/>
      </w:rPr>
    </w:pPr>
    <w:r>
      <w:fldChar w:fldCharType="begin"/>
    </w:r>
    <w:r w:rsidRPr="00CB4300">
      <w:rPr>
        <w:lang w:val="es-ES"/>
      </w:rPr>
      <w:instrText xml:space="preserve"> FILENAME \p \* MERGEFORMAT </w:instrText>
    </w:r>
    <w:r>
      <w:fldChar w:fldCharType="separate"/>
    </w:r>
    <w:r w:rsidR="009701CE">
      <w:rPr>
        <w:noProof/>
        <w:lang w:val="es-ES"/>
      </w:rPr>
      <w:t>P:\ARA\ITU-R\CONF-R\CMR15\000\044A.docx</w:t>
    </w:r>
    <w:r>
      <w:fldChar w:fldCharType="end"/>
    </w:r>
    <w:r w:rsidRPr="00CB4300">
      <w:rPr>
        <w:lang w:val="es-ES"/>
      </w:rPr>
      <w:t xml:space="preserve">   (</w:t>
    </w:r>
    <w:r w:rsidR="00494F2B">
      <w:rPr>
        <w:lang w:val="es-ES"/>
      </w:rPr>
      <w:t>387805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B46A3">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E75BA">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44-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7E612D74"/>
    <w:multiLevelType w:val="hybridMultilevel"/>
    <w:tmpl w:val="B8E6E08C"/>
    <w:lvl w:ilvl="0" w:tplc="34728678">
      <w:start w:val="10"/>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F3D"/>
    <w:rsid w:val="00011021"/>
    <w:rsid w:val="000114EC"/>
    <w:rsid w:val="00011F8C"/>
    <w:rsid w:val="00040C94"/>
    <w:rsid w:val="000425FC"/>
    <w:rsid w:val="00044D43"/>
    <w:rsid w:val="00051907"/>
    <w:rsid w:val="00075A3F"/>
    <w:rsid w:val="000A1B16"/>
    <w:rsid w:val="000B4EEA"/>
    <w:rsid w:val="000B5404"/>
    <w:rsid w:val="000D1708"/>
    <w:rsid w:val="000E2AFC"/>
    <w:rsid w:val="000E6D30"/>
    <w:rsid w:val="000F05F5"/>
    <w:rsid w:val="000F28EA"/>
    <w:rsid w:val="000F518F"/>
    <w:rsid w:val="0010081C"/>
    <w:rsid w:val="001013E3"/>
    <w:rsid w:val="0010363F"/>
    <w:rsid w:val="001464F2"/>
    <w:rsid w:val="00156418"/>
    <w:rsid w:val="001629EC"/>
    <w:rsid w:val="00167364"/>
    <w:rsid w:val="00187731"/>
    <w:rsid w:val="001903B2"/>
    <w:rsid w:val="001D0089"/>
    <w:rsid w:val="001E190C"/>
    <w:rsid w:val="001E54F6"/>
    <w:rsid w:val="001E5A8C"/>
    <w:rsid w:val="00201A0A"/>
    <w:rsid w:val="002075D4"/>
    <w:rsid w:val="00211B2A"/>
    <w:rsid w:val="002333A0"/>
    <w:rsid w:val="002543CF"/>
    <w:rsid w:val="00255868"/>
    <w:rsid w:val="0026062E"/>
    <w:rsid w:val="00260F50"/>
    <w:rsid w:val="00261EF7"/>
    <w:rsid w:val="0027069F"/>
    <w:rsid w:val="00274138"/>
    <w:rsid w:val="00277869"/>
    <w:rsid w:val="00280E04"/>
    <w:rsid w:val="00281F5F"/>
    <w:rsid w:val="002843E4"/>
    <w:rsid w:val="002919E1"/>
    <w:rsid w:val="00295917"/>
    <w:rsid w:val="00296071"/>
    <w:rsid w:val="002A4572"/>
    <w:rsid w:val="002A7E2E"/>
    <w:rsid w:val="002B16D8"/>
    <w:rsid w:val="002C6B01"/>
    <w:rsid w:val="002D5F64"/>
    <w:rsid w:val="002D6FBF"/>
    <w:rsid w:val="002E48BF"/>
    <w:rsid w:val="002E61C2"/>
    <w:rsid w:val="0030542C"/>
    <w:rsid w:val="00306570"/>
    <w:rsid w:val="0033737F"/>
    <w:rsid w:val="00353652"/>
    <w:rsid w:val="003569E1"/>
    <w:rsid w:val="003815E2"/>
    <w:rsid w:val="00381FAD"/>
    <w:rsid w:val="00382A66"/>
    <w:rsid w:val="003923B1"/>
    <w:rsid w:val="003965FE"/>
    <w:rsid w:val="003A6AB4"/>
    <w:rsid w:val="003B1E85"/>
    <w:rsid w:val="003B27AD"/>
    <w:rsid w:val="003B4F23"/>
    <w:rsid w:val="003C12F6"/>
    <w:rsid w:val="003C3A13"/>
    <w:rsid w:val="003E02EF"/>
    <w:rsid w:val="003E1608"/>
    <w:rsid w:val="003E1D90"/>
    <w:rsid w:val="003E43A5"/>
    <w:rsid w:val="00400CD4"/>
    <w:rsid w:val="0040534F"/>
    <w:rsid w:val="004147B9"/>
    <w:rsid w:val="00422C04"/>
    <w:rsid w:val="00426144"/>
    <w:rsid w:val="00450B65"/>
    <w:rsid w:val="00461FA7"/>
    <w:rsid w:val="00470CBD"/>
    <w:rsid w:val="00471443"/>
    <w:rsid w:val="0047407D"/>
    <w:rsid w:val="004909DD"/>
    <w:rsid w:val="00494F2B"/>
    <w:rsid w:val="004A05E6"/>
    <w:rsid w:val="004A6C66"/>
    <w:rsid w:val="004A7AA0"/>
    <w:rsid w:val="004C11BC"/>
    <w:rsid w:val="004D4AE6"/>
    <w:rsid w:val="004E34FA"/>
    <w:rsid w:val="004F1B0A"/>
    <w:rsid w:val="00505FCA"/>
    <w:rsid w:val="00510359"/>
    <w:rsid w:val="00510C2D"/>
    <w:rsid w:val="005169F4"/>
    <w:rsid w:val="005210D1"/>
    <w:rsid w:val="00523146"/>
    <w:rsid w:val="00523275"/>
    <w:rsid w:val="00531DC7"/>
    <w:rsid w:val="005350B0"/>
    <w:rsid w:val="0053733A"/>
    <w:rsid w:val="00543183"/>
    <w:rsid w:val="00546A99"/>
    <w:rsid w:val="00553411"/>
    <w:rsid w:val="00554AE7"/>
    <w:rsid w:val="00564746"/>
    <w:rsid w:val="0056512C"/>
    <w:rsid w:val="00576D0A"/>
    <w:rsid w:val="00576FCC"/>
    <w:rsid w:val="00584333"/>
    <w:rsid w:val="005930D8"/>
    <w:rsid w:val="005953EC"/>
    <w:rsid w:val="005B00A1"/>
    <w:rsid w:val="005B487F"/>
    <w:rsid w:val="005C29C8"/>
    <w:rsid w:val="005C5D25"/>
    <w:rsid w:val="005D6D48"/>
    <w:rsid w:val="005D72A4"/>
    <w:rsid w:val="005F05CC"/>
    <w:rsid w:val="005F65DE"/>
    <w:rsid w:val="00613492"/>
    <w:rsid w:val="006315B5"/>
    <w:rsid w:val="0063435D"/>
    <w:rsid w:val="00651343"/>
    <w:rsid w:val="0065562F"/>
    <w:rsid w:val="00680A66"/>
    <w:rsid w:val="00681391"/>
    <w:rsid w:val="006A0E79"/>
    <w:rsid w:val="006A12AC"/>
    <w:rsid w:val="006A2162"/>
    <w:rsid w:val="006B0D94"/>
    <w:rsid w:val="006B4B90"/>
    <w:rsid w:val="006B658C"/>
    <w:rsid w:val="006D2674"/>
    <w:rsid w:val="006E38D0"/>
    <w:rsid w:val="006E465B"/>
    <w:rsid w:val="006F70BF"/>
    <w:rsid w:val="006F7953"/>
    <w:rsid w:val="0070157E"/>
    <w:rsid w:val="007046E8"/>
    <w:rsid w:val="00716B1D"/>
    <w:rsid w:val="007248EC"/>
    <w:rsid w:val="00731150"/>
    <w:rsid w:val="00736DCC"/>
    <w:rsid w:val="00741855"/>
    <w:rsid w:val="00742B73"/>
    <w:rsid w:val="00751251"/>
    <w:rsid w:val="007522C5"/>
    <w:rsid w:val="00756AAE"/>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0B28"/>
    <w:rsid w:val="0088384B"/>
    <w:rsid w:val="0089057D"/>
    <w:rsid w:val="008911EC"/>
    <w:rsid w:val="00893E53"/>
    <w:rsid w:val="008A1137"/>
    <w:rsid w:val="008A1788"/>
    <w:rsid w:val="008A4185"/>
    <w:rsid w:val="008A6552"/>
    <w:rsid w:val="008B4E93"/>
    <w:rsid w:val="008D4F14"/>
    <w:rsid w:val="008D6ACC"/>
    <w:rsid w:val="008D7AF0"/>
    <w:rsid w:val="008E12D3"/>
    <w:rsid w:val="008E32DD"/>
    <w:rsid w:val="008F4626"/>
    <w:rsid w:val="009004DF"/>
    <w:rsid w:val="00904AA5"/>
    <w:rsid w:val="00905D21"/>
    <w:rsid w:val="00951718"/>
    <w:rsid w:val="00954CCB"/>
    <w:rsid w:val="00960962"/>
    <w:rsid w:val="009701CE"/>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3633"/>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46A3"/>
    <w:rsid w:val="00DC29DD"/>
    <w:rsid w:val="00DC7C0E"/>
    <w:rsid w:val="00DE79DD"/>
    <w:rsid w:val="00DF2A6A"/>
    <w:rsid w:val="00DF3B72"/>
    <w:rsid w:val="00E10821"/>
    <w:rsid w:val="00E165ED"/>
    <w:rsid w:val="00E231D1"/>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75BA"/>
    <w:rsid w:val="00EF38AF"/>
    <w:rsid w:val="00F04A88"/>
    <w:rsid w:val="00F0502B"/>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D6F815D-B7B6-4BCD-A1C9-CFC2E05D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HeadingbChar">
    <w:name w:val="Heading_b Char"/>
    <w:link w:val="Headingb"/>
    <w:locked/>
    <w:rsid w:val="00494F2B"/>
    <w:rPr>
      <w:rFonts w:ascii="Times New Roman Bold" w:hAnsi="Times New Roman Bold" w:cs="Traditional Arabic"/>
      <w:bCs/>
      <w:kern w:val="14"/>
      <w:sz w:val="24"/>
      <w:szCs w:val="32"/>
      <w:lang w:eastAsia="en-US" w:bidi="ar-EG"/>
    </w:rPr>
  </w:style>
  <w:style w:type="paragraph" w:customStyle="1" w:styleId="enumlev10">
    <w:name w:val="enumlev 1"/>
    <w:basedOn w:val="Normal"/>
    <w:qFormat/>
    <w:rsid w:val="00494F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156418"/>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E6EC9-BABD-4B9F-9E63-8D55138E0554}">
  <ds:schemaRefs>
    <ds:schemaRef ds:uri="http://purl.org/dc/elements/1.1/"/>
    <ds:schemaRef ds:uri="http://purl.org/dc/dcmitype/"/>
    <ds:schemaRef ds:uri="http://www.w3.org/XML/1998/namespace"/>
    <ds:schemaRef ds:uri="32a1a8c5-2265-4ebc-b7a0-2071e2c5c9bb"/>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2EA92A5-70C1-4F31-BBB2-650F1F9A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920</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R15-WRC15-C-0044!!MSW-A</vt:lpstr>
    </vt:vector>
  </TitlesOfParts>
  <Manager>General Secretariat - Pool</Manager>
  <Company>International Telecommunication Union (ITU)</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R15-WRC15-C-0044!!MSW-A</dc:title>
  <dc:creator>Documents Proposals Manager (DPM)</dc:creator>
  <cp:keywords>DPM_v5.2015.10.230_prod</cp:keywords>
  <cp:lastModifiedBy>Awad, Samy</cp:lastModifiedBy>
  <cp:revision>35</cp:revision>
  <cp:lastPrinted>2011-11-07T13:53:00Z</cp:lastPrinted>
  <dcterms:created xsi:type="dcterms:W3CDTF">2015-10-27T07:45:00Z</dcterms:created>
  <dcterms:modified xsi:type="dcterms:W3CDTF">2015-10-27T13:24:00Z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