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83741B" w:rsidRDefault="0083741B" w:rsidP="00AA666F">
            <w:pPr>
              <w:tabs>
                <w:tab w:val="left" w:pos="851"/>
              </w:tabs>
              <w:spacing w:before="0" w:line="240" w:lineRule="atLeast"/>
              <w:rPr>
                <w:rFonts w:ascii="Verdana" w:eastAsia="SimSun" w:hAnsi="Verdana" w:cs="Traditional Arabic"/>
                <w:b/>
                <w:sz w:val="20"/>
              </w:rPr>
            </w:pPr>
            <w:r>
              <w:rPr>
                <w:rFonts w:ascii="Verdana" w:eastAsia="SimSun" w:hAnsi="Verdana" w:cs="Traditional Arabic"/>
                <w:b/>
                <w:sz w:val="20"/>
              </w:rPr>
              <w:t>Revision 1 to</w:t>
            </w:r>
          </w:p>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42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83741B" w:rsidP="00A066F1">
            <w:pPr>
              <w:tabs>
                <w:tab w:val="left" w:pos="993"/>
              </w:tabs>
              <w:spacing w:before="0"/>
              <w:rPr>
                <w:rFonts w:ascii="Verdana" w:hAnsi="Verdana"/>
                <w:sz w:val="20"/>
              </w:rPr>
            </w:pPr>
            <w:r>
              <w:rPr>
                <w:rFonts w:ascii="Verdana" w:hAnsi="Verdana"/>
                <w:b/>
                <w:sz w:val="20"/>
              </w:rPr>
              <w:t>29</w:t>
            </w:r>
            <w:r w:rsidR="00420873" w:rsidRPr="00841216">
              <w:rPr>
                <w:rFonts w:ascii="Verdana" w:hAnsi="Verdana"/>
                <w:b/>
                <w:sz w:val="20"/>
              </w:rPr>
              <w:t xml:space="preserve">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B54C4D" w:rsidP="0083741B">
            <w:pPr>
              <w:pStyle w:val="Source"/>
            </w:pPr>
            <w:r>
              <w:t>Saudi Arabia (Kingdom of),</w:t>
            </w:r>
            <w:r w:rsidR="0083741B">
              <w:t xml:space="preserve"> </w:t>
            </w:r>
            <w:r w:rsidR="00A3161B">
              <w:t xml:space="preserve">Bahrain (Kingdom of), </w:t>
            </w:r>
            <w:r w:rsidR="00717B40">
              <w:t xml:space="preserve">United Arab Emirates, </w:t>
            </w:r>
            <w:r w:rsidR="00A3161B">
              <w:t>Kuwait (State of),</w:t>
            </w:r>
            <w:r w:rsidR="0083741B">
              <w:t xml:space="preserve"> </w:t>
            </w:r>
            <w:r w:rsidR="004455ED">
              <w:t>Oman (Sultanate of), Tunisia</w:t>
            </w:r>
          </w:p>
        </w:tc>
      </w:tr>
      <w:tr w:rsidR="00E55816" w:rsidRPr="00C324A8" w:rsidTr="00025864">
        <w:trPr>
          <w:cantSplit/>
          <w:trHeight w:val="23"/>
        </w:trPr>
        <w:tc>
          <w:tcPr>
            <w:tcW w:w="10031" w:type="dxa"/>
            <w:gridSpan w:val="2"/>
            <w:shd w:val="clear" w:color="auto" w:fill="auto"/>
          </w:tcPr>
          <w:p w:rsidR="00E55816" w:rsidRDefault="007D5320" w:rsidP="0060565E">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60565E">
            <w:pPr>
              <w:pStyle w:val="Title2"/>
            </w:pPr>
          </w:p>
        </w:tc>
      </w:tr>
      <w:tr w:rsidR="00A538A6" w:rsidRPr="00C324A8" w:rsidTr="00025864">
        <w:trPr>
          <w:cantSplit/>
          <w:trHeight w:val="23"/>
        </w:trPr>
        <w:tc>
          <w:tcPr>
            <w:tcW w:w="10031" w:type="dxa"/>
            <w:gridSpan w:val="2"/>
            <w:shd w:val="clear" w:color="auto" w:fill="auto"/>
          </w:tcPr>
          <w:p w:rsidR="00A538A6" w:rsidRPr="00A3161B" w:rsidRDefault="004B13CB" w:rsidP="0060565E">
            <w:pPr>
              <w:pStyle w:val="Agendaitem"/>
              <w:rPr>
                <w:lang w:val="en-GB"/>
              </w:rPr>
            </w:pPr>
            <w:r w:rsidRPr="00A3161B">
              <w:rPr>
                <w:lang w:val="en-GB"/>
              </w:rPr>
              <w:t>Agenda item 1.1</w:t>
            </w:r>
          </w:p>
        </w:tc>
      </w:tr>
    </w:tbl>
    <w:p w:rsidR="005118F7" w:rsidRPr="009A2B70" w:rsidRDefault="00CB79E6" w:rsidP="0060565E">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73B69" w:rsidRDefault="00D44AA1" w:rsidP="00C91C1A">
      <w:pPr>
        <w:spacing w:before="240" w:after="240"/>
        <w:jc w:val="center"/>
        <w:rPr>
          <w:b/>
          <w:bCs/>
        </w:rPr>
      </w:pPr>
      <w:r>
        <w:rPr>
          <w:b/>
          <w:bCs/>
        </w:rPr>
        <w:t>1 492-1 </w:t>
      </w:r>
      <w:r w:rsidR="00273B69" w:rsidRPr="00C91C1A">
        <w:rPr>
          <w:b/>
          <w:bCs/>
        </w:rPr>
        <w:t>518 MHz</w:t>
      </w:r>
      <w:r w:rsidR="0060565E" w:rsidRPr="00C91C1A">
        <w:rPr>
          <w:b/>
          <w:bCs/>
        </w:rPr>
        <w:t xml:space="preserve"> frequency band</w:t>
      </w:r>
    </w:p>
    <w:p w:rsidR="00EB246C" w:rsidRPr="00C91C1A" w:rsidRDefault="00EB246C" w:rsidP="00EB246C"/>
    <w:p w:rsidR="004A17E6" w:rsidRPr="003C6599" w:rsidRDefault="004A17E6" w:rsidP="0060565E">
      <w:pPr>
        <w:pStyle w:val="Headingb"/>
        <w:rPr>
          <w:lang w:val="en-GB"/>
        </w:rPr>
      </w:pPr>
      <w:r w:rsidRPr="003C6599">
        <w:rPr>
          <w:lang w:val="en-GB"/>
        </w:rPr>
        <w:t>Introduction</w:t>
      </w:r>
    </w:p>
    <w:p w:rsidR="004A17E6" w:rsidRPr="003C6599" w:rsidRDefault="004A17E6" w:rsidP="0060565E">
      <w:r w:rsidRPr="003C6599">
        <w:t xml:space="preserve">Resolution </w:t>
      </w:r>
      <w:r w:rsidRPr="00443D88">
        <w:t>233 (WRC-12)</w:t>
      </w:r>
      <w:r w:rsidRPr="003C6599">
        <w:t xml:space="preserve"> called for studies to be conducted on frequency-related matters on IMT and other terrestrial mobile broadband applications, given that mobile telecommunications, including mobile broadband telecommunications, make a positive contribution to the economic and social development of the developed and the developing countries. Many administrations are carefully studying a large range of applications and systems to close the digital gap using, </w:t>
      </w:r>
      <w:r w:rsidRPr="003C6599">
        <w:rPr>
          <w:i/>
          <w:iCs/>
        </w:rPr>
        <w:t>inter alia</w:t>
      </w:r>
      <w:r w:rsidRPr="003C6599">
        <w:t>, IMT and other terrestrial mobile broadband applications.</w:t>
      </w:r>
    </w:p>
    <w:p w:rsidR="004A17E6" w:rsidRDefault="004A17E6" w:rsidP="0060565E">
      <w:r w:rsidRPr="003C6599">
        <w:t xml:space="preserve">Studies have been conducted on future spectrum needs and potential IMT candidate bands, as well as on other terrestrial mobile broadband applications. Administrations have proposed, pursuant to paragraph 2 of </w:t>
      </w:r>
      <w:r w:rsidRPr="003C6599">
        <w:rPr>
          <w:i/>
          <w:iCs/>
        </w:rPr>
        <w:t>resolves to invite ITU</w:t>
      </w:r>
      <w:r w:rsidRPr="003C6599">
        <w:rPr>
          <w:i/>
          <w:iCs/>
        </w:rPr>
        <w:noBreakHyphen/>
        <w:t>R</w:t>
      </w:r>
      <w:r w:rsidRPr="003C6599">
        <w:t xml:space="preserve"> of Resolution </w:t>
      </w:r>
      <w:r w:rsidRPr="00443D88">
        <w:t>233 (WRC</w:t>
      </w:r>
      <w:r w:rsidRPr="00443D88">
        <w:noBreakHyphen/>
        <w:t>12)</w:t>
      </w:r>
      <w:r w:rsidRPr="003C6599">
        <w:t>, studying the following frequency bands: 470-694/698 MHz, 1 300-1 525 MHz, 1 695-1 710 MHz, 2 025-2 110 MHz, 2 200-2 290 MHz, 2 700-2 900 MHz, 2 900-3 100 MHz, 3 300-3 400 MHz, 3 400-3 600 MHz, 3 600-4 200 MHz, 4 400-4 900 MHz, 4 800-5 000 MHz, 5 350-5 470 MHz, 5 725-5 850 MHz and 5 925-6 425 MHz.</w:t>
      </w:r>
    </w:p>
    <w:p w:rsidR="00223EBC" w:rsidRDefault="00CD53F2" w:rsidP="0060565E">
      <w:r>
        <w:rPr>
          <w:color w:val="000000"/>
        </w:rPr>
        <w:t xml:space="preserve">On the basis of </w:t>
      </w:r>
      <w:r w:rsidR="0060565E">
        <w:rPr>
          <w:color w:val="000000"/>
        </w:rPr>
        <w:t xml:space="preserve">studies on </w:t>
      </w:r>
      <w:r>
        <w:rPr>
          <w:color w:val="000000"/>
        </w:rPr>
        <w:t xml:space="preserve">sharing and compatibility with services already having allocations in candidate frequency bands and in adjacent bands, taking into account the current and planned use of these frequency bands by existing services and their necessary protection, the signatory parties propose no modification of the Radio Regulations in the </w:t>
      </w:r>
      <w:r>
        <w:t xml:space="preserve">1 492-1 518 </w:t>
      </w:r>
      <w:r>
        <w:rPr>
          <w:color w:val="000000"/>
        </w:rPr>
        <w:t>MHz band.</w:t>
      </w:r>
    </w:p>
    <w:p w:rsidR="00223EBC" w:rsidRPr="000B17F5" w:rsidRDefault="00223EBC" w:rsidP="00A24D69">
      <w:pPr>
        <w:pStyle w:val="Headingb"/>
        <w:rPr>
          <w:lang w:val="en-GB"/>
        </w:rPr>
      </w:pPr>
      <w:r w:rsidRPr="000B17F5">
        <w:rPr>
          <w:lang w:val="en-GB"/>
        </w:rPr>
        <w:lastRenderedPageBreak/>
        <w:t>Proposal</w:t>
      </w:r>
    </w:p>
    <w:p w:rsidR="009B463A" w:rsidRDefault="00CB79E6" w:rsidP="0060565E">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CB79E6" w:rsidP="0060565E">
      <w:pPr>
        <w:pStyle w:val="Arttitle"/>
        <w:rPr>
          <w:lang w:val="en-US"/>
        </w:rPr>
      </w:pPr>
      <w:bookmarkStart w:id="10" w:name="_Toc327956583"/>
      <w:r w:rsidRPr="006D07BF">
        <w:t>Frequency</w:t>
      </w:r>
      <w:r>
        <w:t xml:space="preserve"> allocations</w:t>
      </w:r>
      <w:bookmarkEnd w:id="10"/>
    </w:p>
    <w:p w:rsidR="009B463A" w:rsidRPr="00B25B23" w:rsidRDefault="00CB79E6" w:rsidP="0060565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B6756" w:rsidRDefault="00CB79E6" w:rsidP="0083741B">
      <w:pPr>
        <w:pStyle w:val="Proposal"/>
      </w:pPr>
      <w:r>
        <w:rPr>
          <w:u w:val="single"/>
        </w:rPr>
        <w:t>NOC</w:t>
      </w:r>
      <w:r w:rsidR="00223EBC">
        <w:tab/>
      </w:r>
      <w:r w:rsidR="00C26E97">
        <w:t>ARS/BHR/UAE/KWT/OMA/TUN</w:t>
      </w:r>
      <w:r>
        <w:t>/42/1</w:t>
      </w:r>
    </w:p>
    <w:p w:rsidR="009B463A" w:rsidRPr="00223EBC" w:rsidRDefault="00CB79E6" w:rsidP="0060565E">
      <w:pPr>
        <w:pStyle w:val="Tabletitle"/>
      </w:pPr>
      <w:r w:rsidRPr="00223EBC">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2B657C" w:rsidRDefault="00CB79E6" w:rsidP="0060565E">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CB79E6" w:rsidP="0060565E">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CB79E6" w:rsidP="0060565E">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CB79E6" w:rsidP="0060565E">
            <w:pPr>
              <w:pStyle w:val="Tablehead"/>
            </w:pPr>
            <w:r w:rsidRPr="002B657C">
              <w:t>Region 3</w:t>
            </w:r>
          </w:p>
        </w:tc>
      </w:tr>
      <w:tr w:rsidR="009B463A" w:rsidTr="00477577">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FD4419" w:rsidRDefault="00CB79E6" w:rsidP="0060565E">
            <w:pPr>
              <w:pStyle w:val="TableTextS5"/>
              <w:rPr>
                <w:rStyle w:val="Tablefreq"/>
                <w:rFonts w:ascii="Times New Roman Bold" w:hAnsi="Times New Roman Bold" w:cs="Times New Roman Bold"/>
                <w:b w:val="0"/>
                <w:lang w:val="fr-CH"/>
              </w:rPr>
            </w:pPr>
            <w:r w:rsidRPr="00FD4419">
              <w:rPr>
                <w:rStyle w:val="Tablefreq"/>
                <w:lang w:val="fr-CH"/>
              </w:rPr>
              <w:t>1 492-1 518</w:t>
            </w:r>
          </w:p>
          <w:p w:rsidR="009B463A" w:rsidRPr="005A38D0" w:rsidRDefault="00CB79E6" w:rsidP="0060565E">
            <w:pPr>
              <w:pStyle w:val="TableTextS5"/>
              <w:rPr>
                <w:color w:val="000000"/>
                <w:lang w:val="fr-CH"/>
              </w:rPr>
            </w:pPr>
            <w:r w:rsidRPr="005A38D0">
              <w:rPr>
                <w:color w:val="000000"/>
                <w:lang w:val="fr-CH"/>
              </w:rPr>
              <w:t>FIXED</w:t>
            </w:r>
          </w:p>
          <w:p w:rsidR="009B463A" w:rsidRPr="005A38D0" w:rsidRDefault="00CB79E6" w:rsidP="0060565E">
            <w:pPr>
              <w:pStyle w:val="TableTextS5"/>
              <w:ind w:left="170" w:hanging="170"/>
              <w:rPr>
                <w:color w:val="000000"/>
                <w:lang w:val="fr-CH"/>
              </w:rPr>
            </w:pPr>
            <w:r w:rsidRPr="005A38D0">
              <w:rPr>
                <w:color w:val="000000"/>
                <w:lang w:val="fr-CH"/>
              </w:rPr>
              <w:t>MOBILE except aeronautical mobile</w:t>
            </w:r>
          </w:p>
          <w:p w:rsidR="009B463A" w:rsidRPr="005A38D0" w:rsidRDefault="00CB79E6" w:rsidP="0060565E">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CB79E6" w:rsidP="0060565E">
            <w:pPr>
              <w:pStyle w:val="TableTextS5"/>
              <w:rPr>
                <w:rStyle w:val="Tablefreq"/>
                <w:rFonts w:ascii="Times New Roman Bold" w:hAnsi="Times New Roman Bold" w:cs="Times New Roman Bold"/>
                <w:b w:val="0"/>
              </w:rPr>
            </w:pPr>
            <w:r w:rsidRPr="005279B9">
              <w:rPr>
                <w:rStyle w:val="Tablefreq"/>
              </w:rPr>
              <w:t>1 492-1 518</w:t>
            </w:r>
          </w:p>
          <w:p w:rsidR="009B463A" w:rsidRDefault="00CB79E6" w:rsidP="0060565E">
            <w:pPr>
              <w:pStyle w:val="TableTextS5"/>
              <w:rPr>
                <w:color w:val="000000"/>
                <w:lang w:val="en-AU"/>
              </w:rPr>
            </w:pPr>
            <w:r>
              <w:rPr>
                <w:color w:val="000000"/>
                <w:lang w:val="en-AU"/>
              </w:rPr>
              <w:t>FIXED</w:t>
            </w:r>
          </w:p>
          <w:p w:rsidR="009B463A" w:rsidRDefault="00CB79E6" w:rsidP="0060565E">
            <w:pPr>
              <w:pStyle w:val="TableTextS5"/>
              <w:rPr>
                <w:rStyle w:val="Artref"/>
                <w:rFonts w:ascii="Times New Roman Bold" w:hAnsi="Times New Roman Bold" w:cs="Times New Roman Bold"/>
                <w:b/>
                <w:color w:val="000000"/>
              </w:rPr>
            </w:pPr>
            <w:r>
              <w:rPr>
                <w:color w:val="000000"/>
                <w:lang w:val="en-AU"/>
              </w:rPr>
              <w:t xml:space="preserve">MOBILE  </w:t>
            </w:r>
            <w:r>
              <w:rPr>
                <w:rStyle w:val="Artref"/>
                <w:color w:val="000000"/>
                <w:lang w:val="en-AU"/>
              </w:rPr>
              <w:t>5.343</w:t>
            </w:r>
            <w:r>
              <w:rPr>
                <w:rStyle w:val="Artref"/>
                <w:color w:val="000000"/>
                <w:lang w:val="en-AU"/>
              </w:rPr>
              <w:br/>
            </w:r>
          </w:p>
          <w:p w:rsidR="009B463A" w:rsidRDefault="00CB79E6" w:rsidP="0060565E">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463A" w:rsidRPr="005279B9" w:rsidRDefault="00CB79E6" w:rsidP="0060565E">
            <w:pPr>
              <w:pStyle w:val="TableTextS5"/>
              <w:rPr>
                <w:rStyle w:val="Tablefreq"/>
              </w:rPr>
            </w:pPr>
            <w:r w:rsidRPr="005279B9">
              <w:rPr>
                <w:rStyle w:val="Tablefreq"/>
              </w:rPr>
              <w:t>1 492-1 518</w:t>
            </w:r>
          </w:p>
          <w:p w:rsidR="009B463A" w:rsidRDefault="00CB79E6" w:rsidP="0060565E">
            <w:pPr>
              <w:pStyle w:val="TableTextS5"/>
              <w:rPr>
                <w:color w:val="000000"/>
                <w:lang w:val="en-AU"/>
              </w:rPr>
            </w:pPr>
            <w:r>
              <w:rPr>
                <w:color w:val="000000"/>
                <w:lang w:val="en-AU"/>
              </w:rPr>
              <w:t>FIXED</w:t>
            </w:r>
          </w:p>
          <w:p w:rsidR="009B463A" w:rsidRDefault="00CB79E6" w:rsidP="0060565E">
            <w:pPr>
              <w:pStyle w:val="TableTextS5"/>
              <w:rPr>
                <w:color w:val="000000"/>
                <w:lang w:val="en-AU"/>
              </w:rPr>
            </w:pPr>
            <w:r>
              <w:rPr>
                <w:color w:val="000000"/>
                <w:lang w:val="en-AU"/>
              </w:rPr>
              <w:t>MOBILE</w:t>
            </w:r>
            <w:r>
              <w:rPr>
                <w:color w:val="000000"/>
                <w:lang w:val="en-AU"/>
              </w:rPr>
              <w:br/>
            </w:r>
          </w:p>
          <w:p w:rsidR="009B463A" w:rsidRDefault="00CB79E6" w:rsidP="0060565E">
            <w:pPr>
              <w:pStyle w:val="TableTextS5"/>
              <w:rPr>
                <w:color w:val="000000"/>
                <w:lang w:val="en-AU"/>
              </w:rPr>
            </w:pPr>
            <w:r>
              <w:rPr>
                <w:rStyle w:val="Artref"/>
                <w:color w:val="000000"/>
              </w:rPr>
              <w:t>5.341</w:t>
            </w:r>
          </w:p>
        </w:tc>
      </w:tr>
    </w:tbl>
    <w:p w:rsidR="00223EBC" w:rsidRDefault="00CD53F2" w:rsidP="0060565E">
      <w:pPr>
        <w:pStyle w:val="Reasons"/>
        <w:rPr>
          <w:color w:val="000000"/>
        </w:rPr>
      </w:pPr>
      <w:r w:rsidRPr="0060565E">
        <w:rPr>
          <w:b/>
          <w:bCs/>
        </w:rPr>
        <w:t>Reasons:</w:t>
      </w:r>
      <w:r w:rsidR="0060565E">
        <w:tab/>
      </w:r>
      <w:r>
        <w:t xml:space="preserve">No change in relation to the 1 492-1 518 MHz band, given that sharing studies on </w:t>
      </w:r>
      <w:r w:rsidR="0047124B">
        <w:t xml:space="preserve">coexistence with the fixed service (FS) show that the </w:t>
      </w:r>
      <w:r w:rsidR="0047124B">
        <w:rPr>
          <w:color w:val="000000"/>
        </w:rPr>
        <w:t>separation distances calculated for co-channel operation under worst-case assumptions are very large.</w:t>
      </w:r>
      <w:r w:rsidR="0060565E">
        <w:rPr>
          <w:color w:val="000000"/>
        </w:rPr>
        <w:t xml:space="preserve"> </w:t>
      </w:r>
      <w:r w:rsidR="0047124B">
        <w:rPr>
          <w:color w:val="000000"/>
        </w:rPr>
        <w:t xml:space="preserve">Accordingly, harmonized usage of all or a portion of this frequency range by </w:t>
      </w:r>
      <w:r w:rsidR="00275230">
        <w:rPr>
          <w:color w:val="000000"/>
        </w:rPr>
        <w:t>the mobile service</w:t>
      </w:r>
      <w:r w:rsidR="0047124B">
        <w:rPr>
          <w:color w:val="000000"/>
        </w:rPr>
        <w:t xml:space="preserve"> for the implementation of IMT may not be feasible, in particular on a global basis.</w:t>
      </w:r>
    </w:p>
    <w:p w:rsidR="0060565E" w:rsidRDefault="0060565E" w:rsidP="0060565E"/>
    <w:p w:rsidR="00EB246C" w:rsidRDefault="00EB246C" w:rsidP="0060565E"/>
    <w:p w:rsidR="0060565E" w:rsidRDefault="0060565E">
      <w:pPr>
        <w:jc w:val="center"/>
      </w:pPr>
      <w:bookmarkStart w:id="11" w:name="_GoBack"/>
      <w:bookmarkEnd w:id="11"/>
      <w:r>
        <w:t>______________</w:t>
      </w:r>
    </w:p>
    <w:sectPr w:rsidR="0060565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95" w:rsidRDefault="00CD7295">
      <w:r>
        <w:separator/>
      </w:r>
    </w:p>
  </w:endnote>
  <w:endnote w:type="continuationSeparator" w:id="0">
    <w:p w:rsidR="00CD7295" w:rsidRDefault="00CD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E5501" w:rsidRDefault="00E45D05">
    <w:pPr>
      <w:ind w:right="360"/>
      <w:rPr>
        <w:lang w:val="es-ES"/>
        <w:rPrChange w:id="15" w:author="Lucas,Tracy" w:date="2015-10-16T11:51:00Z">
          <w:rPr>
            <w:lang w:val="en-US"/>
          </w:rPr>
        </w:rPrChange>
      </w:rPr>
    </w:pPr>
    <w:r>
      <w:fldChar w:fldCharType="begin"/>
    </w:r>
    <w:r w:rsidRPr="005E5501">
      <w:rPr>
        <w:lang w:val="es-ES"/>
        <w:rPrChange w:id="16" w:author="Lucas,Tracy" w:date="2015-10-16T11:51:00Z">
          <w:rPr>
            <w:lang w:val="en-US"/>
          </w:rPr>
        </w:rPrChange>
      </w:rPr>
      <w:instrText xml:space="preserve"> FILENAME \p  \* MERGEFORMAT </w:instrText>
    </w:r>
    <w:r>
      <w:fldChar w:fldCharType="separate"/>
    </w:r>
    <w:r w:rsidR="00A24D69">
      <w:rPr>
        <w:noProof/>
        <w:lang w:val="es-ES"/>
      </w:rPr>
      <w:t>Y:\APP\BR\POOL\WRC-15\DOC (Contributions)\1-100\042R1E.docx</w:t>
    </w:r>
    <w:r>
      <w:fldChar w:fldCharType="end"/>
    </w:r>
    <w:r w:rsidRPr="005E5501">
      <w:rPr>
        <w:lang w:val="es-ES"/>
        <w:rPrChange w:id="17" w:author="Lucas,Tracy" w:date="2015-10-16T11:51:00Z">
          <w:rPr>
            <w:lang w:val="en-US"/>
          </w:rPr>
        </w:rPrChange>
      </w:rPr>
      <w:tab/>
    </w:r>
    <w:r>
      <w:fldChar w:fldCharType="begin"/>
    </w:r>
    <w:r>
      <w:instrText xml:space="preserve"> SAVEDATE \@ DD.MM.YY </w:instrText>
    </w:r>
    <w:r>
      <w:fldChar w:fldCharType="separate"/>
    </w:r>
    <w:r w:rsidR="00EB246C">
      <w:rPr>
        <w:noProof/>
      </w:rPr>
      <w:t>29.10.15</w:t>
    </w:r>
    <w:r>
      <w:fldChar w:fldCharType="end"/>
    </w:r>
    <w:r w:rsidRPr="005E5501">
      <w:rPr>
        <w:lang w:val="es-ES"/>
        <w:rPrChange w:id="18" w:author="Lucas,Tracy" w:date="2015-10-16T11:51:00Z">
          <w:rPr>
            <w:lang w:val="en-US"/>
          </w:rPr>
        </w:rPrChange>
      </w:rPr>
      <w:tab/>
    </w:r>
    <w:r>
      <w:fldChar w:fldCharType="begin"/>
    </w:r>
    <w:r>
      <w:instrText xml:space="preserve"> PRINTDATE \@ DD.MM.YY </w:instrText>
    </w:r>
    <w:r>
      <w:fldChar w:fldCharType="separate"/>
    </w:r>
    <w:r w:rsidR="00A24D69">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6C" w:rsidRDefault="00EB246C" w:rsidP="00EB246C">
    <w:pPr>
      <w:pStyle w:val="Footer"/>
    </w:pPr>
    <w:r>
      <w:fldChar w:fldCharType="begin"/>
    </w:r>
    <w:r>
      <w:instrText xml:space="preserve"> FILENAME \p  \* MERGEFORMAT </w:instrText>
    </w:r>
    <w:r>
      <w:fldChar w:fldCharType="separate"/>
    </w:r>
    <w:r>
      <w:t>P:\ENG\ITU-R\CONF-R\CMR15\000\042REV1E.docx</w:t>
    </w:r>
    <w:r>
      <w:fldChar w:fldCharType="end"/>
    </w:r>
    <w:r>
      <w:t xml:space="preserve"> (389425)</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5E" w:rsidRDefault="00EB246C" w:rsidP="00EB246C">
    <w:pPr>
      <w:pStyle w:val="Footer"/>
    </w:pPr>
    <w:r>
      <w:fldChar w:fldCharType="begin"/>
    </w:r>
    <w:r>
      <w:instrText xml:space="preserve"> FILENAME \p  \* MERGEFORMAT </w:instrText>
    </w:r>
    <w:r>
      <w:fldChar w:fldCharType="separate"/>
    </w:r>
    <w:r>
      <w:t>P:\ENG\ITU-R\CONF-R\CMR15\000\042REV1E.docx</w:t>
    </w:r>
    <w:r>
      <w:fldChar w:fldCharType="end"/>
    </w:r>
    <w:r w:rsidR="0060565E">
      <w:t xml:space="preserve"> (38</w:t>
    </w:r>
    <w:r>
      <w:t>9425</w:t>
    </w:r>
    <w:r w:rsidR="0060565E">
      <w:t>)</w:t>
    </w:r>
    <w:r w:rsidR="0060565E">
      <w:tab/>
    </w:r>
    <w:r w:rsidR="0060565E">
      <w:fldChar w:fldCharType="begin"/>
    </w:r>
    <w:r w:rsidR="0060565E">
      <w:instrText xml:space="preserve"> SAVEDATE \@ DD.MM.YY </w:instrText>
    </w:r>
    <w:r w:rsidR="0060565E">
      <w:fldChar w:fldCharType="separate"/>
    </w:r>
    <w:r>
      <w:t>29.10.15</w:t>
    </w:r>
    <w:r w:rsidR="0060565E">
      <w:fldChar w:fldCharType="end"/>
    </w:r>
    <w:r w:rsidR="0060565E">
      <w:tab/>
    </w:r>
    <w:r w:rsidR="0060565E">
      <w:fldChar w:fldCharType="begin"/>
    </w:r>
    <w:r w:rsidR="0060565E">
      <w:instrText xml:space="preserve"> PRINTDATE \@ DD.MM.YY </w:instrText>
    </w:r>
    <w:r w:rsidR="0060565E">
      <w:fldChar w:fldCharType="separate"/>
    </w:r>
    <w:r>
      <w:t>29.10.15</w:t>
    </w:r>
    <w:r w:rsidR="006056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95" w:rsidRDefault="00CD7295">
      <w:r>
        <w:rPr>
          <w:b/>
        </w:rPr>
        <w:t>_______________</w:t>
      </w:r>
    </w:p>
  </w:footnote>
  <w:footnote w:type="continuationSeparator" w:id="0">
    <w:p w:rsidR="00CD7295" w:rsidRDefault="00CD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B246C">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42</w:t>
    </w:r>
    <w:bookmarkEnd w:id="12"/>
    <w:bookmarkEnd w:id="13"/>
    <w:bookmarkEnd w:id="14"/>
    <w:r w:rsidR="00EB4EB6">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40E4"/>
    <w:rsid w:val="00086491"/>
    <w:rsid w:val="00091346"/>
    <w:rsid w:val="0009706C"/>
    <w:rsid w:val="000B17F5"/>
    <w:rsid w:val="000D154B"/>
    <w:rsid w:val="000F73FF"/>
    <w:rsid w:val="00114CF7"/>
    <w:rsid w:val="00123B68"/>
    <w:rsid w:val="00126F2E"/>
    <w:rsid w:val="00146F6F"/>
    <w:rsid w:val="00187BD9"/>
    <w:rsid w:val="00190B55"/>
    <w:rsid w:val="001C3B5F"/>
    <w:rsid w:val="001D058F"/>
    <w:rsid w:val="002009EA"/>
    <w:rsid w:val="00202CA0"/>
    <w:rsid w:val="00216B6D"/>
    <w:rsid w:val="00223EBC"/>
    <w:rsid w:val="00241FA2"/>
    <w:rsid w:val="00271316"/>
    <w:rsid w:val="00273B69"/>
    <w:rsid w:val="00275230"/>
    <w:rsid w:val="002B349C"/>
    <w:rsid w:val="002D58BE"/>
    <w:rsid w:val="00361B37"/>
    <w:rsid w:val="00377BD3"/>
    <w:rsid w:val="00384088"/>
    <w:rsid w:val="003852CE"/>
    <w:rsid w:val="0039169B"/>
    <w:rsid w:val="003A2202"/>
    <w:rsid w:val="003A7F8C"/>
    <w:rsid w:val="003B2284"/>
    <w:rsid w:val="003B532E"/>
    <w:rsid w:val="003D0F8B"/>
    <w:rsid w:val="003E0DB6"/>
    <w:rsid w:val="0041348E"/>
    <w:rsid w:val="00420873"/>
    <w:rsid w:val="004455ED"/>
    <w:rsid w:val="0047124B"/>
    <w:rsid w:val="00492075"/>
    <w:rsid w:val="004969AD"/>
    <w:rsid w:val="004A17E6"/>
    <w:rsid w:val="004A26C4"/>
    <w:rsid w:val="004B13CB"/>
    <w:rsid w:val="004D26EA"/>
    <w:rsid w:val="004D2BFB"/>
    <w:rsid w:val="004D5D5C"/>
    <w:rsid w:val="0050139F"/>
    <w:rsid w:val="0055140B"/>
    <w:rsid w:val="005964AB"/>
    <w:rsid w:val="005C099A"/>
    <w:rsid w:val="005C31A5"/>
    <w:rsid w:val="005E10C9"/>
    <w:rsid w:val="005E290B"/>
    <w:rsid w:val="005E5501"/>
    <w:rsid w:val="005E61DD"/>
    <w:rsid w:val="006023DF"/>
    <w:rsid w:val="0060565E"/>
    <w:rsid w:val="00616219"/>
    <w:rsid w:val="00657DE0"/>
    <w:rsid w:val="00685313"/>
    <w:rsid w:val="00692833"/>
    <w:rsid w:val="006A6E9B"/>
    <w:rsid w:val="006B7C2A"/>
    <w:rsid w:val="006C23DA"/>
    <w:rsid w:val="006E3D45"/>
    <w:rsid w:val="007149F9"/>
    <w:rsid w:val="00717B40"/>
    <w:rsid w:val="00733A30"/>
    <w:rsid w:val="00745AEE"/>
    <w:rsid w:val="00750F10"/>
    <w:rsid w:val="007742CA"/>
    <w:rsid w:val="00790D70"/>
    <w:rsid w:val="007A6F1F"/>
    <w:rsid w:val="007D5320"/>
    <w:rsid w:val="00800972"/>
    <w:rsid w:val="00804475"/>
    <w:rsid w:val="00811633"/>
    <w:rsid w:val="0083741B"/>
    <w:rsid w:val="00841216"/>
    <w:rsid w:val="00872FC8"/>
    <w:rsid w:val="008845D0"/>
    <w:rsid w:val="00884D60"/>
    <w:rsid w:val="008B43F2"/>
    <w:rsid w:val="008B6CFF"/>
    <w:rsid w:val="009274B4"/>
    <w:rsid w:val="00934EA2"/>
    <w:rsid w:val="00944A5C"/>
    <w:rsid w:val="00952A66"/>
    <w:rsid w:val="009B7C9A"/>
    <w:rsid w:val="009C00F9"/>
    <w:rsid w:val="009C56E5"/>
    <w:rsid w:val="009E5FC8"/>
    <w:rsid w:val="009E687A"/>
    <w:rsid w:val="00A066F1"/>
    <w:rsid w:val="00A141AF"/>
    <w:rsid w:val="00A16D29"/>
    <w:rsid w:val="00A24D69"/>
    <w:rsid w:val="00A30305"/>
    <w:rsid w:val="00A3161B"/>
    <w:rsid w:val="00A31D2D"/>
    <w:rsid w:val="00A4600A"/>
    <w:rsid w:val="00A538A6"/>
    <w:rsid w:val="00A54C25"/>
    <w:rsid w:val="00A710E7"/>
    <w:rsid w:val="00A7372E"/>
    <w:rsid w:val="00A93B85"/>
    <w:rsid w:val="00AA0B18"/>
    <w:rsid w:val="00AA3C65"/>
    <w:rsid w:val="00AA666F"/>
    <w:rsid w:val="00B54C4D"/>
    <w:rsid w:val="00B639E9"/>
    <w:rsid w:val="00B817CD"/>
    <w:rsid w:val="00B81A7D"/>
    <w:rsid w:val="00B94AD0"/>
    <w:rsid w:val="00BB3A95"/>
    <w:rsid w:val="00BB6756"/>
    <w:rsid w:val="00BD6CCE"/>
    <w:rsid w:val="00C0018F"/>
    <w:rsid w:val="00C16A5A"/>
    <w:rsid w:val="00C20466"/>
    <w:rsid w:val="00C214ED"/>
    <w:rsid w:val="00C234E6"/>
    <w:rsid w:val="00C26E97"/>
    <w:rsid w:val="00C316D4"/>
    <w:rsid w:val="00C324A8"/>
    <w:rsid w:val="00C54517"/>
    <w:rsid w:val="00C64CD8"/>
    <w:rsid w:val="00C91C1A"/>
    <w:rsid w:val="00C97C68"/>
    <w:rsid w:val="00CA1A47"/>
    <w:rsid w:val="00CB44E5"/>
    <w:rsid w:val="00CB79E6"/>
    <w:rsid w:val="00CC247A"/>
    <w:rsid w:val="00CD53F2"/>
    <w:rsid w:val="00CD7295"/>
    <w:rsid w:val="00CE388F"/>
    <w:rsid w:val="00CE5E47"/>
    <w:rsid w:val="00CF020F"/>
    <w:rsid w:val="00CF2B5B"/>
    <w:rsid w:val="00D14CE0"/>
    <w:rsid w:val="00D268B3"/>
    <w:rsid w:val="00D44AA1"/>
    <w:rsid w:val="00D54009"/>
    <w:rsid w:val="00D5651D"/>
    <w:rsid w:val="00D57A34"/>
    <w:rsid w:val="00D74898"/>
    <w:rsid w:val="00D801ED"/>
    <w:rsid w:val="00D82EB6"/>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246C"/>
    <w:rsid w:val="00EB4EB6"/>
    <w:rsid w:val="00EB55C6"/>
    <w:rsid w:val="00EF1932"/>
    <w:rsid w:val="00F02766"/>
    <w:rsid w:val="00F05BD4"/>
    <w:rsid w:val="00F31959"/>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8A8EB26-86AB-402E-A7BD-24CE21DC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CD53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D53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241A4-379C-4DC0-BC16-0DFFFF36586F}">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7A9B3E5-F5AD-425E-A741-F09068AA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457</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R15-WRC15-C-0042!!MSW-E</vt:lpstr>
    </vt:vector>
  </TitlesOfParts>
  <Manager>General Secretariat - Pool</Manager>
  <Company>International Telecommunication Union (ITU)</Company>
  <LinksUpToDate>false</LinksUpToDate>
  <CharactersWithSpaces>3021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R15-WRC15-C-0042!!MSW-E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2015-10-29T13:13:00Z</cp:lastPrinted>
  <dcterms:created xsi:type="dcterms:W3CDTF">2015-10-29T19:53:00Z</dcterms:created>
  <dcterms:modified xsi:type="dcterms:W3CDTF">2015-10-29T20:00:00Z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